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5F941" w14:textId="5596A3E4" w:rsidR="00E663F5" w:rsidRPr="00DE117B" w:rsidRDefault="00E663F5" w:rsidP="001E64D4">
      <w:pPr>
        <w:jc w:val="both"/>
        <w:rPr>
          <w:rFonts w:ascii="Times New Roman" w:hAnsi="Times New Roman" w:cs="Times New Roman"/>
          <w:sz w:val="24"/>
        </w:rPr>
      </w:pPr>
      <w:r w:rsidRPr="00DE117B">
        <w:rPr>
          <w:rFonts w:ascii="Times New Roman" w:hAnsi="Times New Roman" w:cs="Times New Roman"/>
          <w:sz w:val="24"/>
        </w:rPr>
        <w:t xml:space="preserve">Table1. Serum melatonin concentration at light and dark in </w:t>
      </w:r>
      <w:r w:rsidR="001A1241">
        <w:rPr>
          <w:rFonts w:ascii="Times New Roman" w:hAnsi="Times New Roman" w:cs="Times New Roman" w:hint="eastAsia"/>
          <w:sz w:val="24"/>
        </w:rPr>
        <w:t xml:space="preserve">non-pregnant adult </w:t>
      </w:r>
      <w:r w:rsidRPr="00DE117B">
        <w:rPr>
          <w:rFonts w:ascii="Times New Roman" w:hAnsi="Times New Roman" w:cs="Times New Roman"/>
          <w:sz w:val="24"/>
        </w:rPr>
        <w:t>C57Bl/6 mice.</w:t>
      </w:r>
    </w:p>
    <w:tbl>
      <w:tblPr>
        <w:tblStyle w:val="ae"/>
        <w:tblW w:w="8359" w:type="dxa"/>
        <w:tblLook w:val="04A0" w:firstRow="1" w:lastRow="0" w:firstColumn="1" w:lastColumn="0" w:noHBand="0" w:noVBand="1"/>
      </w:tblPr>
      <w:tblGrid>
        <w:gridCol w:w="1555"/>
        <w:gridCol w:w="3685"/>
        <w:gridCol w:w="1559"/>
        <w:gridCol w:w="1560"/>
      </w:tblGrid>
      <w:tr w:rsidR="005C6A85" w:rsidRPr="00DE117B" w14:paraId="16FB7262" w14:textId="77777777" w:rsidTr="005C6A85">
        <w:tc>
          <w:tcPr>
            <w:tcW w:w="1555" w:type="dxa"/>
          </w:tcPr>
          <w:p w14:paraId="74180388" w14:textId="0B7680A0" w:rsidR="005C6A85" w:rsidRPr="00DE117B" w:rsidRDefault="005C6A85" w:rsidP="009D581A">
            <w:pPr>
              <w:rPr>
                <w:rFonts w:ascii="Times New Roman" w:hAnsi="Times New Roman" w:cs="Times New Roman"/>
                <w:sz w:val="21"/>
                <w:szCs w:val="21"/>
              </w:rPr>
            </w:pPr>
            <w:r w:rsidRPr="00DE117B">
              <w:rPr>
                <w:rFonts w:ascii="Times New Roman" w:hAnsi="Times New Roman" w:cs="Times New Roman"/>
                <w:sz w:val="21"/>
                <w:szCs w:val="21"/>
              </w:rPr>
              <w:t>Authors</w:t>
            </w:r>
          </w:p>
        </w:tc>
        <w:tc>
          <w:tcPr>
            <w:tcW w:w="3685" w:type="dxa"/>
          </w:tcPr>
          <w:p w14:paraId="584C7F33" w14:textId="77777777" w:rsidR="005C6A85" w:rsidRPr="00DE117B" w:rsidRDefault="005C6A85" w:rsidP="009D581A">
            <w:pPr>
              <w:rPr>
                <w:rFonts w:ascii="Times New Roman" w:hAnsi="Times New Roman" w:cs="Times New Roman"/>
                <w:sz w:val="21"/>
                <w:szCs w:val="21"/>
              </w:rPr>
            </w:pPr>
            <w:r w:rsidRPr="00DE117B">
              <w:rPr>
                <w:rFonts w:ascii="Times New Roman" w:hAnsi="Times New Roman" w:cs="Times New Roman"/>
                <w:sz w:val="21"/>
                <w:szCs w:val="21"/>
              </w:rPr>
              <w:t>Method</w:t>
            </w:r>
          </w:p>
        </w:tc>
        <w:tc>
          <w:tcPr>
            <w:tcW w:w="1559" w:type="dxa"/>
          </w:tcPr>
          <w:p w14:paraId="09B8BF0B" w14:textId="77777777" w:rsidR="005C6A85" w:rsidRPr="00DE117B" w:rsidRDefault="005C6A85" w:rsidP="009D581A">
            <w:pPr>
              <w:rPr>
                <w:rFonts w:ascii="Times New Roman" w:hAnsi="Times New Roman" w:cs="Times New Roman"/>
                <w:sz w:val="21"/>
                <w:szCs w:val="21"/>
              </w:rPr>
            </w:pPr>
            <w:r w:rsidRPr="00DE117B">
              <w:rPr>
                <w:rFonts w:ascii="Times New Roman" w:hAnsi="Times New Roman" w:cs="Times New Roman"/>
                <w:sz w:val="21"/>
                <w:szCs w:val="21"/>
              </w:rPr>
              <w:t>Light (</w:t>
            </w:r>
            <w:proofErr w:type="spellStart"/>
            <w:r w:rsidRPr="00DE117B">
              <w:rPr>
                <w:rFonts w:ascii="Times New Roman" w:hAnsi="Times New Roman" w:cs="Times New Roman"/>
                <w:sz w:val="21"/>
                <w:szCs w:val="21"/>
              </w:rPr>
              <w:t>pg</w:t>
            </w:r>
            <w:proofErr w:type="spellEnd"/>
            <w:r w:rsidRPr="00DE117B">
              <w:rPr>
                <w:rFonts w:ascii="Times New Roman" w:hAnsi="Times New Roman" w:cs="Times New Roman"/>
                <w:sz w:val="21"/>
                <w:szCs w:val="21"/>
              </w:rPr>
              <w:t>/ml)</w:t>
            </w:r>
          </w:p>
        </w:tc>
        <w:tc>
          <w:tcPr>
            <w:tcW w:w="1560" w:type="dxa"/>
          </w:tcPr>
          <w:p w14:paraId="0F85B19C" w14:textId="77777777" w:rsidR="005C6A85" w:rsidRPr="00DE117B" w:rsidRDefault="005C6A85" w:rsidP="009D581A">
            <w:pPr>
              <w:rPr>
                <w:rFonts w:ascii="Times New Roman" w:hAnsi="Times New Roman" w:cs="Times New Roman"/>
                <w:sz w:val="21"/>
                <w:szCs w:val="21"/>
              </w:rPr>
            </w:pPr>
            <w:r w:rsidRPr="00DE117B">
              <w:rPr>
                <w:rFonts w:ascii="Times New Roman" w:hAnsi="Times New Roman" w:cs="Times New Roman"/>
                <w:sz w:val="21"/>
                <w:szCs w:val="21"/>
              </w:rPr>
              <w:t>Dark (</w:t>
            </w:r>
            <w:proofErr w:type="spellStart"/>
            <w:r w:rsidRPr="00DE117B">
              <w:rPr>
                <w:rFonts w:ascii="Times New Roman" w:hAnsi="Times New Roman" w:cs="Times New Roman"/>
                <w:sz w:val="21"/>
                <w:szCs w:val="21"/>
              </w:rPr>
              <w:t>pg</w:t>
            </w:r>
            <w:proofErr w:type="spellEnd"/>
            <w:r w:rsidRPr="00DE117B">
              <w:rPr>
                <w:rFonts w:ascii="Times New Roman" w:hAnsi="Times New Roman" w:cs="Times New Roman"/>
                <w:sz w:val="21"/>
                <w:szCs w:val="21"/>
              </w:rPr>
              <w:t>/ml)</w:t>
            </w:r>
          </w:p>
        </w:tc>
      </w:tr>
      <w:tr w:rsidR="005C6A85" w:rsidRPr="00DE117B" w14:paraId="7EB3E859" w14:textId="77777777" w:rsidTr="005C6A85">
        <w:tc>
          <w:tcPr>
            <w:tcW w:w="1555" w:type="dxa"/>
          </w:tcPr>
          <w:p w14:paraId="475FE2BB" w14:textId="246D278D" w:rsidR="005C6A85" w:rsidRPr="00DE117B" w:rsidRDefault="005C6A85" w:rsidP="00E663F5">
            <w:pPr>
              <w:rPr>
                <w:rFonts w:ascii="Times New Roman" w:hAnsi="Times New Roman" w:cs="Times New Roman"/>
                <w:sz w:val="21"/>
                <w:szCs w:val="21"/>
              </w:rPr>
            </w:pPr>
            <w:r w:rsidRPr="00DE117B">
              <w:rPr>
                <w:rFonts w:ascii="Times New Roman" w:hAnsi="Times New Roman" w:cs="Times New Roman"/>
                <w:sz w:val="21"/>
                <w:szCs w:val="21"/>
              </w:rPr>
              <w:t>Georges J.M. Maestroni et al. 1986</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{"citationItems":[{"id":"ITEM-1","itemData":{"DOI":"10.1016/0165-5728(86)90047-0","ISSN":"01655728","PMID":"2944914","abstract":"Inhibition of synthesis of the pineal neurohormone melatonin (MEL) in mice, by administration of propranolol (PRO) in the evening, and daily injections of p-chlorophenylalanine (PCPA), resulted in a significant depression of the primary antibody response to sheep red blood cells (SRBC). Spleen cells from these mice showed a reduced reactivity against antigens in the autologous mixed lymphocyte reaction (AMLR). In contrast, alloreactivity remained normal. Reconstitution of the night-time peak of plasma MEL by evening injections to the mice completely reversed the suppression of the humoral response and the AMLR. MEL administration was able to antagonize the depression of antibody production induced by corticosterone in vivo. These results suggest that the pineal gland has important immunomodulatory functions through its cyclic, circadian release of MEL. © 1986.","author":[{"dropping-particle":"","family":"Maestroni","given":"Georges J.M.","non-dropping-particle":"","parse-names":false,"suffix":""},{"dropping-particle":"","family":"Conti","given":"Ario","non-dropping-particle":"","parse-names":false,"suffix":""},{"dropping-particle":"","family":"Pierpaoli","given":"Walter","non-dropping-particle":"","parse-names":false,"suffix":""}],"container-title":"Journal of Neuroimmunology","id":"ITEM-1","issue":"1","issued":{"date-parts":[["1986"]]},"page":"19-30","title":"Role of the pineal gland in immunity. Circadian synthesis and release of melatonin modulates the antibody response and antagonizes the immunosuppressive effect of corticosterone","type":"article-journal","volume":"13"},"uris":["http://www.mendeley.com/documents/?uuid=5da08a14-47a8-42ca-8cde-8885d04cec99"]}],"mendeley":{"formattedCitation":"&lt;sup&gt;[1]&lt;/sup&gt;","plainTextFormattedCitation":"[1]","previouslyFormattedCitation":"&lt;sup&gt;[5]&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[1]</w:t>
            </w:r>
            <w:r w:rsidRPr="00DE117B">
              <w:rPr>
                <w:rFonts w:ascii="Times New Roman" w:hAnsi="Times New Roman" w:cs="Times New Roman"/>
                <w:sz w:val="21"/>
                <w:szCs w:val="21"/>
              </w:rPr>
              <w:fldChar w:fldCharType="end"/>
            </w:r>
          </w:p>
        </w:tc>
        <w:tc>
          <w:tcPr>
            <w:tcW w:w="3685" w:type="dxa"/>
          </w:tcPr>
          <w:p w14:paraId="7DDDDFFA" w14:textId="4323BF86" w:rsidR="005C6A85" w:rsidRPr="00DE117B" w:rsidRDefault="005C6A85" w:rsidP="00E663F5">
            <w:pPr>
              <w:rPr>
                <w:rFonts w:ascii="Times New Roman" w:hAnsi="Times New Roman" w:cs="Times New Roman"/>
                <w:sz w:val="21"/>
                <w:szCs w:val="21"/>
              </w:rPr>
            </w:pPr>
            <w:r w:rsidRPr="00DE117B">
              <w:rPr>
                <w:rFonts w:ascii="Times New Roman" w:hAnsi="Times New Roman" w:cs="Times New Roman"/>
                <w:sz w:val="21"/>
                <w:szCs w:val="21"/>
              </w:rPr>
              <w:t>RIA</w:t>
            </w:r>
            <w:r w:rsidR="001E0D4E" w:rsidRPr="00DE117B">
              <w:rPr>
                <w:rFonts w:ascii="Times New Roman" w:hAnsi="Times New Roman" w:cs="Times New Roman"/>
                <w:sz w:val="21"/>
                <w:szCs w:val="21"/>
              </w:rPr>
              <w:t xml:space="preserve"> </w:t>
            </w:r>
            <w:r w:rsidRPr="00DE117B">
              <w:rPr>
                <w:rFonts w:ascii="Times New Roman" w:hAnsi="Times New Roman" w:cs="Times New Roman"/>
                <w:sz w:val="21"/>
                <w:szCs w:val="21"/>
              </w:rPr>
              <w:t xml:space="preserve">(Bio-Sciences Products, </w:t>
            </w:r>
            <w:proofErr w:type="spellStart"/>
            <w:r w:rsidRPr="00DE117B">
              <w:rPr>
                <w:rFonts w:ascii="Times New Roman" w:hAnsi="Times New Roman" w:cs="Times New Roman"/>
                <w:sz w:val="21"/>
                <w:szCs w:val="21"/>
              </w:rPr>
              <w:t>Emmenbriicke</w:t>
            </w:r>
            <w:proofErr w:type="spellEnd"/>
            <w:r w:rsidRPr="00DE117B">
              <w:rPr>
                <w:rFonts w:ascii="Times New Roman" w:hAnsi="Times New Roman" w:cs="Times New Roman"/>
                <w:sz w:val="21"/>
                <w:szCs w:val="21"/>
              </w:rPr>
              <w:t>, Switzerland)</w:t>
            </w:r>
          </w:p>
        </w:tc>
        <w:tc>
          <w:tcPr>
            <w:tcW w:w="1559" w:type="dxa"/>
          </w:tcPr>
          <w:p w14:paraId="43E66797" w14:textId="5F66F9D5" w:rsidR="005C6A85" w:rsidRPr="00DE117B" w:rsidRDefault="005C6A85" w:rsidP="00E663F5">
            <w:pPr>
              <w:rPr>
                <w:rFonts w:ascii="Times New Roman" w:hAnsi="Times New Roman" w:cs="Times New Roman"/>
                <w:sz w:val="21"/>
                <w:szCs w:val="21"/>
              </w:rPr>
            </w:pPr>
            <w:r w:rsidRPr="00DE117B">
              <w:rPr>
                <w:rFonts w:ascii="Times New Roman" w:hAnsi="Times New Roman" w:cs="Times New Roman"/>
                <w:sz w:val="21"/>
                <w:szCs w:val="21"/>
              </w:rPr>
              <w:t>50~80</w:t>
            </w:r>
          </w:p>
        </w:tc>
        <w:tc>
          <w:tcPr>
            <w:tcW w:w="1560" w:type="dxa"/>
          </w:tcPr>
          <w:p w14:paraId="7920E9BD" w14:textId="51FE02E0" w:rsidR="005C6A85" w:rsidRPr="00DE117B" w:rsidRDefault="001E0D4E" w:rsidP="00E663F5">
            <w:pPr>
              <w:rPr>
                <w:rFonts w:ascii="Times New Roman" w:hAnsi="Times New Roman" w:cs="Times New Roman"/>
                <w:sz w:val="21"/>
                <w:szCs w:val="21"/>
              </w:rPr>
            </w:pPr>
            <w:r w:rsidRPr="00DE117B">
              <w:rPr>
                <w:rFonts w:ascii="Times New Roman" w:hAnsi="Times New Roman" w:cs="Times New Roman"/>
                <w:sz w:val="21"/>
                <w:szCs w:val="21"/>
              </w:rPr>
              <w:t xml:space="preserve">~270, </w:t>
            </w:r>
            <w:r w:rsidR="005C6A85" w:rsidRPr="00DE117B">
              <w:rPr>
                <w:rFonts w:ascii="Times New Roman" w:hAnsi="Times New Roman" w:cs="Times New Roman"/>
                <w:sz w:val="21"/>
                <w:szCs w:val="21"/>
              </w:rPr>
              <w:t>peak at 1:00 h</w:t>
            </w:r>
          </w:p>
        </w:tc>
      </w:tr>
      <w:tr w:rsidR="005B1BFE" w:rsidRPr="00DE117B" w14:paraId="64C6AC7C" w14:textId="77777777" w:rsidTr="00785606">
        <w:tc>
          <w:tcPr>
            <w:tcW w:w="1555" w:type="dxa"/>
          </w:tcPr>
          <w:p w14:paraId="14141129" w14:textId="25FA4867" w:rsidR="005B1BFE" w:rsidRPr="00DE117B" w:rsidRDefault="005B1BFE" w:rsidP="005C6A85">
            <w:pPr>
              <w:rPr>
                <w:rFonts w:ascii="Times New Roman" w:hAnsi="Times New Roman" w:cs="Times New Roman"/>
                <w:sz w:val="21"/>
                <w:szCs w:val="21"/>
              </w:rPr>
            </w:pPr>
            <w:r w:rsidRPr="00DE117B">
              <w:rPr>
                <w:rFonts w:ascii="Times New Roman" w:hAnsi="Times New Roman" w:cs="Times New Roman"/>
                <w:sz w:val="21"/>
                <w:szCs w:val="21"/>
              </w:rPr>
              <w:t>William W. Morgan et al. 2001</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{"citationItems":[{"id":"ITEM-1","itemData":{"DOI":"10.1016/S0006-8993(01)03106-7","ISSN":"00068993","PMID":"11720717","abstract":"An extensive literature suggests that melatonin may protect from the degenerative effects of central neurotoxins by acting as a free radical scavenger. The purpose of this study was to determine if melatonin would protect male C57BL6 mice from the toxicity of methyl-4-phenyl-1,2,3,6-tetrahydropyridine (MPTP) to nigral dopamine (DA) neurons. Melatonin was initially dissolved in dimethyl sulfoxide (DMSO), diluted to 16 μg/ml and then provided in the drinking water for 4 weeks. Control mice drank the same final concentration of the DMSO diluent. One week before the termination of the experiment, randomly selected mice from the melatonin-treated and the DMSO-treated groups received two, three or four doses of 2.5 mg/kg MPTP free base administered subcutaneously at 2-h intervals. Additional DMSO-treated and melatonin-treated mice did not receive MPTP. Following tissue collection, melatonin concentration was measured in blood plasma collected from each animal and found to be 20-fold higher in melatonin-treated compared to DMSO-treated mice. Tyrosine hydroxylase (TH) activity and the levels of DA and dihydroxyphenylacetic acid (DOPAC) were not different in striata collected from melatonin-treated versus DMSO-treated mice which did not receive MPTP. Treatment with MPTP significantly reduced striatal TH activity, DA and DOPAC, but there were no significant differences in the reductions in any of these parameters observed in the melatonin-treated versus the DMSO-treated control mice that received the same total dosage of MPTP. These results show that the long-term administration of a high pharmacological dose of melatonin was ineffective in protecting nigral dopaminergic neurons from the neurotoxic effects of MPTP. © 2001 Elsevier Science B.V. All rights reserved.","author":[{"dropping-particle":"","family":"Morgan","given":"William W.","non-dropping-particle":"","parse-names":false,"suffix":""},{"dropping-particle":"","family":"Nelson","given":"James F.","non-dropping-particle":"","parse-names":false,"suffix":""}],"container-title":"Brain Research","id":"ITEM-1","issue":"1-2","issued":{"date-parts":[["2001"]]},"page":"115-121","title":"Chronic administration of pharmacological levels of melatonin does not ameliorate the MPTP-induced degeneration of the nigrostriatal pathway","type":"article-journal","volume":"921"},"uris":["http://www.mendeley.com/documents/?uuid=5aafd7cc-fde0-4b1d-8788-663a6e3cb468"]}],"mendeley":{"formattedCitation":"&lt;sup&gt;[2]&lt;/sup&gt;","plainTextFormattedCitation":"[2]","previouslyFormattedCitation":"&lt;sup&gt;[6]&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[2]</w:t>
            </w:r>
            <w:r w:rsidRPr="00DE117B">
              <w:rPr>
                <w:rFonts w:ascii="Times New Roman" w:hAnsi="Times New Roman" w:cs="Times New Roman"/>
                <w:sz w:val="21"/>
                <w:szCs w:val="21"/>
              </w:rPr>
              <w:fldChar w:fldCharType="end"/>
            </w:r>
          </w:p>
        </w:tc>
        <w:tc>
          <w:tcPr>
            <w:tcW w:w="3685" w:type="dxa"/>
          </w:tcPr>
          <w:p w14:paraId="60E31661" w14:textId="40E598CD" w:rsidR="005B1BFE" w:rsidRPr="00DE117B" w:rsidRDefault="004B36E3" w:rsidP="005C6A85">
            <w:pPr>
              <w:rPr>
                <w:rFonts w:ascii="Times New Roman" w:hAnsi="Times New Roman" w:cs="Times New Roman"/>
                <w:sz w:val="21"/>
                <w:szCs w:val="21"/>
              </w:rPr>
            </w:pPr>
            <w:r>
              <w:rPr>
                <w:rFonts w:ascii="Times New Roman" w:hAnsi="Times New Roman" w:cs="Times New Roman" w:hint="eastAsia"/>
                <w:sz w:val="21"/>
                <w:szCs w:val="21"/>
              </w:rPr>
              <w:t>P</w:t>
            </w:r>
            <w:r w:rsidR="005B1BFE" w:rsidRPr="00DE117B">
              <w:rPr>
                <w:rFonts w:ascii="Times New Roman" w:hAnsi="Times New Roman" w:cs="Times New Roman"/>
                <w:sz w:val="21"/>
                <w:szCs w:val="21"/>
              </w:rPr>
              <w:t>lasma sample</w:t>
            </w:r>
            <w:r w:rsidR="00F77A22" w:rsidRPr="00DE117B">
              <w:rPr>
                <w:rFonts w:ascii="Times New Roman" w:hAnsi="Times New Roman" w:cs="Times New Roman"/>
                <w:sz w:val="21"/>
                <w:szCs w:val="21"/>
              </w:rPr>
              <w:t>,</w:t>
            </w:r>
            <w:r w:rsidR="005B1BFE" w:rsidRPr="00DE117B">
              <w:rPr>
                <w:rFonts w:ascii="Times New Roman" w:hAnsi="Times New Roman" w:cs="Times New Roman"/>
                <w:sz w:val="21"/>
                <w:szCs w:val="21"/>
              </w:rPr>
              <w:t xml:space="preserve"> RIA (</w:t>
            </w:r>
            <w:proofErr w:type="spellStart"/>
            <w:r w:rsidR="005B1BFE" w:rsidRPr="00DE117B">
              <w:rPr>
                <w:rFonts w:ascii="Times New Roman" w:hAnsi="Times New Roman" w:cs="Times New Roman"/>
                <w:sz w:val="21"/>
                <w:szCs w:val="21"/>
              </w:rPr>
              <w:t>Stockgrand</w:t>
            </w:r>
            <w:proofErr w:type="spellEnd"/>
            <w:r w:rsidR="001E0D4E" w:rsidRPr="00DE117B">
              <w:rPr>
                <w:rFonts w:ascii="Times New Roman" w:hAnsi="Times New Roman" w:cs="Times New Roman"/>
                <w:sz w:val="21"/>
                <w:szCs w:val="21"/>
              </w:rPr>
              <w:t xml:space="preserve">, </w:t>
            </w:r>
            <w:r w:rsidR="005B1BFE" w:rsidRPr="00DE117B">
              <w:rPr>
                <w:rFonts w:ascii="Times New Roman" w:hAnsi="Times New Roman" w:cs="Times New Roman"/>
                <w:sz w:val="21"/>
                <w:szCs w:val="21"/>
              </w:rPr>
              <w:t>School of Biological Sciences,</w:t>
            </w:r>
            <w:r w:rsidR="005B1BFE" w:rsidRPr="00DE117B">
              <w:rPr>
                <w:rFonts w:ascii="Times New Roman" w:hAnsi="Times New Roman" w:cs="Times New Roman"/>
                <w:color w:val="000000"/>
                <w:spacing w:val="15"/>
                <w:sz w:val="21"/>
                <w:szCs w:val="21"/>
                <w:shd w:val="clear" w:color="auto" w:fill="FFFFFF"/>
              </w:rPr>
              <w:t xml:space="preserve"> </w:t>
            </w:r>
            <w:r w:rsidR="005B1BFE" w:rsidRPr="00DE117B">
              <w:rPr>
                <w:rFonts w:ascii="Times New Roman" w:hAnsi="Times New Roman" w:cs="Times New Roman"/>
                <w:sz w:val="21"/>
                <w:szCs w:val="21"/>
              </w:rPr>
              <w:t>University of Surrey, Guilford, Surrey, UK)</w:t>
            </w:r>
          </w:p>
        </w:tc>
        <w:tc>
          <w:tcPr>
            <w:tcW w:w="3119" w:type="dxa"/>
            <w:gridSpan w:val="2"/>
          </w:tcPr>
          <w:p w14:paraId="285BCCA5" w14:textId="228EF23D" w:rsidR="005B1BFE" w:rsidRPr="00DE117B" w:rsidRDefault="005B1BFE" w:rsidP="005C6A85">
            <w:pPr>
              <w:rPr>
                <w:rFonts w:ascii="Times New Roman" w:hAnsi="Times New Roman" w:cs="Times New Roman"/>
                <w:sz w:val="21"/>
                <w:szCs w:val="21"/>
              </w:rPr>
            </w:pPr>
            <w:r w:rsidRPr="00DE117B">
              <w:rPr>
                <w:rFonts w:ascii="Times New Roman" w:hAnsi="Times New Roman" w:cs="Times New Roman"/>
                <w:sz w:val="21"/>
                <w:szCs w:val="21"/>
              </w:rPr>
              <w:t>~40</w:t>
            </w:r>
            <w:r w:rsidR="00E3082A" w:rsidRPr="00DE117B">
              <w:rPr>
                <w:rFonts w:ascii="Times New Roman" w:hAnsi="Times New Roman" w:cs="Times New Roman"/>
                <w:sz w:val="21"/>
                <w:szCs w:val="21"/>
              </w:rPr>
              <w:t>, sampling time points were not reported</w:t>
            </w:r>
          </w:p>
        </w:tc>
      </w:tr>
      <w:tr w:rsidR="005C6A85" w:rsidRPr="00DE117B" w14:paraId="2774443A" w14:textId="77777777" w:rsidTr="005C6A85">
        <w:tc>
          <w:tcPr>
            <w:tcW w:w="1555" w:type="dxa"/>
          </w:tcPr>
          <w:p w14:paraId="56E5A5BA" w14:textId="0EA3FAD7"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Hoda Khaldy et al. 2002</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{"citationItems":[{"id":"ITEM-1","itemData":{"DOI":"10.1159/000048238","ISSN":"00283835","PMID":"11914592","abstract":"The existence of dopamine (DA)-melatonin (aMT) relationships is well documented in several brain areas of the mammalian central nervous system such as the retina and hypothalamus or the nigrostriatal system. For instance, aMT tempers 1 methyl-4-phenyl-1,2,3,6-tetrahydropyridine-induced nigrostriatal damage in C57BL/6 mice. In this mouse strain however, rhythmic production of aMT and its possible interaction with striatal DA is still unclear. In the present work we investigated circadian variations in pineal production of aMT and striatal DA levels in C57BL/6 mice. Effects of pinealectomy and aMT administration were also assessed. Intact, pinealectomized and pinealectomized + aMT-treated mice and their respective control groups were sacrificed at six different times during the 24-hour period. In control animals, aMT displayed a circadian rhythm with a narrow peak at midnight. The peak of aMT coincided with the nadir of the DA rhythm present in the striatum. Shortly after the decrease of DA levels, an increase in 3,4-dihydroxyphenylacetic acid (DOPAC), the main DA metabolite, was observed. The rhythmic changes of DA and DOPAC levels in the striatum were blunted by pinealectomy, whereas administration of aMT (0.1-10 mg/kg) during 6 days to pinealectomized mice restored the rhythms in a dose-dependent manner. Striatal levels of 3-methoxytyramine and homovanillic acid did not change during the 24-hour cycle. The serotonergic system, assessed by the determination of 5-hydroxytryptamine and 5-hydroxyindole-3-acetic acid concentration in striatum, did not show significant time-dependent changes in control animals and was not affected by pinealectomy or aMT treatment. These data substantiate the existence of a link between pineal function, melatonin secretion and DA circadian rhythm in the mouse striatum. Copyright © 2002 S. Karger AG, Basel.","author":[{"dropping-particle":"","family":"Khaldy","given":"Hoda","non-dropping-particle":"","parse-names":false,"suffix":""},{"dropping-particle":"","family":"León","given":"Josefa","non-dropping-particle":"","parse-names":false,"suffix":""},{"dropping-particle":"","family":"Escames","given":"Germaine","non-dropping-particle":"","parse-names":false,"suffix":""},{"dropping-particle":"","family":"Bikjdaouene","given":"Leila","non-dropping-particle":"","parse-names":false,"suffix":""},{"dropping-particle":"","family":"García","given":"Joaqu</w:instrText>
            </w:r>
            <w:r w:rsidR="007E085E">
              <w:rPr>
                <w:rFonts w:ascii="Times New Roman" w:hAnsi="Times New Roman" w:cs="Times New Roman" w:hint="eastAsia"/>
                <w:sz w:val="21"/>
                <w:szCs w:val="21"/>
              </w:rPr>
              <w:instrText>í</w:instrText>
            </w:r>
            <w:r w:rsidR="007E085E">
              <w:rPr>
                <w:rFonts w:ascii="Times New Roman" w:hAnsi="Times New Roman" w:cs="Times New Roman"/>
                <w:sz w:val="21"/>
                <w:szCs w:val="21"/>
              </w:rPr>
              <w:instrText>n José","non-dropping-particle":"","parse-names":false,"suffix":""},{"dropping-particle":"","family":"Acuña-Castroviejo","given":"Darío","non-dropping-particle":"","parse-names":false,"suffix":""}],"container-title":"Neuroendocrinology","id":"ITEM-1","issue":"3","issued":{"date-parts":[["2002"]]},"page":"201-208","title":"Circadian rhythms of dopamine and dihydroxyphenyl acetic acid in the mouse striatum: Effects of pinealectomy and of melatonin treatment","type":"article-journal","volume":"75"},"uris":["http://www.mendeley.com/documents/?uuid=7787c6b4-e1c3-45f7-8363-208e805cebf3"]}],"mendeley":{"formattedCitation":"&lt;sup&gt;[3]&lt;/sup&gt;","plainTextFormattedCitation":"[3]","previouslyFormattedCitation":"&lt;sup&gt;[7]&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[3]</w:t>
            </w:r>
            <w:r w:rsidRPr="00DE117B">
              <w:rPr>
                <w:rFonts w:ascii="Times New Roman" w:hAnsi="Times New Roman" w:cs="Times New Roman"/>
                <w:sz w:val="21"/>
                <w:szCs w:val="21"/>
              </w:rPr>
              <w:fldChar w:fldCharType="end"/>
            </w:r>
          </w:p>
        </w:tc>
        <w:tc>
          <w:tcPr>
            <w:tcW w:w="3685" w:type="dxa"/>
          </w:tcPr>
          <w:p w14:paraId="65CAC0D0" w14:textId="66EB5E8A"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RIA</w:t>
            </w:r>
            <w:r w:rsidR="002870AD">
              <w:rPr>
                <w:rFonts w:ascii="Times New Roman" w:hAnsi="Times New Roman" w:cs="Times New Roman" w:hint="eastAsia"/>
                <w:sz w:val="21"/>
                <w:szCs w:val="21"/>
              </w:rPr>
              <w:t xml:space="preserve"> </w:t>
            </w:r>
            <w:r w:rsidRPr="00DE117B">
              <w:rPr>
                <w:rFonts w:ascii="Times New Roman" w:hAnsi="Times New Roman" w:cs="Times New Roman"/>
                <w:sz w:val="21"/>
                <w:szCs w:val="21"/>
              </w:rPr>
              <w:t xml:space="preserve">(DLD </w:t>
            </w:r>
            <w:proofErr w:type="spellStart"/>
            <w:r w:rsidRPr="00DE117B">
              <w:rPr>
                <w:rFonts w:ascii="Times New Roman" w:hAnsi="Times New Roman" w:cs="Times New Roman"/>
                <w:sz w:val="21"/>
                <w:szCs w:val="21"/>
              </w:rPr>
              <w:t>Diagnostika</w:t>
            </w:r>
            <w:proofErr w:type="spellEnd"/>
            <w:r w:rsidRPr="00DE117B">
              <w:rPr>
                <w:rFonts w:ascii="Times New Roman" w:hAnsi="Times New Roman" w:cs="Times New Roman"/>
                <w:sz w:val="21"/>
                <w:szCs w:val="21"/>
              </w:rPr>
              <w:t xml:space="preserve"> GmbH, Hamburg, Germany)</w:t>
            </w:r>
          </w:p>
        </w:tc>
        <w:tc>
          <w:tcPr>
            <w:tcW w:w="1559" w:type="dxa"/>
          </w:tcPr>
          <w:p w14:paraId="2E53D9A2" w14:textId="53563E42"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Not reported</w:t>
            </w:r>
          </w:p>
        </w:tc>
        <w:tc>
          <w:tcPr>
            <w:tcW w:w="1560" w:type="dxa"/>
          </w:tcPr>
          <w:p w14:paraId="61D0EF2C" w14:textId="3CB39F96" w:rsidR="005C6A85" w:rsidRPr="00DE117B" w:rsidRDefault="001E0D4E" w:rsidP="005C6A85">
            <w:pPr>
              <w:rPr>
                <w:rFonts w:ascii="Times New Roman" w:hAnsi="Times New Roman" w:cs="Times New Roman"/>
                <w:sz w:val="21"/>
                <w:szCs w:val="21"/>
              </w:rPr>
            </w:pPr>
            <w:r w:rsidRPr="00DE117B">
              <w:rPr>
                <w:rFonts w:ascii="Times New Roman" w:hAnsi="Times New Roman" w:cs="Times New Roman"/>
                <w:sz w:val="21"/>
                <w:szCs w:val="21"/>
              </w:rPr>
              <w:t xml:space="preserve">~80, </w:t>
            </w:r>
            <w:r w:rsidR="005C6A85" w:rsidRPr="00DE117B">
              <w:rPr>
                <w:rFonts w:ascii="Times New Roman" w:hAnsi="Times New Roman" w:cs="Times New Roman"/>
                <w:sz w:val="21"/>
                <w:szCs w:val="21"/>
              </w:rPr>
              <w:t>peak at 0:30 h</w:t>
            </w:r>
          </w:p>
        </w:tc>
      </w:tr>
      <w:tr w:rsidR="005C6A85" w:rsidRPr="00DE117B" w14:paraId="64928CDC" w14:textId="77777777" w:rsidTr="005C6A85">
        <w:tc>
          <w:tcPr>
            <w:tcW w:w="1555" w:type="dxa"/>
          </w:tcPr>
          <w:p w14:paraId="1293B1B3" w14:textId="767E11B3"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D. J. KENNAWAY et al. 2002</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{"citationItems":[{"id":"ITEM-1","itemData":{"DOI":"10.1152/ajpregu.00360.2001","ISSN":"03636119","PMID":"11792644","abstract":"There has been relatively little research conducted on pineal melatonin production in laboratory mice, in part, due to the lack of appropriate assays. We studied the pineal and plasma rhythm, response to light, adrenergic stimulation, and metabolism of melatonin in CBA mice. With the use of a sensitive and specific melatonin RIA, melatonin was detected in the pineal glands at all times of the day &gt;21 fmol/gland in CBA mice but not in C57Bl mice. Both plasma and pineal melatonin levels peaked 2 h before dawn in a 12:12-h light-dark photoperiod (162 ± 31 pM and 1,804 ± 514 fmol/gland, respectively). A brief light pulse (200 lx/15 min), 2 h before lights on, suppressed both plasma and pineal melatonin to near basal levels within 30 min. Exposure to light pulses 4 h after lights off or 2 h before lights on resulted in delays and advances, respectively, in the early morning decline of plasma and pineal melatonin on the next cycle. Administration of the β-adrenergic agonist isoproterenol (20 mg/kg) 2 and 4 h after lights on in the morning resulted in a fivefold increase in plasma and pineal melatonin 2.5 to 3 h after the first injection. In the mouse, unlike the rat, melatonin was shown to be metabolized almost exclusively to 6-glucuronylmelatonin rather than 6-sulphatoxymelatonin. These studies have shown that the appropriate methodological tools are now available for studying melatonin rhythms in mice.","author":[{"dropping-particle":"","family":"Kennaway","given":"D. J.","non-dropping-particle":"","parse-names":false,"suffix":""},{"dropping-particle":"","family":"Voultsios","given":"A.","non-dropping-particle":"","parse-names":false,"suffix":""},{"dropping-particle":"","family":"Varcoe","given":"T. J.","non-dropping-particle":"","parse-names":false,"suffix":""},{"dropping-particle":"","family":"Moyer","given":"R. W.","non-dropping-particle":"","parse-names":false,"suffix":""}],"container-title":"American Journal of Physiology - Regulatory Integrative and Comparative Physiology","id":"ITEM-1","issue":"2 51-2","issued":{"date-parts":[["2002"]]},"page":"358-365","title":"Melatonin in mice: Rhythms, response to light, adrenergic stimulation, and metabolism","type":"article-journal","volume":"282"},"uris":["http://www.mendeley.com/documents/?uuid=f785643f-37a5-43c5-a0c4-b1ceda3af910"]}],"mendeley":{"formattedCitation":"&lt;sup&gt;[4]&lt;/sup&gt;","plainTextFormattedCitation":"[4]","previouslyFormattedCitation":"&lt;sup&gt;[8]&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[4]</w:t>
            </w:r>
            <w:r w:rsidRPr="00DE117B">
              <w:rPr>
                <w:rFonts w:ascii="Times New Roman" w:hAnsi="Times New Roman" w:cs="Times New Roman"/>
                <w:sz w:val="21"/>
                <w:szCs w:val="21"/>
              </w:rPr>
              <w:fldChar w:fldCharType="end"/>
            </w:r>
          </w:p>
        </w:tc>
        <w:tc>
          <w:tcPr>
            <w:tcW w:w="3685" w:type="dxa"/>
          </w:tcPr>
          <w:p w14:paraId="4714E230" w14:textId="269AA6DD"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RIA kit (Buhlmann Laboratories, Allschwil, Switzerland)</w:t>
            </w:r>
          </w:p>
        </w:tc>
        <w:tc>
          <w:tcPr>
            <w:tcW w:w="1559" w:type="dxa"/>
          </w:tcPr>
          <w:p w14:paraId="07363431" w14:textId="16004228"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not reported</w:t>
            </w:r>
          </w:p>
        </w:tc>
        <w:tc>
          <w:tcPr>
            <w:tcW w:w="1560" w:type="dxa"/>
          </w:tcPr>
          <w:p w14:paraId="457CECBB" w14:textId="22F6B227"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~10</w:t>
            </w:r>
          </w:p>
        </w:tc>
      </w:tr>
      <w:tr w:rsidR="005C6A85" w:rsidRPr="00DE117B" w14:paraId="05C3C0CB" w14:textId="77777777" w:rsidTr="005C6A85">
        <w:tc>
          <w:tcPr>
            <w:tcW w:w="1555" w:type="dxa"/>
          </w:tcPr>
          <w:p w14:paraId="6C6E8313" w14:textId="2FA75DC2"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T. Korhonen et al. 2005</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{"citationItems":[{"id":"ITEM-1","itemData":{"DOI":"10.1016/j.cbpb.2005.01.006","ISSN":"10956433","PMID":"15748862","abstract":"The influence of fasting and winter-acclimatization (cold and short-day acclimatization) on mouse plasma leptin, ghrelin, growth hormone (GH) and melatonin concentrations was determined from blood samples taken at mid-day and midnight. A 16-h fast decreased the plasma leptin but almost doubled the plasma ghrelin concentrations which contribute to energy saving, appetite stimulation and, in the case of leptin, to inhibition of reproduction. Winter- acclimatization did not affect plasma ghrelin concentrations, whereas leptin decreased to the same level as in fasting. The low leptin concentrations possibly enable an increased caloric intake for the purpose of thermogenesis. Fasting and winter-acclimatization seemed to abolish the diurnal leptin rhythm, but had no effect on that of ghrelin. Plasma melatonin concentration correlated negatively with ghrelin, suggesting a possible role for melatonin in the regulation of ghrelin concentration. SNS-activity and insulin appear to be the main regulators of leptin plasma concentration in the mouse, rather than melatonin as in some seasonal mammals. Interestingly, endogenous ghrelin did not stimulate GH secretion, which is a well-documented reaction to exogenous ghrelin injections. © 2005 Elsevier Inc. All rights reserved.","author":[{"dropping-particle":"","family":"Korhonen","given":"T.","non-dropping-particle":"","parse-names":false,"suffix":""},{"dropping-particle":"","family":"Saarela","given":"S.","non-dropping-particle":"","parse-names":false,"suffix":""}],"container-title":"Comparative Biochemistry and Physiology - A Molecular and Integrative Physiology","id":"ITEM-1","issue":"2","issued":{"date-parts":[["2005"]]},"page":"217-223","title":"Role of adiposity hormones in the mouse during fasting and winter-acclimatization","type":"article-journal","volume":"140"},"uris":["http://www.mendeley.com/documents/?uuid=07f8749a-7395-45f7-abff-9539afdd2c3b"]}],"mendeley":{"formattedCitation":"&lt;sup&gt;[5]&lt;/sup&gt;","plainTextFormattedCitation":"[5]","previouslyFormattedCitation":"&lt;sup&gt;[9]&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[5]</w:t>
            </w:r>
            <w:r w:rsidRPr="00DE117B">
              <w:rPr>
                <w:rFonts w:ascii="Times New Roman" w:hAnsi="Times New Roman" w:cs="Times New Roman"/>
                <w:sz w:val="21"/>
                <w:szCs w:val="21"/>
              </w:rPr>
              <w:fldChar w:fldCharType="end"/>
            </w:r>
          </w:p>
        </w:tc>
        <w:tc>
          <w:tcPr>
            <w:tcW w:w="3685" w:type="dxa"/>
          </w:tcPr>
          <w:p w14:paraId="66A7514F" w14:textId="6E96B3D0" w:rsidR="005C6A85" w:rsidRPr="00DE117B" w:rsidRDefault="004B36E3" w:rsidP="006C4694">
            <w:pPr>
              <w:ind w:left="210" w:hangingChars="100" w:hanging="210"/>
              <w:rPr>
                <w:rFonts w:ascii="Times New Roman" w:hAnsi="Times New Roman" w:cs="Times New Roman"/>
                <w:sz w:val="21"/>
                <w:szCs w:val="21"/>
              </w:rPr>
            </w:pPr>
            <w:r>
              <w:rPr>
                <w:rFonts w:ascii="Times New Roman" w:hAnsi="Times New Roman" w:cs="Times New Roman" w:hint="eastAsia"/>
                <w:sz w:val="21"/>
                <w:szCs w:val="21"/>
              </w:rPr>
              <w:t>P</w:t>
            </w:r>
            <w:r w:rsidR="005C6A85" w:rsidRPr="00DE117B">
              <w:rPr>
                <w:rFonts w:ascii="Times New Roman" w:hAnsi="Times New Roman" w:cs="Times New Roman"/>
                <w:sz w:val="21"/>
                <w:szCs w:val="21"/>
              </w:rPr>
              <w:t>lasma sample</w:t>
            </w:r>
            <w:r w:rsidR="00F77A22" w:rsidRPr="00DE117B">
              <w:rPr>
                <w:rFonts w:ascii="Times New Roman" w:hAnsi="Times New Roman" w:cs="Times New Roman"/>
                <w:sz w:val="21"/>
                <w:szCs w:val="21"/>
              </w:rPr>
              <w:t>,</w:t>
            </w:r>
            <w:r w:rsidR="005C6A85" w:rsidRPr="00DE117B">
              <w:rPr>
                <w:rFonts w:ascii="Times New Roman" w:hAnsi="Times New Roman" w:cs="Times New Roman"/>
                <w:sz w:val="21"/>
                <w:szCs w:val="21"/>
              </w:rPr>
              <w:t xml:space="preserve"> RIA</w:t>
            </w:r>
            <w:r w:rsidR="001E0D4E" w:rsidRPr="00DE117B">
              <w:rPr>
                <w:rFonts w:ascii="Times New Roman" w:hAnsi="Times New Roman" w:cs="Times New Roman"/>
                <w:sz w:val="21"/>
                <w:szCs w:val="21"/>
              </w:rPr>
              <w:t xml:space="preserve"> </w:t>
            </w:r>
            <w:r w:rsidR="005C6A85" w:rsidRPr="00DE117B">
              <w:rPr>
                <w:rFonts w:ascii="Times New Roman" w:hAnsi="Times New Roman" w:cs="Times New Roman"/>
                <w:sz w:val="21"/>
                <w:szCs w:val="21"/>
              </w:rPr>
              <w:t>(</w:t>
            </w:r>
            <w:proofErr w:type="spellStart"/>
            <w:r w:rsidR="005C6A85" w:rsidRPr="00DE117B">
              <w:rPr>
                <w:rFonts w:ascii="Times New Roman" w:hAnsi="Times New Roman" w:cs="Times New Roman"/>
                <w:sz w:val="21"/>
                <w:szCs w:val="21"/>
              </w:rPr>
              <w:t>Linco</w:t>
            </w:r>
            <w:proofErr w:type="spellEnd"/>
            <w:r w:rsidR="006C4694" w:rsidRPr="00DE117B">
              <w:rPr>
                <w:rFonts w:ascii="Times New Roman" w:hAnsi="Times New Roman" w:cs="Times New Roman"/>
                <w:sz w:val="21"/>
                <w:szCs w:val="21"/>
              </w:rPr>
              <w:t xml:space="preserve"> </w:t>
            </w:r>
            <w:r w:rsidR="005C6A85" w:rsidRPr="00DE117B">
              <w:rPr>
                <w:rFonts w:ascii="Times New Roman" w:hAnsi="Times New Roman" w:cs="Times New Roman"/>
                <w:sz w:val="21"/>
                <w:szCs w:val="21"/>
              </w:rPr>
              <w:t>Research, St. Charles,</w:t>
            </w:r>
            <w:r w:rsidR="001E0D4E" w:rsidRPr="00DE117B">
              <w:rPr>
                <w:rFonts w:ascii="Times New Roman" w:hAnsi="Times New Roman" w:cs="Times New Roman"/>
                <w:sz w:val="21"/>
                <w:szCs w:val="21"/>
              </w:rPr>
              <w:t xml:space="preserve"> </w:t>
            </w:r>
            <w:r w:rsidR="005C6A85" w:rsidRPr="00DE117B">
              <w:rPr>
                <w:rFonts w:ascii="Times New Roman" w:hAnsi="Times New Roman" w:cs="Times New Roman"/>
                <w:sz w:val="21"/>
                <w:szCs w:val="21"/>
              </w:rPr>
              <w:t>MO, USA)</w:t>
            </w:r>
          </w:p>
        </w:tc>
        <w:tc>
          <w:tcPr>
            <w:tcW w:w="1559" w:type="dxa"/>
          </w:tcPr>
          <w:p w14:paraId="3BE722A2" w14:textId="3AF165CC"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~15</w:t>
            </w:r>
          </w:p>
        </w:tc>
        <w:tc>
          <w:tcPr>
            <w:tcW w:w="1560" w:type="dxa"/>
          </w:tcPr>
          <w:p w14:paraId="2D288003" w14:textId="59DB1B60"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~25</w:t>
            </w:r>
          </w:p>
        </w:tc>
      </w:tr>
      <w:tr w:rsidR="005C6A85" w:rsidRPr="00DE117B" w14:paraId="14F99C67" w14:textId="77777777" w:rsidTr="005C6A85">
        <w:tc>
          <w:tcPr>
            <w:tcW w:w="1555" w:type="dxa"/>
          </w:tcPr>
          <w:p w14:paraId="664198CE" w14:textId="5FBB36EF"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Masafumi Machida et al. 2006</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{"citationItems":[{"id":"ITEM-1","itemData":{"DOI":"10.1111/j.1600-079X.2005.00312.x","ISSN":"07423098","PMID":"16842534","abstract":"The etiology of idiopathic scoliosis is unknown. Scoliosis with many characteristics closely resembling those seen in idiopathic scoliosis has been produced in young chickens and bipedal rats after pinealectomy. In this study, we induced experimental scoliosis in C57BL/6J mice without pinealectomy and melatonin treatment suppressed the development of scoliosis. A total of 100 mice were divided into four groups: 20 quadrupedal mice served as controls; 30 mice underwent resection of two forelegs and tail at 3 wk of age (bipedal mice); the remaining 20 quadrupedal and 30 bipedal mice received intraperitoneal melatonin (8 mg/kg BW) at 19:00 hr daily. Before killing, blood samples were collected in the middle of dark cycle and melatonin levels were measured by radioimmunoassay. Spine X-ray and helical 3D-CT were examined after killing at 5 months of age. The bipedal mice without a tail were able to walk with standing posture, whereas the quadrupedal mice did not walk with standing posture. In C57BL/6J mice, the serum melatonin was reduced to nearly zero; however, the normal level was restored in both bipedal and quadrupedal mice after the injection of melatonin. Scoliosis with rib humps developed in 29 of 30 bipedal and in five quadrupedal mice. None of mice with melatonin treatment developed scoliosis. The results suggest that melatonin deficiency in bipedal mice appears to play crucial role for development of scoliosis. Also the restoration of melatonin levels prevents the development of scoliosis. © 2006 Blackwell Munksgaard.","author":[{"dropping-particle":"","family":"Machida","given":"Masafumi","non-dropping-particle":"","parse-names":false,"suffix":""},{"dropping-particle":"","family":"Dubousset","given":"Jean","non-dropping-particle":"","parse-names":false,"suffix":""},{"dropping-particle":"","family":"Yamada","given":"Thoru","non-dropping-particle":"","parse-names":false,"suffix":""},{"dropping-particle":"","family":"Kimura","given":"Jun","non-dropping-particle":"","parse-names":false,"suffix":""},{"dropping-particle":"","family":"Saito","given":"Masashi","non-dropping-particle":"","parse-names":false,"suffix":""},{"dropping-particle":"","family":"Shiraishi","given":"Tateru","non-dropping-particle":"","parse-names":false,"suffix":""},{"dropping-particle":"","family":"Yamagishi","given":"Masaaki","non-dropping-particle":"","parse-names":false,"suffix":""}],"container-title":"Journal of Pineal Research","id":"ITEM-1","issue":"1","issued":{"date-parts":[["2006"]]},"page":"1-7","title":"Experimental scoliosis in melatonin-deficient C57BL/6J mice without pinealectomy","type":"article-journal","volume":"41"},"uris":["http://www.mendeley.com/documents/?uuid=f68d1a23-eecc-4607-94a2-3acf86a52aab"]}],"mendeley":{"formattedCitation":"&lt;sup&gt;[6]&lt;/sup&gt;","plainTextFormattedCitation":"[6]","previouslyFormattedCitation":"&lt;sup&gt;[10]&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[6]</w:t>
            </w:r>
            <w:r w:rsidRPr="00DE117B">
              <w:rPr>
                <w:rFonts w:ascii="Times New Roman" w:hAnsi="Times New Roman" w:cs="Times New Roman"/>
                <w:sz w:val="21"/>
                <w:szCs w:val="21"/>
              </w:rPr>
              <w:fldChar w:fldCharType="end"/>
            </w:r>
          </w:p>
        </w:tc>
        <w:tc>
          <w:tcPr>
            <w:tcW w:w="3685" w:type="dxa"/>
          </w:tcPr>
          <w:p w14:paraId="7D8FF2C5" w14:textId="7B993DD2" w:rsidR="005C6A85" w:rsidRPr="00DE117B" w:rsidRDefault="005C6A85" w:rsidP="001E0D4E">
            <w:pPr>
              <w:rPr>
                <w:rFonts w:ascii="Times New Roman" w:hAnsi="Times New Roman" w:cs="Times New Roman"/>
                <w:sz w:val="21"/>
                <w:szCs w:val="21"/>
              </w:rPr>
            </w:pPr>
            <w:r w:rsidRPr="00DE117B">
              <w:rPr>
                <w:rFonts w:ascii="Times New Roman" w:hAnsi="Times New Roman" w:cs="Times New Roman"/>
                <w:sz w:val="21"/>
                <w:szCs w:val="21"/>
              </w:rPr>
              <w:t>RIA (Buhlmann Laboratories, AG, Allschwil,</w:t>
            </w:r>
            <w:r w:rsidR="001E0D4E" w:rsidRPr="00DE117B">
              <w:rPr>
                <w:rFonts w:ascii="Times New Roman" w:hAnsi="Times New Roman" w:cs="Times New Roman"/>
                <w:sz w:val="21"/>
                <w:szCs w:val="21"/>
              </w:rPr>
              <w:t xml:space="preserve"> </w:t>
            </w:r>
            <w:r w:rsidRPr="00DE117B">
              <w:rPr>
                <w:rFonts w:ascii="Times New Roman" w:hAnsi="Times New Roman" w:cs="Times New Roman"/>
                <w:sz w:val="21"/>
                <w:szCs w:val="21"/>
              </w:rPr>
              <w:t>Switzerland)</w:t>
            </w:r>
          </w:p>
        </w:tc>
        <w:tc>
          <w:tcPr>
            <w:tcW w:w="1559" w:type="dxa"/>
          </w:tcPr>
          <w:p w14:paraId="16616AE7" w14:textId="395960E5"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Not reported</w:t>
            </w:r>
          </w:p>
        </w:tc>
        <w:tc>
          <w:tcPr>
            <w:tcW w:w="1560" w:type="dxa"/>
          </w:tcPr>
          <w:p w14:paraId="324ED2CC" w14:textId="6051C9B2"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5.9±4.5</w:t>
            </w:r>
          </w:p>
        </w:tc>
      </w:tr>
      <w:tr w:rsidR="005C6A85" w:rsidRPr="00DE117B" w14:paraId="64573DF9" w14:textId="77777777" w:rsidTr="005C6A85">
        <w:tc>
          <w:tcPr>
            <w:tcW w:w="1555" w:type="dxa"/>
          </w:tcPr>
          <w:p w14:paraId="03AAFA53" w14:textId="00AD37F9"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 xml:space="preserve">Araceli </w:t>
            </w:r>
            <w:proofErr w:type="spellStart"/>
            <w:r w:rsidRPr="00DE117B">
              <w:rPr>
                <w:rFonts w:ascii="Times New Roman" w:hAnsi="Times New Roman" w:cs="Times New Roman"/>
                <w:sz w:val="21"/>
                <w:szCs w:val="21"/>
              </w:rPr>
              <w:t>Go´mez</w:t>
            </w:r>
            <w:proofErr w:type="spellEnd"/>
            <w:r w:rsidRPr="00DE117B">
              <w:rPr>
                <w:rFonts w:ascii="Times New Roman" w:hAnsi="Times New Roman" w:cs="Times New Roman"/>
                <w:sz w:val="21"/>
                <w:szCs w:val="21"/>
              </w:rPr>
              <w:t>-Corvera et al. 2009</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{"citationItems":[{"id":"ITEM-1","itemData":{"DOI":"10.1111/j.1600-079X.2009.00683.x","ISSN":"07423098","PMID":"19522737","abstract":"We evaluated two pineal melatonin deficient mice described in the literature, i.e., C57BL/6 and Swiss mice, as animal models for studying the immunomodulatory action of melatonin. Plasma melatonin levels in C57BL/6 and Swiss strains were detectable, but lower than levels in control C3H/HENHSD mice. Since these strains are suppose to be pineal melatonin deficient an extrapineal melatonin synthesis may contribute to plasma levels. Regarding cells and tissues from the immune system, all of them were found to synthesize melatonin although at low levels. N-acetyltransferase (AANAT) mRNA was also amplified in order to analyze the alternative splicing between exons 3-4 described for pineal C57BL/6 mice which generates an inclusion of a pseudoexon of 102 bp. For the pineal gland, both the wild type and the mutant isoforms were present in all mice strains although in different proportions. We observed a predominant wild type AANAT mature RNA in thymus, spleen and bone marrow cells. Peripheral blood mononuclear cells (PBMC) culture shown an evident AANAT amplification in all strains studied. Although the bands detected were less intense in melatonin deficient mice, the amplification almost reached the control cell intensity after stimulation with phytohemaglutinin (PHA). In summary, melatonin detection and AANAT mRNA expression in inbred and outbred mice clearly indicate that different cells and tissues from the immune system are able to synthesize melatonin. Thus, the pineal defect seems not to be generalized to all tissues, suggesting that other cells may compensate the low pineal melatonin production contributing to the measurable plasma melatonin level. © 2009 John Wiley &amp; Sons A/S.","author":[{"dropping-particle":"","family":"Gómez-Corvera","given":"Araceli","non-dropping-particle":"","parse-names":false,"suffix":""},{"dropping-particle":"","family":"Cerrillo","given":"Isabel","non-dropping-particle":"","parse-names":false,"suffix":""},{"dropping-particle":"","family":"Molinero","given":"Patrocinio","non-dropping-particle":"","parse-names":false,"suffix":""},{"dropping-particle":"","family":"Naranjo","given":"Maria Carmen","non-dropping-particle":"","parse-names":false,"suffix":""},{"dropping-particle":"","family":"Lardone","given":"Patricia Judith","non-dropping-particle":"","parse-names":false,"suffix":""},{"dropping-particle":"","family":"Sanchez-Hidalgo","given":"Marina","non-dropping-particle":"","parse-names":false,"suffix":""},{"dropping-particle":"","family":"Carrascosa-Salmoral","given":"Maria Pilar","non-dropping-particle":"","parse-names":false,"suffix":""},{"dropping-particle":"","family":"Medrano-Campillo","given":"Pablo","non-dropping-particle":"","parse-names":false,"suffix":""},{"dropping-particle":"","family":"Guerrero","given":"Juan Miguel","non-dropping-particle":"","parse-names":false,"suffix":""},{"dropping-particle":"","family":"Rubio","given":"Amalia","non-dropping-particle":"","parse-names":false,"suffix":""}],"container-title":"Journal of Pineal Research","id":"ITEM-1","issue":"1","issued":{"date-parts":[["2009"]]},"page":"15-22","title":"Evidence of immune system melatonin production by two pineal melatonin deficient mice, C57BL/6 and Swiss strains","type":"article-journal","volume":"47"},"uris":["http://www.mendeley.com/documents/?uuid=d58f796b-2e8b-4d1d-b09f-7039abc1b616"]}],"mendeley":{"formattedCitation":"&lt;sup&gt;[7]&lt;/sup&gt;","plainTextFormattedCitation":"[7]","previouslyFormattedCitation":"&lt;sup&gt;[11]&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[7]</w:t>
            </w:r>
            <w:r w:rsidRPr="00DE117B">
              <w:rPr>
                <w:rFonts w:ascii="Times New Roman" w:hAnsi="Times New Roman" w:cs="Times New Roman"/>
                <w:sz w:val="21"/>
                <w:szCs w:val="21"/>
              </w:rPr>
              <w:fldChar w:fldCharType="end"/>
            </w:r>
          </w:p>
        </w:tc>
        <w:tc>
          <w:tcPr>
            <w:tcW w:w="3685" w:type="dxa"/>
          </w:tcPr>
          <w:p w14:paraId="515206B6" w14:textId="1BADDA08"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ELISA (</w:t>
            </w:r>
            <w:proofErr w:type="spellStart"/>
            <w:r w:rsidRPr="00DE117B">
              <w:rPr>
                <w:rFonts w:ascii="Times New Roman" w:hAnsi="Times New Roman" w:cs="Times New Roman"/>
                <w:sz w:val="21"/>
                <w:szCs w:val="21"/>
              </w:rPr>
              <w:t>Immuno</w:t>
            </w:r>
            <w:proofErr w:type="spellEnd"/>
            <w:r w:rsidRPr="00DE117B">
              <w:rPr>
                <w:rFonts w:ascii="Times New Roman" w:hAnsi="Times New Roman" w:cs="Times New Roman"/>
                <w:sz w:val="21"/>
                <w:szCs w:val="21"/>
              </w:rPr>
              <w:t xml:space="preserve"> Biological Laboratories, Hamburg, Germany)</w:t>
            </w:r>
          </w:p>
        </w:tc>
        <w:tc>
          <w:tcPr>
            <w:tcW w:w="1559" w:type="dxa"/>
          </w:tcPr>
          <w:p w14:paraId="77922BC9" w14:textId="77777777"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 xml:space="preserve">44.04 </w:t>
            </w:r>
          </w:p>
          <w:p w14:paraId="52D855AC" w14:textId="77777777" w:rsidR="005C6A85" w:rsidRPr="00DE117B" w:rsidRDefault="005C6A85" w:rsidP="005C6A85">
            <w:pPr>
              <w:rPr>
                <w:rFonts w:ascii="Times New Roman" w:hAnsi="Times New Roman" w:cs="Times New Roman"/>
                <w:sz w:val="21"/>
                <w:szCs w:val="21"/>
              </w:rPr>
            </w:pPr>
          </w:p>
        </w:tc>
        <w:tc>
          <w:tcPr>
            <w:tcW w:w="1560" w:type="dxa"/>
          </w:tcPr>
          <w:p w14:paraId="505B945B" w14:textId="3DA6B7C7"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not reported</w:t>
            </w:r>
          </w:p>
        </w:tc>
      </w:tr>
      <w:tr w:rsidR="005B1BFE" w:rsidRPr="00DE117B" w14:paraId="5E34436B" w14:textId="77777777" w:rsidTr="001B19C5">
        <w:tc>
          <w:tcPr>
            <w:tcW w:w="1555" w:type="dxa"/>
          </w:tcPr>
          <w:p w14:paraId="5C704930" w14:textId="7B62049F" w:rsidR="005B1BFE" w:rsidRPr="00DE117B" w:rsidRDefault="005B1BFE" w:rsidP="005C6A85">
            <w:pPr>
              <w:rPr>
                <w:rFonts w:ascii="Times New Roman" w:hAnsi="Times New Roman" w:cs="Times New Roman"/>
                <w:sz w:val="21"/>
                <w:szCs w:val="21"/>
              </w:rPr>
            </w:pPr>
            <w:r w:rsidRPr="00DE117B">
              <w:rPr>
                <w:rFonts w:ascii="Times New Roman" w:hAnsi="Times New Roman" w:cs="Times New Roman"/>
                <w:sz w:val="21"/>
                <w:szCs w:val="21"/>
              </w:rPr>
              <w:t>Hui-Mei Wu et al. 2016</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{"citationItems":[{"id":"ITEM-1","itemData":{"DOI":"10.1111/jpi.12323","ISSN":"1600079X","PMID":"26914888","abstract":"Toll-like receptors (TLRs) play pivotal role in the pathogenesis of allergic airway diseases such as asthma. TLR9 is one of the most extensively studied TLRs as an approach to treat asthma. In this study, we investigated the role of TLR9 in the allergic airway inflammation and the underlying mechanism. Wild-type (WT) mice and TLR9-/- mice were sensitized and challenged with OVA to establish allergic airway disease model. We found that the expression of TLR9 was elevated concomitantly with airway inflammation post-OVA challenge, and TLR9 deficiency effectively inhibited airway inflammation, including serum OVA-specific immunoglobulin E (IgE), pulmonary inflammatory cell recruitment, mucus secretion, and bronchoalveolar lavage fluid (BALF) inflammatory cytokine production. Meanwhile, the protein expression of hydroxyindole-o-methyltransferase (HIOMT) in lung tissues, the level of melatonin in serum, and BALF were reduced in OVA-challenged WT mice, while these reductions were significantly restored by TLR9 deficiency. Additionally, we showed that although TLR9 deficiency had no effect on OVA-induced phosphorylation of JNK, inhibition of JNK by specific inhibitor SP600125 significantly decreased OVA-induced expression of TLR9, suggesting that JNK is the upstream signal molecular of TLR9. Furthermore, SP600125 treatment promoted resolution of allergic airway inflammation in OVA-challenged WT mice, but not further ameliorated allergic airway inflammation in OVA-challenged TLR9-/- mice. Similarly, SP600125 significantly restored the protein expression of HIOMT and the level of melatonin in OVA-challenged WT mice, while such effect was not further enhanced by TLR9 deficiency. Collectively, our results indicated that JNK-TLR9 signal pathway mediates allergic airway inflammation through suppressing melatonin biosynthesis.","author":[{"dropping-particle":"","family":"Wu","given":"Hui Mei","non-dropping-particle":"","parse-names":false,"suffix":""},{"dropping-particle":"","family":"Shen","given":"Qi Ying","non-dropping-particle":"","parse-names":false,"suffix":""},{"dropping-particle":"","family":"Fang","given":"Lei","non-dropping-particle":"","parse-names":false,"suffix":""},{"dropping-particle":"","family":"Zhang","given":"Shi Hai","non-dropping-particle":"","parse-names":false,"suffix":""},{"dropping-particle":"","family":"Shen","given":"Pei Ting","non-dropping-particle":"","parse-names":false,"suffix":""},{"dropping-particle":"","family":"Liu","given":"Ya Jing","non-dropping-particle":"","parse-names":false,"suffix":""},{"dropping-particle":"","family":"Liu","given":"Rong Yu","non-dropping-particle":"","parse-names":false,"suffix":""}],"container-title":"Journal of Pineal Research","id":"ITEM-1","issue":"4","issued":{"date-parts":[["2016"]]},"page":"415-423","title":"JNK-TLR9 signal pathway mediates allergic airway inflammation through suppressing melatonin biosynthesis","type":"article-journal","volume":"60"},"uris":["http://www.mendeley.com/documents/?uuid=de254988-f6c2-4930-8797-cf0a8529b966"]}],"mendeley":{"formattedCitation":"&lt;sup&gt;[8]&lt;/sup&gt;","plainTextFormattedCitation":"[8]","previouslyFormattedCitation":"&lt;sup&gt;[12]&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[8]</w:t>
            </w:r>
            <w:r w:rsidRPr="00DE117B">
              <w:rPr>
                <w:rFonts w:ascii="Times New Roman" w:hAnsi="Times New Roman" w:cs="Times New Roman"/>
                <w:sz w:val="21"/>
                <w:szCs w:val="21"/>
              </w:rPr>
              <w:fldChar w:fldCharType="end"/>
            </w:r>
          </w:p>
        </w:tc>
        <w:tc>
          <w:tcPr>
            <w:tcW w:w="3685" w:type="dxa"/>
          </w:tcPr>
          <w:p w14:paraId="5AB4A16F" w14:textId="34AD23DD" w:rsidR="005B1BFE" w:rsidRPr="00DE117B" w:rsidRDefault="004B36E3" w:rsidP="005C6A85">
            <w:pPr>
              <w:rPr>
                <w:rFonts w:ascii="Times New Roman" w:hAnsi="Times New Roman" w:cs="Times New Roman"/>
                <w:sz w:val="21"/>
                <w:szCs w:val="21"/>
              </w:rPr>
            </w:pPr>
            <w:r>
              <w:rPr>
                <w:rFonts w:ascii="Times New Roman" w:hAnsi="Times New Roman" w:cs="Times New Roman" w:hint="eastAsia"/>
                <w:sz w:val="21"/>
                <w:szCs w:val="21"/>
              </w:rPr>
              <w:t>P</w:t>
            </w:r>
            <w:r w:rsidR="005B1BFE" w:rsidRPr="00DE117B">
              <w:rPr>
                <w:rFonts w:ascii="Times New Roman" w:hAnsi="Times New Roman" w:cs="Times New Roman"/>
                <w:sz w:val="21"/>
                <w:szCs w:val="21"/>
              </w:rPr>
              <w:t>lasma sample</w:t>
            </w:r>
            <w:r w:rsidR="00F77A22" w:rsidRPr="00DE117B">
              <w:rPr>
                <w:rFonts w:ascii="Times New Roman" w:hAnsi="Times New Roman" w:cs="Times New Roman"/>
                <w:sz w:val="21"/>
                <w:szCs w:val="21"/>
              </w:rPr>
              <w:t>,</w:t>
            </w:r>
            <w:r w:rsidR="005B1BFE" w:rsidRPr="00DE117B">
              <w:rPr>
                <w:rFonts w:ascii="Times New Roman" w:hAnsi="Times New Roman" w:cs="Times New Roman"/>
                <w:sz w:val="21"/>
                <w:szCs w:val="21"/>
              </w:rPr>
              <w:t xml:space="preserve"> ELISA (</w:t>
            </w:r>
            <w:proofErr w:type="spellStart"/>
            <w:r w:rsidR="005B1BFE" w:rsidRPr="00DE117B">
              <w:rPr>
                <w:rFonts w:ascii="Times New Roman" w:hAnsi="Times New Roman" w:cs="Times New Roman"/>
                <w:sz w:val="21"/>
                <w:szCs w:val="21"/>
              </w:rPr>
              <w:t>Cusabio</w:t>
            </w:r>
            <w:proofErr w:type="spellEnd"/>
            <w:r w:rsidR="001E0D4E" w:rsidRPr="00DE117B">
              <w:rPr>
                <w:rFonts w:ascii="Times New Roman" w:hAnsi="Times New Roman" w:cs="Times New Roman"/>
                <w:sz w:val="21"/>
                <w:szCs w:val="21"/>
              </w:rPr>
              <w:t xml:space="preserve">, </w:t>
            </w:r>
            <w:r w:rsidR="005B1BFE" w:rsidRPr="00DE117B">
              <w:rPr>
                <w:rFonts w:ascii="Times New Roman" w:hAnsi="Times New Roman" w:cs="Times New Roman"/>
                <w:sz w:val="21"/>
                <w:szCs w:val="21"/>
              </w:rPr>
              <w:t>Wuhan, China)</w:t>
            </w:r>
          </w:p>
        </w:tc>
        <w:tc>
          <w:tcPr>
            <w:tcW w:w="3119" w:type="dxa"/>
            <w:gridSpan w:val="2"/>
          </w:tcPr>
          <w:p w14:paraId="0913F896" w14:textId="0C4515C9" w:rsidR="005B1BFE" w:rsidRPr="00DE117B" w:rsidRDefault="005B1BFE" w:rsidP="005C6A85">
            <w:pPr>
              <w:rPr>
                <w:rFonts w:ascii="Times New Roman" w:hAnsi="Times New Roman" w:cs="Times New Roman"/>
                <w:sz w:val="21"/>
                <w:szCs w:val="21"/>
              </w:rPr>
            </w:pPr>
            <w:r w:rsidRPr="00DE117B">
              <w:rPr>
                <w:rFonts w:ascii="Times New Roman" w:hAnsi="Times New Roman" w:cs="Times New Roman"/>
                <w:sz w:val="21"/>
                <w:szCs w:val="21"/>
              </w:rPr>
              <w:t>~20</w:t>
            </w:r>
            <w:r w:rsidR="00E3082A" w:rsidRPr="00DE117B">
              <w:rPr>
                <w:rFonts w:ascii="Times New Roman" w:hAnsi="Times New Roman" w:cs="Times New Roman"/>
                <w:sz w:val="21"/>
                <w:szCs w:val="21"/>
              </w:rPr>
              <w:t>, sampling time points were not reported</w:t>
            </w:r>
          </w:p>
        </w:tc>
      </w:tr>
      <w:tr w:rsidR="005B1BFE" w:rsidRPr="00DE117B" w14:paraId="75B9B36E" w14:textId="77777777" w:rsidTr="00CE5FB0">
        <w:tc>
          <w:tcPr>
            <w:tcW w:w="1555" w:type="dxa"/>
          </w:tcPr>
          <w:p w14:paraId="65BA91A5" w14:textId="228DE388" w:rsidR="005B1BFE" w:rsidRPr="00DE117B" w:rsidRDefault="005B1BFE" w:rsidP="005C6A85">
            <w:pPr>
              <w:rPr>
                <w:rFonts w:ascii="Times New Roman" w:hAnsi="Times New Roman" w:cs="Times New Roman"/>
                <w:sz w:val="21"/>
                <w:szCs w:val="21"/>
              </w:rPr>
            </w:pPr>
            <w:proofErr w:type="spellStart"/>
            <w:r w:rsidRPr="00DE117B">
              <w:rPr>
                <w:rFonts w:ascii="Times New Roman" w:hAnsi="Times New Roman" w:cs="Times New Roman"/>
                <w:sz w:val="21"/>
                <w:szCs w:val="21"/>
              </w:rPr>
              <w:t>Jingliang</w:t>
            </w:r>
            <w:proofErr w:type="spellEnd"/>
            <w:r w:rsidRPr="00DE117B">
              <w:rPr>
                <w:rFonts w:ascii="Times New Roman" w:hAnsi="Times New Roman" w:cs="Times New Roman"/>
                <w:sz w:val="21"/>
                <w:szCs w:val="21"/>
              </w:rPr>
              <w:t xml:space="preserve"> Liu et al. 2021</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{"citationItems":[{"id":"ITEM-1","itemData":{"DOI":"10.3389/fnut.2021.784681","ISSN":"2296861X","abstract":"Background: Intermittent fasting (IF) can reduce energy intake and body weight (BW). Melatonin has many known functions, which include reducing appetite and preventing excessive weight gain. Objective: This study aimed to investigate the effects of IF on body fat and the gut microbiota and metabolome as well as a potential interaction with melatonin. Methods: Male C57BL/6J mice (23.0 ± 0.9 g, 6 wk old) were randomly assigned into four groups (12 mice/group): control (C), intermittent fasting (F), melatonin (M), and intermittent fasting plus melatonin (MF). The C and M groups mice were provided with ad libitum access to food and water, while the F and MF groups underwent alternative-day feed deprivation (15 cycles total). Melatonin was administered in the drinking water of the M and MF groups. Blood, epididymal fat, liver tissue, and intestinal tissue and contents were collected for lab measurements, histology, and microbiota and metabolome analysis. Main effects and interactions were tested by 2-factor ANOVA. Results: IF significantly reduced BW gain and serum glucose, total cholesterol (TC) and triglyceride (TG) levels. Adipocyte size significantly decreased with IF, then the number of adipocytes per square millimeter significantly increased (P &lt; 0.05). Compared to the C group, the M and MF groups had significantly higher serum melatonin levels (17 and 21%, respectively), although melatonin monotherapy had no effect on serum parameters and adipocytes. There was no interaction between IF and melatonin on BW gain and serum parameters except for on adipocyte area and number per square millimeter, Bacteroidetes and Akkermansia bacterial abundance, and the levels of the intestinal metabolites alanine, valine and isoleucine. IF changed the intestinal microbiota structure, with the F and MF groups clearly separating from the C and M groups. Metabolomic analysis showed that there was obvious separation between all four groups. Conclusions: IF, but neither melatonin nor the interaction between IF and melatonin, could alter intestinal microbiota and metabolism and prevent obesity by reducing BW gain, serum glucose, TC, and TG, and adipocyte size in mice.","author":[{"dropping-particle":"","family":"Liu","given":"Jingliang","non-dropping-particle":"","parse-names":false,"suffix":""},{"dropping-particle":"","family":"Zhong","given":"Yifan","non-dropping-particle":"","parse-names":false,"suffix":""},{"dropping-particle":"","family":"Luo","given":"Xin M.","non-dropping-particle":"","parse-names":false,"suffix":""},{"dropping-particle":"","family":"Ma","given":"Yanfei","non-dropping-particle":"","parse-names":false,"suffix":""},{"dropping-particle":"","family":"Liu","given":"Jianxin","non-dropping-particle":"","parse-names":false,"suffix":""},{"dropping-particle":"","family":"Wang","given":"Haifeng","non-dropping-particle":"","parse-names":false,"suffix":""}],"container-title":"Frontiers in Nutrition","id":"ITEM-1","issue":"November","issued":{"date-parts":[["2021"]]},"page":"1-14","title":"Intermittent Fasting Reshapes the Gut Microbiota and Metabolome and Reduces Weight Gain More Effectively Than Melatonin in Mice","type":"article-journal","volume":"8"},"uris":["http://www.mendeley.com/documents/?uuid=b646c756-c263-4096-8d7e-01facc988145"]}],"mendeley":{"formattedCitation":"&lt;sup&gt;[9]&lt;/sup&gt;","plainTextFormattedCitation":"[9]","previouslyFormattedCitation":"&lt;sup&gt;[13]&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[9]</w:t>
            </w:r>
            <w:r w:rsidRPr="00DE117B">
              <w:rPr>
                <w:rFonts w:ascii="Times New Roman" w:hAnsi="Times New Roman" w:cs="Times New Roman"/>
                <w:sz w:val="21"/>
                <w:szCs w:val="21"/>
              </w:rPr>
              <w:fldChar w:fldCharType="end"/>
            </w:r>
          </w:p>
        </w:tc>
        <w:tc>
          <w:tcPr>
            <w:tcW w:w="3685" w:type="dxa"/>
          </w:tcPr>
          <w:p w14:paraId="417259E2" w14:textId="0135AF69" w:rsidR="005B1BFE" w:rsidRPr="00DE117B" w:rsidRDefault="005B1BFE" w:rsidP="005C6A85">
            <w:pPr>
              <w:rPr>
                <w:rFonts w:ascii="Times New Roman" w:hAnsi="Times New Roman" w:cs="Times New Roman"/>
                <w:sz w:val="21"/>
                <w:szCs w:val="21"/>
              </w:rPr>
            </w:pPr>
            <w:r w:rsidRPr="00DE117B">
              <w:rPr>
                <w:rFonts w:ascii="Times New Roman" w:hAnsi="Times New Roman" w:cs="Times New Roman"/>
                <w:sz w:val="21"/>
                <w:szCs w:val="21"/>
              </w:rPr>
              <w:t xml:space="preserve">ELISA (H256-1-2, Nanjing </w:t>
            </w:r>
            <w:proofErr w:type="spellStart"/>
            <w:r w:rsidRPr="00DE117B">
              <w:rPr>
                <w:rFonts w:ascii="Times New Roman" w:hAnsi="Times New Roman" w:cs="Times New Roman"/>
                <w:sz w:val="21"/>
                <w:szCs w:val="21"/>
              </w:rPr>
              <w:t>Jiancheng</w:t>
            </w:r>
            <w:proofErr w:type="spellEnd"/>
            <w:r w:rsidRPr="00DE117B">
              <w:rPr>
                <w:rFonts w:ascii="Times New Roman" w:hAnsi="Times New Roman" w:cs="Times New Roman"/>
                <w:sz w:val="21"/>
                <w:szCs w:val="21"/>
              </w:rPr>
              <w:t xml:space="preserve"> Bioengineering Institution,</w:t>
            </w:r>
            <w:r w:rsidR="001E0D4E" w:rsidRPr="00DE117B">
              <w:rPr>
                <w:rFonts w:ascii="Times New Roman" w:hAnsi="Times New Roman" w:cs="Times New Roman"/>
                <w:sz w:val="21"/>
                <w:szCs w:val="21"/>
              </w:rPr>
              <w:t xml:space="preserve"> </w:t>
            </w:r>
            <w:r w:rsidRPr="00DE117B">
              <w:rPr>
                <w:rFonts w:ascii="Times New Roman" w:hAnsi="Times New Roman" w:cs="Times New Roman"/>
                <w:sz w:val="21"/>
                <w:szCs w:val="21"/>
              </w:rPr>
              <w:t>Nanjing, China)</w:t>
            </w:r>
          </w:p>
        </w:tc>
        <w:tc>
          <w:tcPr>
            <w:tcW w:w="3119" w:type="dxa"/>
            <w:gridSpan w:val="2"/>
          </w:tcPr>
          <w:p w14:paraId="1DB9A348" w14:textId="01A35A52" w:rsidR="005B1BFE" w:rsidRPr="00DE117B" w:rsidRDefault="005B1BFE" w:rsidP="005C6A85">
            <w:pPr>
              <w:rPr>
                <w:rFonts w:ascii="Times New Roman" w:hAnsi="Times New Roman" w:cs="Times New Roman"/>
                <w:sz w:val="21"/>
                <w:szCs w:val="21"/>
              </w:rPr>
            </w:pPr>
            <w:r w:rsidRPr="00DE117B">
              <w:rPr>
                <w:rFonts w:ascii="Times New Roman" w:hAnsi="Times New Roman" w:cs="Times New Roman"/>
                <w:sz w:val="21"/>
                <w:szCs w:val="21"/>
              </w:rPr>
              <w:t>525</w:t>
            </w:r>
            <w:r w:rsidR="00E3082A" w:rsidRPr="00DE117B">
              <w:rPr>
                <w:rFonts w:ascii="Times New Roman" w:hAnsi="Times New Roman" w:cs="Times New Roman"/>
                <w:sz w:val="21"/>
                <w:szCs w:val="21"/>
              </w:rPr>
              <w:t>, sampling time points were not reported</w:t>
            </w:r>
          </w:p>
        </w:tc>
      </w:tr>
      <w:tr w:rsidR="005C6A85" w:rsidRPr="00DE117B" w14:paraId="5DC2892B" w14:textId="77777777" w:rsidTr="005C6A85">
        <w:tc>
          <w:tcPr>
            <w:tcW w:w="1555" w:type="dxa"/>
          </w:tcPr>
          <w:p w14:paraId="326A255C" w14:textId="250D9E00" w:rsidR="005C6A85" w:rsidRPr="00DE117B" w:rsidRDefault="005C6A85" w:rsidP="005C6A85">
            <w:pPr>
              <w:rPr>
                <w:rFonts w:ascii="Times New Roman" w:hAnsi="Times New Roman" w:cs="Times New Roman"/>
                <w:sz w:val="21"/>
                <w:szCs w:val="21"/>
              </w:rPr>
            </w:pPr>
            <w:proofErr w:type="spellStart"/>
            <w:r w:rsidRPr="00DE117B">
              <w:rPr>
                <w:rFonts w:ascii="Times New Roman" w:hAnsi="Times New Roman" w:cs="Times New Roman"/>
                <w:sz w:val="21"/>
                <w:szCs w:val="21"/>
              </w:rPr>
              <w:t>Honglian</w:t>
            </w:r>
            <w:proofErr w:type="spellEnd"/>
            <w:r w:rsidRPr="00DE117B">
              <w:rPr>
                <w:rFonts w:ascii="Times New Roman" w:hAnsi="Times New Roman" w:cs="Times New Roman"/>
                <w:sz w:val="21"/>
                <w:szCs w:val="21"/>
              </w:rPr>
              <w:t xml:space="preserve"> Yang et al. 2024</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{"citationItems":[{"id":"ITEM-1","itemData":{"DOI":"10.1096/fj.202302233RR","ISSN":"15306860","PMID":"38558188","abstract":"Circadian rhythms in metabolically active tissues are crucial for maintaining physical health. Circadian disturbance (CD) can cause various health issues, such as metabolic abnormalities and immune and cognitive dysfunctions. However, studies on the role of CD in immune cell development and differentiation, as well as the rhythmic expression of the core clock genes and their altered expression under CD, remain unclear. Therefore, we exposed C57bl/6j mice to repeated reversed light–dark cycles for 90 days to research the effects of CD on bone marrow (BM) hematopoietic function. We also researched the effects of CD on endogenous circadian rhythms, temporally dependent expression in peripheral blood and myeloid leukocytes, environmental homeostasis within BM, and circadian oscillations of hematopoietic–extrinsic cues. Our results confirmed that when the light and dark cycles around mice were frequently reversed, the circadian rhythmic expression of the two main circadian rhythm markers, the hypothalamic clock gene, and serum melatonin, was disturbed, indicating that the body was in a state of endogenous CD. Furthermore, CD altered the temporally dependent expression of peripheral blood and BM leukocytes and destroyed environmental homeostasis within the BM as well as circadian oscillations of hematopoietic–extrinsic cues, which may negatively affect BM hematopoiesis in mice. Collectively, these results demonstrate that circadian rhythms are vital for maintaining health and suggest that the association between CD and hematopoietic dysfunction warrants further investigation.","author":[{"dropping-particle":"","family":"Yang","given":"Honglian","non-dropping-particle":"","parse-names":false,"suffix":""},{"dropping-particle":"","family":"Zhao","given":"Guojie","non-dropping-particle":"","parse-names":false,"suffix":""},{"dropping-particle":"","family":"Lu","given":"Yue","non-dropping-particle":"","parse-names":false,"suffix":""},{"dropping-particle":"","family":"Ma","given":"Kefeng","non-dropping-particle":"","parse-names":false,"suffix":""},{"dropping-particle":"","family":"Gao","given":"Xiujie","non-dropping-particle":"","parse-names":false,"suffix":""},{"dropping-particle":"","family":"She","given":"Xiaojun","non-dropping-particle":"","parse-names":false,"suffix":""},{"dropping-particle":"","family":"Zhu","given":"Yingwen","non-dropping-particle":"","parse-names":false,"suffix":""},{"dropping-particle":"","family":"Wang","given":"Kun","non-dropping-particle":"","parse-names":false,"suffix":""},{"dropping-particle":"","family":"Du","given":"Lianqun","non-dropping-particle":"","parse-names":false,"suffix":""},{"dropping-particle":"","family":"Wang","given":"Ying","non-dropping-particle":"","parse-names":false,"suffix":""},{"dropping-particle":"","family":"Xi","given":"Zhuge","non-dropping-particle":"","parse-names":false,"suffix":""},{"dropping-particle":"","family":"Cui","given":"Bo","non-dropping-particle":"","parse-names":false,"suffix":""}],"container-title":"FASEB Journal","id":"ITEM-1","issue":"7","issued":{"date-parts":[["2024"]]},"page":"1-15","title":"Circadian disturbances by altering the light–dark cycle negatively affects hematopoietic function of bone marrow in mice","type":"article-journal","volume":"38"},"uris":["http://www.mendeley.com/documents/?uuid=b3357a4e-acca-43be-8106-48773894fba0"]}],"mendeley":{"formattedCitation":"&lt;sup&gt;[10]&lt;/sup&gt;","plainTextFormattedCitation":"[10]","previouslyFormattedCitation":"&lt;sup&gt;[14]&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[10]</w:t>
            </w:r>
            <w:r w:rsidRPr="00DE117B">
              <w:rPr>
                <w:rFonts w:ascii="Times New Roman" w:hAnsi="Times New Roman" w:cs="Times New Roman"/>
                <w:sz w:val="21"/>
                <w:szCs w:val="21"/>
              </w:rPr>
              <w:fldChar w:fldCharType="end"/>
            </w:r>
          </w:p>
        </w:tc>
        <w:tc>
          <w:tcPr>
            <w:tcW w:w="3685" w:type="dxa"/>
          </w:tcPr>
          <w:p w14:paraId="2D280E6B" w14:textId="77777777"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 xml:space="preserve">ELISA (LS-F25779-1, </w:t>
            </w:r>
            <w:proofErr w:type="spellStart"/>
            <w:r w:rsidRPr="00DE117B">
              <w:rPr>
                <w:rFonts w:ascii="Times New Roman" w:hAnsi="Times New Roman" w:cs="Times New Roman"/>
                <w:sz w:val="21"/>
                <w:szCs w:val="21"/>
              </w:rPr>
              <w:t>LifeSpan</w:t>
            </w:r>
            <w:proofErr w:type="spellEnd"/>
            <w:r w:rsidRPr="00DE117B">
              <w:rPr>
                <w:rFonts w:ascii="Times New Roman" w:hAnsi="Times New Roman" w:cs="Times New Roman"/>
                <w:sz w:val="21"/>
                <w:szCs w:val="21"/>
              </w:rPr>
              <w:t xml:space="preserve"> </w:t>
            </w:r>
            <w:proofErr w:type="spellStart"/>
            <w:r w:rsidRPr="00DE117B">
              <w:rPr>
                <w:rFonts w:ascii="Times New Roman" w:hAnsi="Times New Roman" w:cs="Times New Roman"/>
                <w:sz w:val="21"/>
                <w:szCs w:val="21"/>
              </w:rPr>
              <w:t>BioSciences</w:t>
            </w:r>
            <w:proofErr w:type="spellEnd"/>
            <w:r w:rsidRPr="00DE117B">
              <w:rPr>
                <w:rFonts w:ascii="Times New Roman" w:hAnsi="Times New Roman" w:cs="Times New Roman"/>
                <w:sz w:val="21"/>
                <w:szCs w:val="21"/>
              </w:rPr>
              <w:t>, USA)</w:t>
            </w:r>
          </w:p>
        </w:tc>
        <w:tc>
          <w:tcPr>
            <w:tcW w:w="1559" w:type="dxa"/>
          </w:tcPr>
          <w:p w14:paraId="74BDEA19" w14:textId="77777777"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50~60</w:t>
            </w:r>
          </w:p>
        </w:tc>
        <w:tc>
          <w:tcPr>
            <w:tcW w:w="1560" w:type="dxa"/>
          </w:tcPr>
          <w:p w14:paraId="34CAA902" w14:textId="5D7DCF0D" w:rsidR="005C6A85" w:rsidRPr="00DE117B" w:rsidRDefault="001E0D4E" w:rsidP="005C6A85">
            <w:pPr>
              <w:rPr>
                <w:rFonts w:ascii="Times New Roman" w:hAnsi="Times New Roman" w:cs="Times New Roman"/>
                <w:sz w:val="21"/>
                <w:szCs w:val="21"/>
              </w:rPr>
            </w:pPr>
            <w:r w:rsidRPr="00DE117B">
              <w:rPr>
                <w:rFonts w:ascii="Times New Roman" w:hAnsi="Times New Roman" w:cs="Times New Roman"/>
                <w:sz w:val="21"/>
                <w:szCs w:val="21"/>
              </w:rPr>
              <w:t xml:space="preserve">~60, </w:t>
            </w:r>
            <w:r w:rsidR="005C6A85" w:rsidRPr="00DE117B">
              <w:rPr>
                <w:rFonts w:ascii="Times New Roman" w:hAnsi="Times New Roman" w:cs="Times New Roman"/>
                <w:sz w:val="21"/>
                <w:szCs w:val="21"/>
              </w:rPr>
              <w:t xml:space="preserve">peak at 8:00 h </w:t>
            </w:r>
          </w:p>
        </w:tc>
      </w:tr>
      <w:tr w:rsidR="005B1BFE" w:rsidRPr="00DE117B" w14:paraId="10F5749E" w14:textId="77777777" w:rsidTr="0005722F">
        <w:tc>
          <w:tcPr>
            <w:tcW w:w="1555" w:type="dxa"/>
          </w:tcPr>
          <w:p w14:paraId="0B150F7D" w14:textId="3471CAA7" w:rsidR="005B1BFE" w:rsidRPr="00DE117B" w:rsidRDefault="005B1BFE" w:rsidP="005C6A85">
            <w:pPr>
              <w:rPr>
                <w:rFonts w:ascii="Times New Roman" w:hAnsi="Times New Roman" w:cs="Times New Roman"/>
                <w:sz w:val="21"/>
                <w:szCs w:val="21"/>
              </w:rPr>
            </w:pPr>
            <w:r w:rsidRPr="00DE117B">
              <w:rPr>
                <w:rFonts w:ascii="Times New Roman" w:hAnsi="Times New Roman" w:cs="Times New Roman"/>
                <w:sz w:val="21"/>
                <w:szCs w:val="21"/>
              </w:rPr>
              <w:t xml:space="preserve">Dongying </w:t>
            </w:r>
            <w:proofErr w:type="spellStart"/>
            <w:r w:rsidRPr="00DE117B">
              <w:rPr>
                <w:rFonts w:ascii="Times New Roman" w:hAnsi="Times New Roman" w:cs="Times New Roman"/>
                <w:sz w:val="21"/>
                <w:szCs w:val="21"/>
              </w:rPr>
              <w:t>Lv</w:t>
            </w:r>
            <w:proofErr w:type="spellEnd"/>
            <w:r w:rsidRPr="00DE117B">
              <w:rPr>
                <w:rFonts w:ascii="Times New Roman" w:hAnsi="Times New Roman" w:cs="Times New Roman"/>
                <w:sz w:val="21"/>
                <w:szCs w:val="21"/>
              </w:rPr>
              <w:t xml:space="preserve"> et al. 2024</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{"citationItems":[{"id":"ITEM-1","itemData":{"DOI":"10.3390/antiox13121500","ISSN":"20763921","abstract":"Obesity has emerged as a major risk factor for human health, exacerbated by aging and changes in dietary habits. It represents a significant health challenge, particularly for older people. While numerous studies have examined the effects of obesity and aging on fat metabolism independently, research on their combined effects is limited. In the present study, the protective action against white fat accumulation after a high-fat diet (HFD) exerted by exogenous melatonin, a circadian hormone endowed with antioxidant properties also involved in fat metabolism, was investigated in a mouse model. For this purpose, a battery of tests was applied before and after the dietary and melatonin treatments of the animals, including epididymal white adipose tissue (eWAT) histological evaluations, transcriptomic and lipidomic analyses, real-time PCR tests, immunofluorescence staining, Western blot, the appraisal of serum melatonin levels, and transmission electron microscopy. This study found that aged mice on a high-fat diet (HFD) showed increased lipid deposition, inflammation, and reduced antioxidant glutathione (GSH) levels compared to younger mice. Lipidomic and transcriptomic analyses revealed elevated triglycerides, diglycerides, ceramides, and cholesterol, along with decreased sphingomyelin and fatty acids in eWAT. The genes linked to inflammation, NF-κB signaling, autophagy, and lipid metabolism, particularly the melatonin and glutathione pathways, were significantly altered. The aged HFD mice also exhibited reduced melatonin levels in serum and eWAT. Melatonin supplementation reduced lipid deposition, increased melatonin and GSH levels, and upregulated AANAT and MTNR1A expression in eWAT, suggesting that melatonin alleviates eWAT damage via the MTNR1A pathway. It also suppressed inflammatory markers (e.g., TNF-α, NLRP3, NF-κB, IL-1β, and CEBPB) and preserved mitochondrial function through enhanced mitophagy. This study highlights how aging and HFD affect lipid metabolism and gene expression, offering potential intervention strategies. These findings provide important insights into the mechanisms of fat deposition associated with aging and a high-fat diet, suggesting potential intervention strategies.","author":[{"dropping-particle":"","family":"Lv","given":"Dongying","non-dropping-particle":"","parse-names":false,"suffix":""},{"dropping-particle":"","family":"Ren","given":"Yujie","non-dropping-particle":"","parse-names":false,"suffix":""},{"dropping-particle":"","family":"Chen","given":"Jiayan","non-dropping-particle":"","parse-names":false,"suffix":""},{"dropping-particle":"","family":"Pang","given":"Ziyao","non-dropping-particle":"","parse-names":false,"suffix":""},{"dropping-particle":"","family":"Tang","given":"Yaxuan","non-dropping-particle":"","parse-names":false,"suffix":""},{"dropping-particle":"","family":"Zhang","given":"Lizong","non-dropping-particle":"","parse-names":false,"suffix":""},{"dropping-particle":"","family":"Yan","given":"Laiqing","non-dropping-particle":"","parse-names":false,"suffix":""},{"dropping-particle":"","family":"Ai","given":"Xiufeng","non-dropping-particle":"","parse-names":false,"suffix":""},{"dropping-particle":"","family":"Xv","given":"Xiaoping","non-dropping-particle":"","parse-names":false,"suffix":""},{"dropping-particle":"","family":"Wang","given":"Dejun","non-dropping-particle":"","parse-names":false,"suffix":""},{"dropping-particle":"","family":"Cai","given":"Zhaowei","non-dropping-particle":"","parse-names":false,"suffix":""}],"container-title":"Antioxidants","id":"ITEM-1","issue":"12","issued":{"date-parts":[["2024"]]},"title":"Protective Effects of Exogenous Melatonin Administration on White Fat Metabolism Disruption Induced by Aging and a High-Fat Diet in Mice","type":"article-journal","volume":"13"},"uris":["http://www.mendeley.com/documents/?uuid=a8a11a7a-cf9d-46f6-94a4-e7c580b54d45"]}],"mendeley":{"formattedCitation":"&lt;sup&gt;[11]&lt;/sup&gt;","plainTextFormattedCitation":"[11]","previouslyFormattedCitation":"&lt;sup&gt;[15]&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[11]</w:t>
            </w:r>
            <w:r w:rsidRPr="00DE117B">
              <w:rPr>
                <w:rFonts w:ascii="Times New Roman" w:hAnsi="Times New Roman" w:cs="Times New Roman"/>
                <w:sz w:val="21"/>
                <w:szCs w:val="21"/>
              </w:rPr>
              <w:fldChar w:fldCharType="end"/>
            </w:r>
          </w:p>
        </w:tc>
        <w:tc>
          <w:tcPr>
            <w:tcW w:w="3685" w:type="dxa"/>
          </w:tcPr>
          <w:p w14:paraId="12FC36F2" w14:textId="5AEA8A8C" w:rsidR="005B1BFE" w:rsidRPr="00DE117B" w:rsidRDefault="005B1BFE" w:rsidP="005C6A85">
            <w:pPr>
              <w:rPr>
                <w:rFonts w:ascii="Times New Roman" w:hAnsi="Times New Roman" w:cs="Times New Roman"/>
                <w:sz w:val="21"/>
                <w:szCs w:val="21"/>
              </w:rPr>
            </w:pPr>
            <w:r w:rsidRPr="00DE117B">
              <w:rPr>
                <w:rFonts w:ascii="Times New Roman" w:hAnsi="Times New Roman" w:cs="Times New Roman"/>
                <w:sz w:val="21"/>
                <w:szCs w:val="21"/>
              </w:rPr>
              <w:t>HPLC mass spectrometry</w:t>
            </w:r>
          </w:p>
        </w:tc>
        <w:tc>
          <w:tcPr>
            <w:tcW w:w="3119" w:type="dxa"/>
            <w:gridSpan w:val="2"/>
          </w:tcPr>
          <w:p w14:paraId="29BB493D" w14:textId="2FFCA5EE" w:rsidR="005B1BFE" w:rsidRPr="00DE117B" w:rsidRDefault="005B1BFE" w:rsidP="005C6A85">
            <w:pPr>
              <w:rPr>
                <w:rFonts w:ascii="Times New Roman" w:hAnsi="Times New Roman" w:cs="Times New Roman"/>
                <w:sz w:val="21"/>
                <w:szCs w:val="21"/>
              </w:rPr>
            </w:pPr>
            <w:r w:rsidRPr="00DE117B">
              <w:rPr>
                <w:rFonts w:ascii="Times New Roman" w:hAnsi="Times New Roman" w:cs="Times New Roman"/>
                <w:sz w:val="21"/>
                <w:szCs w:val="21"/>
              </w:rPr>
              <w:t>~20</w:t>
            </w:r>
            <w:r w:rsidR="00E3082A" w:rsidRPr="00DE117B">
              <w:rPr>
                <w:rFonts w:ascii="Times New Roman" w:hAnsi="Times New Roman" w:cs="Times New Roman"/>
                <w:sz w:val="21"/>
                <w:szCs w:val="21"/>
              </w:rPr>
              <w:t>, sampling time points were not reported</w:t>
            </w:r>
          </w:p>
        </w:tc>
      </w:tr>
      <w:tr w:rsidR="005B1BFE" w:rsidRPr="00DE117B" w14:paraId="6CFE95DF" w14:textId="77777777" w:rsidTr="00112E99">
        <w:tc>
          <w:tcPr>
            <w:tcW w:w="1555" w:type="dxa"/>
          </w:tcPr>
          <w:p w14:paraId="6FCD4ED4" w14:textId="42A9A8B8" w:rsidR="005B1BFE" w:rsidRPr="00DE117B" w:rsidRDefault="005B1BFE" w:rsidP="005C6A85">
            <w:pPr>
              <w:rPr>
                <w:rFonts w:ascii="Times New Roman" w:hAnsi="Times New Roman" w:cs="Times New Roman"/>
                <w:sz w:val="21"/>
                <w:szCs w:val="21"/>
              </w:rPr>
            </w:pPr>
            <w:r w:rsidRPr="00DE117B">
              <w:rPr>
                <w:rFonts w:ascii="Times New Roman" w:hAnsi="Times New Roman" w:cs="Times New Roman"/>
                <w:sz w:val="21"/>
                <w:szCs w:val="21"/>
              </w:rPr>
              <w:t>Hongyi Yang et al. 2025</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{"citationItems":[{"id":"ITEM-1","itemData":{"DOI":"10.3390/toxics13020097","ISSN":"23056304","abstract":"In recent years, the influence of environmental factors on organismal aging has garnered increasing attention. Studies have shown that sleep deprivation and environmental pollutants could accelerate the emergence of multiple organismal aging phenotypes. In addition, studies have shown that chronic exposure to sodium arsenite (iAs) induces skeletal muscle atrophy and the inhibition of melatonin secretion in rats. This study aimed to reveal the synergistic effect of sleep deprivation and arsenite exposure on skeletal muscle aging, including reduced limb grip strength and skeletal muscle mass, along with the serum levels of melatonin (MT) and cortisol (COR) in C57BL/6J mice. The results demonstrated that while exposure to arsenite for 12 weeks or sleep deprivation (SD) for 4 weeks did not exert significant effects on limb grip strength or skeletal muscle mass, their combination exhibited a synergistic effect on skeletal muscle aging. Notably, the iAs+SD group exhibited a significant decline in limb grip strength by Week 12, accompanied by a reduced gastrocnemius muscle mass and muscle index. The pathological analysis showed muscle fiber atrophy, a shift towards slow-twitch muscle fibers (type I), and shortened telomere length. Additionally, oxidative damage was increased in the SD and iAs+SD groups, with decreased levels of SOD and GPx and elevated levels of MDA in the iAs+SD group. The serum MT level and MT/COR ratio were significantly reduced, while the serum COR level was elevated in the iAs+SD group compared to the other groups. A correlation analysis further revealed that the serum MT level and the MT/COR ratio were positively correlated with limb grip strength, muscle index, and telomere length, whereas the serum COR level exhibited negative correlations with these parameters. These findings suggest that sleep deprivation and subchronic exposure to arsenite synergistically induce skeletal muscle aging, and that the disruption of the balance between MT and COR potentially serves as a significant risk factor.","author":[{"dropping-particle":"","family":"Yang","given":"Hongyi","non-dropping-particle":"","parse-names":false,"suffix":""},{"dropping-particle":"","family":"Chen","given":"Xingyu","non-dropping-particle":"","parse-names":false,"suffix":""},{"dropping-particle":"","family":"Yu","given":"Xuanfeng","non-dropping-particle":"","parse-names":false,"suffix":""},{"dropping-particle":"","family":"Sun","given":"Baofei","non-dropping-particle":"","parse-names":false,"suffix":""},{"dropping-particle":"","family":"Tao","given":"Junyan","non-dropping-particle":"","parse-names":false,"suffix":""},{"dropping-particle":"","family":"Chen","given":"Xiong","non-dropping-particle":"","parse-names":false,"suffix":""}],"container-title":"Toxics","id":"ITEM-1","issue":"2","issued":{"date-parts":[["2025"]]},"page":"1-14","title":"Sleep Deprivation and Subchronic Arsenite Exposure Synergistically Induced Skeletal Muscle Aging by Disrupting Melatonin and Cortisol Secretion in Mice","type":"article-journal","volume":"13"},"uris":["http://www.mendeley.com/documents/?uuid=cc29103c-5f25-410f-9f71-ad4b0d91e6bd"]}],"mendeley":{"formattedCitation":"&lt;sup&gt;[12]&lt;/sup&gt;","plainTextFormattedCitation":"[12]","previouslyFormattedCitation":"&lt;sup&gt;[16]&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[12]</w:t>
            </w:r>
            <w:r w:rsidRPr="00DE117B">
              <w:rPr>
                <w:rFonts w:ascii="Times New Roman" w:hAnsi="Times New Roman" w:cs="Times New Roman"/>
                <w:sz w:val="21"/>
                <w:szCs w:val="21"/>
              </w:rPr>
              <w:fldChar w:fldCharType="end"/>
            </w:r>
          </w:p>
        </w:tc>
        <w:tc>
          <w:tcPr>
            <w:tcW w:w="3685" w:type="dxa"/>
          </w:tcPr>
          <w:p w14:paraId="3256208A" w14:textId="1D5E1AD3" w:rsidR="005B1BFE" w:rsidRPr="00DE117B" w:rsidRDefault="005B1BFE" w:rsidP="005C6A85">
            <w:pPr>
              <w:rPr>
                <w:rFonts w:ascii="Times New Roman" w:hAnsi="Times New Roman" w:cs="Times New Roman"/>
                <w:sz w:val="21"/>
                <w:szCs w:val="21"/>
              </w:rPr>
            </w:pPr>
            <w:r w:rsidRPr="00DE117B">
              <w:rPr>
                <w:rFonts w:ascii="Times New Roman" w:hAnsi="Times New Roman" w:cs="Times New Roman"/>
                <w:sz w:val="21"/>
                <w:szCs w:val="21"/>
              </w:rPr>
              <w:t>ELISA (Wuhan Fine Biotechnology Co., Ltd</w:t>
            </w:r>
            <w:r w:rsidR="001E0D4E" w:rsidRPr="00DE117B">
              <w:rPr>
                <w:rFonts w:ascii="Times New Roman" w:hAnsi="Times New Roman" w:cs="Times New Roman"/>
                <w:sz w:val="21"/>
                <w:szCs w:val="21"/>
              </w:rPr>
              <w:t xml:space="preserve">, </w:t>
            </w:r>
            <w:r w:rsidRPr="00DE117B">
              <w:rPr>
                <w:rFonts w:ascii="Times New Roman" w:hAnsi="Times New Roman" w:cs="Times New Roman"/>
                <w:sz w:val="21"/>
                <w:szCs w:val="21"/>
              </w:rPr>
              <w:t>Wuhan, China)</w:t>
            </w:r>
          </w:p>
        </w:tc>
        <w:tc>
          <w:tcPr>
            <w:tcW w:w="3119" w:type="dxa"/>
            <w:gridSpan w:val="2"/>
          </w:tcPr>
          <w:p w14:paraId="69DD61D2" w14:textId="7DB85A0E" w:rsidR="005B1BFE" w:rsidRPr="00DE117B" w:rsidRDefault="005B1BFE" w:rsidP="005C6A85">
            <w:pPr>
              <w:rPr>
                <w:rFonts w:ascii="Times New Roman" w:hAnsi="Times New Roman" w:cs="Times New Roman"/>
                <w:sz w:val="21"/>
                <w:szCs w:val="21"/>
              </w:rPr>
            </w:pPr>
            <w:r w:rsidRPr="00DE117B">
              <w:rPr>
                <w:rFonts w:ascii="Times New Roman" w:hAnsi="Times New Roman" w:cs="Times New Roman"/>
                <w:sz w:val="21"/>
                <w:szCs w:val="21"/>
              </w:rPr>
              <w:t>~35</w:t>
            </w:r>
            <w:r w:rsidR="00E3082A" w:rsidRPr="00DE117B">
              <w:rPr>
                <w:rFonts w:ascii="Times New Roman" w:hAnsi="Times New Roman" w:cs="Times New Roman"/>
                <w:sz w:val="21"/>
                <w:szCs w:val="21"/>
              </w:rPr>
              <w:t>, sampling time points were not reported</w:t>
            </w:r>
          </w:p>
        </w:tc>
      </w:tr>
      <w:tr w:rsidR="005C6A85" w:rsidRPr="00DE117B" w14:paraId="3E678597" w14:textId="77777777" w:rsidTr="005C6A85">
        <w:tc>
          <w:tcPr>
            <w:tcW w:w="1555" w:type="dxa"/>
          </w:tcPr>
          <w:p w14:paraId="2405A510" w14:textId="2DFEA487" w:rsidR="005C6A85" w:rsidRPr="00DE117B" w:rsidRDefault="005C6A85" w:rsidP="005C6A85">
            <w:pPr>
              <w:rPr>
                <w:rFonts w:ascii="Times New Roman" w:hAnsi="Times New Roman" w:cs="Times New Roman"/>
                <w:sz w:val="21"/>
                <w:szCs w:val="21"/>
              </w:rPr>
            </w:pPr>
            <w:proofErr w:type="spellStart"/>
            <w:r w:rsidRPr="00DE117B">
              <w:rPr>
                <w:rFonts w:ascii="Times New Roman" w:hAnsi="Times New Roman" w:cs="Times New Roman"/>
                <w:sz w:val="21"/>
                <w:szCs w:val="21"/>
              </w:rPr>
              <w:t>Jingbo</w:t>
            </w:r>
            <w:proofErr w:type="spellEnd"/>
            <w:r w:rsidRPr="00DE117B">
              <w:rPr>
                <w:rFonts w:ascii="Times New Roman" w:hAnsi="Times New Roman" w:cs="Times New Roman"/>
                <w:sz w:val="21"/>
                <w:szCs w:val="21"/>
              </w:rPr>
              <w:t xml:space="preserve"> Qi et al. 2026</w:t>
            </w:r>
            <w:r w:rsidRPr="00DE117B">
              <w:rPr>
                <w:rFonts w:ascii="Times New Roman" w:hAnsi="Times New Roman" w:cs="Times New Roman"/>
                <w:sz w:val="21"/>
                <w:szCs w:val="21"/>
              </w:rPr>
              <w:fldChar w:fldCharType="begin" w:fldLock="1"/>
            </w:r>
            <w:r w:rsidR="007E085E">
              <w:rPr>
                <w:rFonts w:ascii="Times New Roman" w:hAnsi="Times New Roman" w:cs="Times New Roman"/>
                <w:sz w:val="21"/>
                <w:szCs w:val="21"/>
              </w:rPr>
              <w:instrText>ADDIN CSL_CITATION {"citationItems":[{"id":"ITEM-1","itemData":{"DOI":"10.1016/j.brainresbull.2026.111781","ISSN":"18732747","PMID":"41698441","abstract":"Shift work and social jetlag groups are at higher risk for depression, with the unfixed light pattern (ULP) potentially serving as one of critical risk factors. Evidence suggests that the ULP induces depressive phenotypes in rodents, possibly mediated by the circadian-orexinergic system. Blue light has been found to have a significant antidepressant effect in light therapy. This study explored the interventional effects of blue light on ULP-induced depressive phenotype of mice and the possible associations between the circadian-orexinergic system and depression. C57BL/6 J mice were exposed to ULP (alternating light-dark cycles every 6 days for 54 days) with or without 2-hour blue light supplementation. Behavioral tests (tail suspension test and forced swimming test) revealed that blue light significantly improved ULP-induced increase in immobilization time. Furthermore, blue light enhanced circadian entrainment efficiency, normalizing disrupted rhythms of circadian activity, serum corticosterone, melatonin, and hepatic clock genes. ULP-induced desynchronization of suprachiasmatic nucleus clock genes, alongside reduced levels of orexin-A(OX-A) in the lateral hypothalamus area and dorsal raphe nucleus (DRN), alongside decreased serotonin(5-HT) in the DRN, were significantly improved by blue light. This study shows that blue light prevents the ULP-induced depressive phenotype in mice, which may be associated with the restoration of circadian system entrainment and orexinergic system. These findings might provide new ideas for intervention and prevention of shift work and social jetlag-related depression.","author":[{"dropping-particle":"","family":"Qi","given":"Jingbo","non-dropping-particle":"","parse-names":false,"suffix":""},{"dropping-particle":"","family":"Liu","given":"Qianyi","non-dropping-particle":"","parse-names":false,"suffix":""},{"dropping-particle":"","family":"Cheng","given":"Jiaqi","non-dropping-particle":"","parse-names":false,"suffix":""},{"dropping-particle":"","family":"Jiang","given":"Jianjun","non-dropping-particle":"","parse-names":false,"suffix":""},{"dropping-particle":"","family":"Wei","given":"Xuetao","non-dropping-particle":"","parse-names":false,"suffix":""},{"dropping-particle":"","family":"Meng","given":"Qinghe","non-dropping-particle":"","parse-names":false,"suffix":""},{"dropping-particle":"","family":"Hao","given":"Weidong","non-dropping-particle":"","parse-names":false,"suffix":""}],"container-title":"Brain Research Bulletin","id":"ITEM-1","issue":"February","issued":{"date-parts":[["2026"]]},"page":"111781","publisher":"Elsevier Inc.","title":"Antidepressant effect of blue light on depressive phenotype induced by the unfixed light pattern in mice","type":"article-journal","volume":"237"},"uris":["http://www.mendeley.com/documents/?uuid=879bf28f-01d5-4621-bb6e-932143243018"]}],"mendeley":{"formattedCitation":"&lt;sup&gt;[13]&lt;/sup&gt;","plainTextFormattedCitation":"[13]","previouslyFormattedCitation":"&lt;sup&gt;[17]&lt;/sup&gt;"},"properties":{"noteIndex":0},"schema":"https://github.com/citation-style-language/schema/raw/master/csl-citation.json"}</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sz w:val="21"/>
                <w:szCs w:val="21"/>
                <w:vertAlign w:val="superscript"/>
              </w:rPr>
              <w:t>[13]</w:t>
            </w:r>
            <w:r w:rsidRPr="00DE117B">
              <w:rPr>
                <w:rFonts w:ascii="Times New Roman" w:hAnsi="Times New Roman" w:cs="Times New Roman"/>
                <w:sz w:val="21"/>
                <w:szCs w:val="21"/>
              </w:rPr>
              <w:fldChar w:fldCharType="end"/>
            </w:r>
          </w:p>
        </w:tc>
        <w:tc>
          <w:tcPr>
            <w:tcW w:w="3685" w:type="dxa"/>
          </w:tcPr>
          <w:p w14:paraId="079A1E73" w14:textId="303BCD09"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ELISA (E-EL-M0788</w:t>
            </w:r>
            <w:r w:rsidR="00F77A22" w:rsidRPr="00DE117B">
              <w:rPr>
                <w:rFonts w:ascii="Times New Roman" w:hAnsi="Times New Roman" w:cs="Times New Roman"/>
                <w:sz w:val="21"/>
                <w:szCs w:val="21"/>
              </w:rPr>
              <w:t xml:space="preserve">, </w:t>
            </w:r>
            <w:proofErr w:type="spellStart"/>
            <w:r w:rsidR="00F77A22" w:rsidRPr="00DE117B">
              <w:rPr>
                <w:rFonts w:ascii="Times New Roman" w:hAnsi="Times New Roman" w:cs="Times New Roman"/>
                <w:sz w:val="21"/>
                <w:szCs w:val="21"/>
              </w:rPr>
              <w:t>Elabscience</w:t>
            </w:r>
            <w:proofErr w:type="spellEnd"/>
            <w:r w:rsidR="00F77A22" w:rsidRPr="00DE117B">
              <w:rPr>
                <w:rFonts w:ascii="Times New Roman" w:hAnsi="Times New Roman" w:cs="Times New Roman"/>
                <w:sz w:val="21"/>
                <w:szCs w:val="21"/>
              </w:rPr>
              <w:t>, Wuhan, China</w:t>
            </w:r>
            <w:r w:rsidRPr="00DE117B">
              <w:rPr>
                <w:rFonts w:ascii="Times New Roman" w:hAnsi="Times New Roman" w:cs="Times New Roman"/>
                <w:sz w:val="21"/>
                <w:szCs w:val="21"/>
              </w:rPr>
              <w:t>)</w:t>
            </w:r>
          </w:p>
        </w:tc>
        <w:tc>
          <w:tcPr>
            <w:tcW w:w="1559" w:type="dxa"/>
          </w:tcPr>
          <w:p w14:paraId="3E8EC7C4" w14:textId="77777777" w:rsidR="005C6A85" w:rsidRPr="00DE117B" w:rsidRDefault="005C6A85" w:rsidP="005C6A85">
            <w:pPr>
              <w:rPr>
                <w:rFonts w:ascii="Times New Roman" w:hAnsi="Times New Roman" w:cs="Times New Roman"/>
                <w:sz w:val="21"/>
                <w:szCs w:val="21"/>
              </w:rPr>
            </w:pPr>
            <w:r w:rsidRPr="00DE117B">
              <w:rPr>
                <w:rFonts w:ascii="Times New Roman" w:hAnsi="Times New Roman" w:cs="Times New Roman"/>
                <w:sz w:val="21"/>
                <w:szCs w:val="21"/>
              </w:rPr>
              <w:t>20~30</w:t>
            </w:r>
          </w:p>
        </w:tc>
        <w:tc>
          <w:tcPr>
            <w:tcW w:w="1560" w:type="dxa"/>
          </w:tcPr>
          <w:p w14:paraId="06928791" w14:textId="584E1EB4" w:rsidR="005C6A85" w:rsidRPr="00DE117B" w:rsidRDefault="001E0D4E" w:rsidP="005C6A85">
            <w:pPr>
              <w:rPr>
                <w:rFonts w:ascii="Times New Roman" w:hAnsi="Times New Roman" w:cs="Times New Roman"/>
                <w:sz w:val="21"/>
                <w:szCs w:val="21"/>
              </w:rPr>
            </w:pPr>
            <w:r w:rsidRPr="00DE117B">
              <w:rPr>
                <w:rFonts w:ascii="Times New Roman" w:hAnsi="Times New Roman" w:cs="Times New Roman"/>
                <w:sz w:val="21"/>
                <w:szCs w:val="21"/>
              </w:rPr>
              <w:t xml:space="preserve">~35, </w:t>
            </w:r>
            <w:r w:rsidR="005C6A85" w:rsidRPr="00DE117B">
              <w:rPr>
                <w:rFonts w:ascii="Times New Roman" w:hAnsi="Times New Roman" w:cs="Times New Roman"/>
                <w:sz w:val="21"/>
                <w:szCs w:val="21"/>
              </w:rPr>
              <w:t>peak at 23:18 h</w:t>
            </w:r>
          </w:p>
        </w:tc>
      </w:tr>
    </w:tbl>
    <w:p w14:paraId="2EB9F091" w14:textId="287ACD9B" w:rsidR="007E085E" w:rsidRPr="007E085E" w:rsidRDefault="005C6A85"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DE117B">
        <w:rPr>
          <w:rFonts w:ascii="Times New Roman" w:hAnsi="Times New Roman" w:cs="Times New Roman"/>
          <w:sz w:val="21"/>
          <w:szCs w:val="21"/>
        </w:rPr>
        <w:fldChar w:fldCharType="begin" w:fldLock="1"/>
      </w:r>
      <w:r w:rsidRPr="00DE117B">
        <w:rPr>
          <w:rFonts w:ascii="Times New Roman" w:hAnsi="Times New Roman" w:cs="Times New Roman"/>
          <w:sz w:val="21"/>
          <w:szCs w:val="21"/>
        </w:rPr>
        <w:instrText xml:space="preserve">ADDIN Mendeley Bibliography CSL_BIBLIOGRAPHY </w:instrText>
      </w:r>
      <w:r w:rsidRPr="00DE117B">
        <w:rPr>
          <w:rFonts w:ascii="Times New Roman" w:hAnsi="Times New Roman" w:cs="Times New Roman"/>
          <w:sz w:val="21"/>
          <w:szCs w:val="21"/>
        </w:rPr>
        <w:fldChar w:fldCharType="separate"/>
      </w:r>
      <w:r w:rsidR="007E085E" w:rsidRPr="007E085E">
        <w:rPr>
          <w:rFonts w:ascii="Times New Roman" w:hAnsi="Times New Roman" w:cs="Times New Roman"/>
          <w:noProof/>
          <w:kern w:val="0"/>
          <w:sz w:val="20"/>
        </w:rPr>
        <w:t>[1]</w:t>
      </w:r>
      <w:r w:rsidR="007E085E" w:rsidRPr="007E085E">
        <w:rPr>
          <w:rFonts w:ascii="Times New Roman" w:hAnsi="Times New Roman" w:cs="Times New Roman"/>
          <w:noProof/>
          <w:kern w:val="0"/>
          <w:sz w:val="20"/>
        </w:rPr>
        <w:tab/>
        <w:t xml:space="preserve">Georges J.M. Maestroni, Ario Conti, Walter Pierpaoli. Role of the pineal gland in immunity. Circadian synthesis and release of melatonin modulates the antibody response and antagonizes the immunosuppressive effect of corticosterone[J]. </w:t>
      </w:r>
      <w:r w:rsidR="007E085E" w:rsidRPr="007E085E">
        <w:rPr>
          <w:rFonts w:ascii="Times New Roman" w:hAnsi="Times New Roman" w:cs="Times New Roman"/>
          <w:i/>
          <w:iCs/>
          <w:noProof/>
          <w:kern w:val="0"/>
          <w:sz w:val="20"/>
        </w:rPr>
        <w:t>Journal of Neuroimmunology</w:t>
      </w:r>
      <w:r w:rsidR="007E085E" w:rsidRPr="007E085E">
        <w:rPr>
          <w:rFonts w:ascii="Times New Roman" w:hAnsi="Times New Roman" w:cs="Times New Roman"/>
          <w:noProof/>
          <w:kern w:val="0"/>
          <w:sz w:val="20"/>
        </w:rPr>
        <w:t>, 1986, 13(1): 19-30.</w:t>
      </w:r>
    </w:p>
    <w:p w14:paraId="2E4EB4B5" w14:textId="77777777" w:rsidR="007E085E" w:rsidRPr="007E085E" w:rsidRDefault="007E085E"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7E085E">
        <w:rPr>
          <w:rFonts w:ascii="Times New Roman" w:hAnsi="Times New Roman" w:cs="Times New Roman"/>
          <w:noProof/>
          <w:kern w:val="0"/>
          <w:sz w:val="20"/>
        </w:rPr>
        <w:t>[2]</w:t>
      </w:r>
      <w:r w:rsidRPr="007E085E">
        <w:rPr>
          <w:rFonts w:ascii="Times New Roman" w:hAnsi="Times New Roman" w:cs="Times New Roman"/>
          <w:noProof/>
          <w:kern w:val="0"/>
          <w:sz w:val="20"/>
        </w:rPr>
        <w:tab/>
        <w:t xml:space="preserve">William W. Morgan, James F. Nelson. Chronic administration of pharmacological levels of melatonin does not ameliorate the MPTP-induced degeneration of the nigrostriatal pathway[J]. </w:t>
      </w:r>
      <w:r w:rsidRPr="007E085E">
        <w:rPr>
          <w:rFonts w:ascii="Times New Roman" w:hAnsi="Times New Roman" w:cs="Times New Roman"/>
          <w:i/>
          <w:iCs/>
          <w:noProof/>
          <w:kern w:val="0"/>
          <w:sz w:val="20"/>
        </w:rPr>
        <w:lastRenderedPageBreak/>
        <w:t>Brain Research</w:t>
      </w:r>
      <w:r w:rsidRPr="007E085E">
        <w:rPr>
          <w:rFonts w:ascii="Times New Roman" w:hAnsi="Times New Roman" w:cs="Times New Roman"/>
          <w:noProof/>
          <w:kern w:val="0"/>
          <w:sz w:val="20"/>
        </w:rPr>
        <w:t>, 2001, 921(1-2): 115-121.</w:t>
      </w:r>
    </w:p>
    <w:p w14:paraId="1C7748EA" w14:textId="77777777" w:rsidR="007E085E" w:rsidRPr="007E085E" w:rsidRDefault="007E085E"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7E085E">
        <w:rPr>
          <w:rFonts w:ascii="Times New Roman" w:hAnsi="Times New Roman" w:cs="Times New Roman"/>
          <w:noProof/>
          <w:kern w:val="0"/>
          <w:sz w:val="20"/>
        </w:rPr>
        <w:t>[3]</w:t>
      </w:r>
      <w:r w:rsidRPr="007E085E">
        <w:rPr>
          <w:rFonts w:ascii="Times New Roman" w:hAnsi="Times New Roman" w:cs="Times New Roman"/>
          <w:noProof/>
          <w:kern w:val="0"/>
          <w:sz w:val="20"/>
        </w:rPr>
        <w:tab/>
        <w:t xml:space="preserve">Hoda Khaldy, Josefa León, Germaine Escames, et al. Circadian rhythms of dopamine and dihydroxyphenyl acetic acid in the mouse striatum: Effects of pinealectomy and of melatonin treatment[J]. </w:t>
      </w:r>
      <w:r w:rsidRPr="007E085E">
        <w:rPr>
          <w:rFonts w:ascii="Times New Roman" w:hAnsi="Times New Roman" w:cs="Times New Roman"/>
          <w:i/>
          <w:iCs/>
          <w:noProof/>
          <w:kern w:val="0"/>
          <w:sz w:val="20"/>
        </w:rPr>
        <w:t>Neuroendocrinology</w:t>
      </w:r>
      <w:r w:rsidRPr="007E085E">
        <w:rPr>
          <w:rFonts w:ascii="Times New Roman" w:hAnsi="Times New Roman" w:cs="Times New Roman"/>
          <w:noProof/>
          <w:kern w:val="0"/>
          <w:sz w:val="20"/>
        </w:rPr>
        <w:t>, 2002, 75(3): 201-208.</w:t>
      </w:r>
    </w:p>
    <w:p w14:paraId="27350596" w14:textId="582CA642" w:rsidR="007E085E" w:rsidRPr="007E085E" w:rsidRDefault="007E085E"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7E085E">
        <w:rPr>
          <w:rFonts w:ascii="Times New Roman" w:hAnsi="Times New Roman" w:cs="Times New Roman"/>
          <w:noProof/>
          <w:kern w:val="0"/>
          <w:sz w:val="20"/>
        </w:rPr>
        <w:t>[4]</w:t>
      </w:r>
      <w:r w:rsidRPr="007E085E">
        <w:rPr>
          <w:rFonts w:ascii="Times New Roman" w:hAnsi="Times New Roman" w:cs="Times New Roman"/>
          <w:noProof/>
          <w:kern w:val="0"/>
          <w:sz w:val="20"/>
        </w:rPr>
        <w:tab/>
        <w:t xml:space="preserve">D. J. Kennaway, A. Voultsios, T. J. Varcoe, et al. Melatonin in mice: Rhythms, response to light, adrenergic stimulation, and metabolism[J]. </w:t>
      </w:r>
      <w:r w:rsidRPr="007E085E">
        <w:rPr>
          <w:rFonts w:ascii="Times New Roman" w:hAnsi="Times New Roman" w:cs="Times New Roman"/>
          <w:i/>
          <w:iCs/>
          <w:noProof/>
          <w:kern w:val="0"/>
          <w:sz w:val="20"/>
        </w:rPr>
        <w:t>American Journal of Physiology - Regulatory Integrative and Comparative Physiology</w:t>
      </w:r>
      <w:r w:rsidRPr="007E085E">
        <w:rPr>
          <w:rFonts w:ascii="Times New Roman" w:hAnsi="Times New Roman" w:cs="Times New Roman"/>
          <w:noProof/>
          <w:kern w:val="0"/>
          <w:sz w:val="20"/>
        </w:rPr>
        <w:t>, 2002, 282: 358-365.</w:t>
      </w:r>
    </w:p>
    <w:p w14:paraId="38241765" w14:textId="77777777" w:rsidR="007E085E" w:rsidRPr="007E085E" w:rsidRDefault="007E085E"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7E085E">
        <w:rPr>
          <w:rFonts w:ascii="Times New Roman" w:hAnsi="Times New Roman" w:cs="Times New Roman"/>
          <w:noProof/>
          <w:kern w:val="0"/>
          <w:sz w:val="20"/>
        </w:rPr>
        <w:t>[5]</w:t>
      </w:r>
      <w:r w:rsidRPr="007E085E">
        <w:rPr>
          <w:rFonts w:ascii="Times New Roman" w:hAnsi="Times New Roman" w:cs="Times New Roman"/>
          <w:noProof/>
          <w:kern w:val="0"/>
          <w:sz w:val="20"/>
        </w:rPr>
        <w:tab/>
        <w:t xml:space="preserve">T. Korhonen, S. Saarela. Role of adiposity hormones in the mouse during fasting and winter-acclimatization[J]. </w:t>
      </w:r>
      <w:r w:rsidRPr="007E085E">
        <w:rPr>
          <w:rFonts w:ascii="Times New Roman" w:hAnsi="Times New Roman" w:cs="Times New Roman"/>
          <w:i/>
          <w:iCs/>
          <w:noProof/>
          <w:kern w:val="0"/>
          <w:sz w:val="20"/>
        </w:rPr>
        <w:t>Comparative Biochemistry and Physiology - A Molecular and Integrative Physiology</w:t>
      </w:r>
      <w:r w:rsidRPr="007E085E">
        <w:rPr>
          <w:rFonts w:ascii="Times New Roman" w:hAnsi="Times New Roman" w:cs="Times New Roman"/>
          <w:noProof/>
          <w:kern w:val="0"/>
          <w:sz w:val="20"/>
        </w:rPr>
        <w:t>, 2005, 140(2): 217-223.</w:t>
      </w:r>
    </w:p>
    <w:p w14:paraId="5BA2579B" w14:textId="77777777" w:rsidR="007E085E" w:rsidRPr="007E085E" w:rsidRDefault="007E085E"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7E085E">
        <w:rPr>
          <w:rFonts w:ascii="Times New Roman" w:hAnsi="Times New Roman" w:cs="Times New Roman"/>
          <w:noProof/>
          <w:kern w:val="0"/>
          <w:sz w:val="20"/>
        </w:rPr>
        <w:t>[6]</w:t>
      </w:r>
      <w:r w:rsidRPr="007E085E">
        <w:rPr>
          <w:rFonts w:ascii="Times New Roman" w:hAnsi="Times New Roman" w:cs="Times New Roman"/>
          <w:noProof/>
          <w:kern w:val="0"/>
          <w:sz w:val="20"/>
        </w:rPr>
        <w:tab/>
        <w:t xml:space="preserve">Masafumi Machida, Jean Dubousset, Thoru Yamada, et al. Experimental scoliosis in melatonin-deficient C57BL/6J mice without pinealectomy[J]. </w:t>
      </w:r>
      <w:r w:rsidRPr="007E085E">
        <w:rPr>
          <w:rFonts w:ascii="Times New Roman" w:hAnsi="Times New Roman" w:cs="Times New Roman"/>
          <w:i/>
          <w:iCs/>
          <w:noProof/>
          <w:kern w:val="0"/>
          <w:sz w:val="20"/>
        </w:rPr>
        <w:t>Journal of Pineal Research</w:t>
      </w:r>
      <w:r w:rsidRPr="007E085E">
        <w:rPr>
          <w:rFonts w:ascii="Times New Roman" w:hAnsi="Times New Roman" w:cs="Times New Roman"/>
          <w:noProof/>
          <w:kern w:val="0"/>
          <w:sz w:val="20"/>
        </w:rPr>
        <w:t>, 2006, 41(1): 1-7.</w:t>
      </w:r>
    </w:p>
    <w:p w14:paraId="7E07ADF2" w14:textId="77777777" w:rsidR="007E085E" w:rsidRPr="007E085E" w:rsidRDefault="007E085E"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7E085E">
        <w:rPr>
          <w:rFonts w:ascii="Times New Roman" w:hAnsi="Times New Roman" w:cs="Times New Roman"/>
          <w:noProof/>
          <w:kern w:val="0"/>
          <w:sz w:val="20"/>
        </w:rPr>
        <w:t>[7]</w:t>
      </w:r>
      <w:r w:rsidRPr="007E085E">
        <w:rPr>
          <w:rFonts w:ascii="Times New Roman" w:hAnsi="Times New Roman" w:cs="Times New Roman"/>
          <w:noProof/>
          <w:kern w:val="0"/>
          <w:sz w:val="20"/>
        </w:rPr>
        <w:tab/>
        <w:t xml:space="preserve">Araceli Gómez-Corvera, Isabel Cerrillo, Patrocinio Molinero, et al. Evidence of immune system melatonin production by two pineal melatonin deficient mice, C57BL/6 and Swiss strains[J]. </w:t>
      </w:r>
      <w:r w:rsidRPr="007E085E">
        <w:rPr>
          <w:rFonts w:ascii="Times New Roman" w:hAnsi="Times New Roman" w:cs="Times New Roman"/>
          <w:i/>
          <w:iCs/>
          <w:noProof/>
          <w:kern w:val="0"/>
          <w:sz w:val="20"/>
        </w:rPr>
        <w:t>Journal of Pineal Research</w:t>
      </w:r>
      <w:r w:rsidRPr="007E085E">
        <w:rPr>
          <w:rFonts w:ascii="Times New Roman" w:hAnsi="Times New Roman" w:cs="Times New Roman"/>
          <w:noProof/>
          <w:kern w:val="0"/>
          <w:sz w:val="20"/>
        </w:rPr>
        <w:t>, 2009, 47(1): 15-22.</w:t>
      </w:r>
    </w:p>
    <w:p w14:paraId="07A9188D" w14:textId="77777777" w:rsidR="007E085E" w:rsidRPr="007E085E" w:rsidRDefault="007E085E"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7E085E">
        <w:rPr>
          <w:rFonts w:ascii="Times New Roman" w:hAnsi="Times New Roman" w:cs="Times New Roman"/>
          <w:noProof/>
          <w:kern w:val="0"/>
          <w:sz w:val="20"/>
        </w:rPr>
        <w:t>[8]</w:t>
      </w:r>
      <w:r w:rsidRPr="007E085E">
        <w:rPr>
          <w:rFonts w:ascii="Times New Roman" w:hAnsi="Times New Roman" w:cs="Times New Roman"/>
          <w:noProof/>
          <w:kern w:val="0"/>
          <w:sz w:val="20"/>
        </w:rPr>
        <w:tab/>
        <w:t xml:space="preserve">Hui Mei Wu, Qi Ying Shen, Lei Fang, et al. JNK-TLR9 signal pathway mediates allergic airway inflammation through suppressing melatonin biosynthesis[J]. </w:t>
      </w:r>
      <w:r w:rsidRPr="007E085E">
        <w:rPr>
          <w:rFonts w:ascii="Times New Roman" w:hAnsi="Times New Roman" w:cs="Times New Roman"/>
          <w:i/>
          <w:iCs/>
          <w:noProof/>
          <w:kern w:val="0"/>
          <w:sz w:val="20"/>
        </w:rPr>
        <w:t>Journal of Pineal Research</w:t>
      </w:r>
      <w:r w:rsidRPr="007E085E">
        <w:rPr>
          <w:rFonts w:ascii="Times New Roman" w:hAnsi="Times New Roman" w:cs="Times New Roman"/>
          <w:noProof/>
          <w:kern w:val="0"/>
          <w:sz w:val="20"/>
        </w:rPr>
        <w:t>, 2016, 60(4): 415-423.</w:t>
      </w:r>
    </w:p>
    <w:p w14:paraId="7D1F819B" w14:textId="12A4D283" w:rsidR="007E085E" w:rsidRPr="007E085E" w:rsidRDefault="007E085E"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7E085E">
        <w:rPr>
          <w:rFonts w:ascii="Times New Roman" w:hAnsi="Times New Roman" w:cs="Times New Roman"/>
          <w:noProof/>
          <w:kern w:val="0"/>
          <w:sz w:val="20"/>
        </w:rPr>
        <w:t>[9]</w:t>
      </w:r>
      <w:r w:rsidRPr="007E085E">
        <w:rPr>
          <w:rFonts w:ascii="Times New Roman" w:hAnsi="Times New Roman" w:cs="Times New Roman"/>
          <w:noProof/>
          <w:kern w:val="0"/>
          <w:sz w:val="20"/>
        </w:rPr>
        <w:tab/>
        <w:t xml:space="preserve">Jingliang Liu, Yifan Zhong, Xin M. Luo, et al. Intermittent </w:t>
      </w:r>
      <w:r w:rsidR="00EA1840">
        <w:rPr>
          <w:rFonts w:ascii="Times New Roman" w:hAnsi="Times New Roman" w:cs="Times New Roman" w:hint="eastAsia"/>
          <w:noProof/>
          <w:kern w:val="0"/>
          <w:sz w:val="20"/>
        </w:rPr>
        <w:t>f</w:t>
      </w:r>
      <w:r w:rsidRPr="007E085E">
        <w:rPr>
          <w:rFonts w:ascii="Times New Roman" w:hAnsi="Times New Roman" w:cs="Times New Roman"/>
          <w:noProof/>
          <w:kern w:val="0"/>
          <w:sz w:val="20"/>
        </w:rPr>
        <w:t xml:space="preserve">asting </w:t>
      </w:r>
      <w:r w:rsidR="00EA1840">
        <w:rPr>
          <w:rFonts w:ascii="Times New Roman" w:hAnsi="Times New Roman" w:cs="Times New Roman" w:hint="eastAsia"/>
          <w:noProof/>
          <w:kern w:val="0"/>
          <w:sz w:val="20"/>
        </w:rPr>
        <w:t>r</w:t>
      </w:r>
      <w:r w:rsidRPr="007E085E">
        <w:rPr>
          <w:rFonts w:ascii="Times New Roman" w:hAnsi="Times New Roman" w:cs="Times New Roman"/>
          <w:noProof/>
          <w:kern w:val="0"/>
          <w:sz w:val="20"/>
        </w:rPr>
        <w:t xml:space="preserve">eshapes the </w:t>
      </w:r>
      <w:r w:rsidR="00EA1840">
        <w:rPr>
          <w:rFonts w:ascii="Times New Roman" w:hAnsi="Times New Roman" w:cs="Times New Roman" w:hint="eastAsia"/>
          <w:noProof/>
          <w:kern w:val="0"/>
          <w:sz w:val="20"/>
        </w:rPr>
        <w:t>g</w:t>
      </w:r>
      <w:r w:rsidRPr="007E085E">
        <w:rPr>
          <w:rFonts w:ascii="Times New Roman" w:hAnsi="Times New Roman" w:cs="Times New Roman"/>
          <w:noProof/>
          <w:kern w:val="0"/>
          <w:sz w:val="20"/>
        </w:rPr>
        <w:t xml:space="preserve">ut </w:t>
      </w:r>
      <w:r w:rsidR="00EA1840">
        <w:rPr>
          <w:rFonts w:ascii="Times New Roman" w:hAnsi="Times New Roman" w:cs="Times New Roman" w:hint="eastAsia"/>
          <w:noProof/>
          <w:kern w:val="0"/>
          <w:sz w:val="20"/>
        </w:rPr>
        <w:t>m</w:t>
      </w:r>
      <w:r w:rsidRPr="007E085E">
        <w:rPr>
          <w:rFonts w:ascii="Times New Roman" w:hAnsi="Times New Roman" w:cs="Times New Roman"/>
          <w:noProof/>
          <w:kern w:val="0"/>
          <w:sz w:val="20"/>
        </w:rPr>
        <w:t xml:space="preserve">icrobiota and </w:t>
      </w:r>
      <w:r w:rsidR="00EA1840">
        <w:rPr>
          <w:rFonts w:ascii="Times New Roman" w:hAnsi="Times New Roman" w:cs="Times New Roman" w:hint="eastAsia"/>
          <w:noProof/>
          <w:kern w:val="0"/>
          <w:sz w:val="20"/>
        </w:rPr>
        <w:t>m</w:t>
      </w:r>
      <w:r w:rsidRPr="007E085E">
        <w:rPr>
          <w:rFonts w:ascii="Times New Roman" w:hAnsi="Times New Roman" w:cs="Times New Roman"/>
          <w:noProof/>
          <w:kern w:val="0"/>
          <w:sz w:val="20"/>
        </w:rPr>
        <w:t xml:space="preserve">etabolome and </w:t>
      </w:r>
      <w:r w:rsidR="00EA1840">
        <w:rPr>
          <w:rFonts w:ascii="Times New Roman" w:hAnsi="Times New Roman" w:cs="Times New Roman" w:hint="eastAsia"/>
          <w:noProof/>
          <w:kern w:val="0"/>
          <w:sz w:val="20"/>
        </w:rPr>
        <w:t>r</w:t>
      </w:r>
      <w:r w:rsidRPr="007E085E">
        <w:rPr>
          <w:rFonts w:ascii="Times New Roman" w:hAnsi="Times New Roman" w:cs="Times New Roman"/>
          <w:noProof/>
          <w:kern w:val="0"/>
          <w:sz w:val="20"/>
        </w:rPr>
        <w:t xml:space="preserve">educes </w:t>
      </w:r>
      <w:r w:rsidR="00EA1840">
        <w:rPr>
          <w:rFonts w:ascii="Times New Roman" w:hAnsi="Times New Roman" w:cs="Times New Roman" w:hint="eastAsia"/>
          <w:noProof/>
          <w:kern w:val="0"/>
          <w:sz w:val="20"/>
        </w:rPr>
        <w:t>w</w:t>
      </w:r>
      <w:r w:rsidRPr="007E085E">
        <w:rPr>
          <w:rFonts w:ascii="Times New Roman" w:hAnsi="Times New Roman" w:cs="Times New Roman"/>
          <w:noProof/>
          <w:kern w:val="0"/>
          <w:sz w:val="20"/>
        </w:rPr>
        <w:t xml:space="preserve">eight </w:t>
      </w:r>
      <w:r w:rsidR="00EA1840">
        <w:rPr>
          <w:rFonts w:ascii="Times New Roman" w:hAnsi="Times New Roman" w:cs="Times New Roman" w:hint="eastAsia"/>
          <w:noProof/>
          <w:kern w:val="0"/>
          <w:sz w:val="20"/>
        </w:rPr>
        <w:t>g</w:t>
      </w:r>
      <w:r w:rsidRPr="007E085E">
        <w:rPr>
          <w:rFonts w:ascii="Times New Roman" w:hAnsi="Times New Roman" w:cs="Times New Roman"/>
          <w:noProof/>
          <w:kern w:val="0"/>
          <w:sz w:val="20"/>
        </w:rPr>
        <w:t xml:space="preserve">ain </w:t>
      </w:r>
      <w:r w:rsidR="00EA1840">
        <w:rPr>
          <w:rFonts w:ascii="Times New Roman" w:hAnsi="Times New Roman" w:cs="Times New Roman" w:hint="eastAsia"/>
          <w:noProof/>
          <w:kern w:val="0"/>
          <w:sz w:val="20"/>
        </w:rPr>
        <w:t>m</w:t>
      </w:r>
      <w:r w:rsidRPr="007E085E">
        <w:rPr>
          <w:rFonts w:ascii="Times New Roman" w:hAnsi="Times New Roman" w:cs="Times New Roman"/>
          <w:noProof/>
          <w:kern w:val="0"/>
          <w:sz w:val="20"/>
        </w:rPr>
        <w:t xml:space="preserve">ore </w:t>
      </w:r>
      <w:r w:rsidR="00EA1840">
        <w:rPr>
          <w:rFonts w:ascii="Times New Roman" w:hAnsi="Times New Roman" w:cs="Times New Roman" w:hint="eastAsia"/>
          <w:noProof/>
          <w:kern w:val="0"/>
          <w:sz w:val="20"/>
        </w:rPr>
        <w:t>e</w:t>
      </w:r>
      <w:r w:rsidRPr="007E085E">
        <w:rPr>
          <w:rFonts w:ascii="Times New Roman" w:hAnsi="Times New Roman" w:cs="Times New Roman"/>
          <w:noProof/>
          <w:kern w:val="0"/>
          <w:sz w:val="20"/>
        </w:rPr>
        <w:t xml:space="preserve">ffectively </w:t>
      </w:r>
      <w:r w:rsidR="00EA1840">
        <w:rPr>
          <w:rFonts w:ascii="Times New Roman" w:hAnsi="Times New Roman" w:cs="Times New Roman" w:hint="eastAsia"/>
          <w:noProof/>
          <w:kern w:val="0"/>
          <w:sz w:val="20"/>
        </w:rPr>
        <w:t>t</w:t>
      </w:r>
      <w:r w:rsidRPr="007E085E">
        <w:rPr>
          <w:rFonts w:ascii="Times New Roman" w:hAnsi="Times New Roman" w:cs="Times New Roman"/>
          <w:noProof/>
          <w:kern w:val="0"/>
          <w:sz w:val="20"/>
        </w:rPr>
        <w:t xml:space="preserve">han </w:t>
      </w:r>
      <w:r w:rsidR="00EA1840">
        <w:rPr>
          <w:rFonts w:ascii="Times New Roman" w:hAnsi="Times New Roman" w:cs="Times New Roman" w:hint="eastAsia"/>
          <w:noProof/>
          <w:kern w:val="0"/>
          <w:sz w:val="20"/>
        </w:rPr>
        <w:t>m</w:t>
      </w:r>
      <w:r w:rsidRPr="007E085E">
        <w:rPr>
          <w:rFonts w:ascii="Times New Roman" w:hAnsi="Times New Roman" w:cs="Times New Roman"/>
          <w:noProof/>
          <w:kern w:val="0"/>
          <w:sz w:val="20"/>
        </w:rPr>
        <w:t xml:space="preserve">elatonin in </w:t>
      </w:r>
      <w:r w:rsidR="00EA1840">
        <w:rPr>
          <w:rFonts w:ascii="Times New Roman" w:hAnsi="Times New Roman" w:cs="Times New Roman" w:hint="eastAsia"/>
          <w:noProof/>
          <w:kern w:val="0"/>
          <w:sz w:val="20"/>
        </w:rPr>
        <w:t>m</w:t>
      </w:r>
      <w:r w:rsidRPr="007E085E">
        <w:rPr>
          <w:rFonts w:ascii="Times New Roman" w:hAnsi="Times New Roman" w:cs="Times New Roman"/>
          <w:noProof/>
          <w:kern w:val="0"/>
          <w:sz w:val="20"/>
        </w:rPr>
        <w:t xml:space="preserve">ice[J]. </w:t>
      </w:r>
      <w:r w:rsidRPr="007E085E">
        <w:rPr>
          <w:rFonts w:ascii="Times New Roman" w:hAnsi="Times New Roman" w:cs="Times New Roman"/>
          <w:i/>
          <w:iCs/>
          <w:noProof/>
          <w:kern w:val="0"/>
          <w:sz w:val="20"/>
        </w:rPr>
        <w:t>Frontiers in Nutrition</w:t>
      </w:r>
      <w:r w:rsidRPr="007E085E">
        <w:rPr>
          <w:rFonts w:ascii="Times New Roman" w:hAnsi="Times New Roman" w:cs="Times New Roman"/>
          <w:noProof/>
          <w:kern w:val="0"/>
          <w:sz w:val="20"/>
        </w:rPr>
        <w:t>, 2021, 8: 1-14.</w:t>
      </w:r>
    </w:p>
    <w:p w14:paraId="3CBC13D7" w14:textId="77777777" w:rsidR="007E085E" w:rsidRPr="007E085E" w:rsidRDefault="007E085E"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7E085E">
        <w:rPr>
          <w:rFonts w:ascii="Times New Roman" w:hAnsi="Times New Roman" w:cs="Times New Roman"/>
          <w:noProof/>
          <w:kern w:val="0"/>
          <w:sz w:val="20"/>
        </w:rPr>
        <w:t>[10]</w:t>
      </w:r>
      <w:r w:rsidRPr="007E085E">
        <w:rPr>
          <w:rFonts w:ascii="Times New Roman" w:hAnsi="Times New Roman" w:cs="Times New Roman"/>
          <w:noProof/>
          <w:kern w:val="0"/>
          <w:sz w:val="20"/>
        </w:rPr>
        <w:tab/>
        <w:t xml:space="preserve">Honglian Yang, Guojie Zhao, Yue Lu, et al. Circadian disturbances by altering the light–dark cycle negatively affects hematopoietic function of bone marrow in mice[J]. </w:t>
      </w:r>
      <w:r w:rsidRPr="007E085E">
        <w:rPr>
          <w:rFonts w:ascii="Times New Roman" w:hAnsi="Times New Roman" w:cs="Times New Roman"/>
          <w:i/>
          <w:iCs/>
          <w:noProof/>
          <w:kern w:val="0"/>
          <w:sz w:val="20"/>
        </w:rPr>
        <w:t>FASEB Journal</w:t>
      </w:r>
      <w:r w:rsidRPr="007E085E">
        <w:rPr>
          <w:rFonts w:ascii="Times New Roman" w:hAnsi="Times New Roman" w:cs="Times New Roman"/>
          <w:noProof/>
          <w:kern w:val="0"/>
          <w:sz w:val="20"/>
        </w:rPr>
        <w:t>, 2024, 38(7): 1-15.</w:t>
      </w:r>
    </w:p>
    <w:p w14:paraId="1651F4C0" w14:textId="32B0B4A4" w:rsidR="007E085E" w:rsidRPr="007E085E" w:rsidRDefault="007E085E"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7E085E">
        <w:rPr>
          <w:rFonts w:ascii="Times New Roman" w:hAnsi="Times New Roman" w:cs="Times New Roman"/>
          <w:noProof/>
          <w:kern w:val="0"/>
          <w:sz w:val="20"/>
        </w:rPr>
        <w:t>[11]</w:t>
      </w:r>
      <w:r w:rsidRPr="007E085E">
        <w:rPr>
          <w:rFonts w:ascii="Times New Roman" w:hAnsi="Times New Roman" w:cs="Times New Roman"/>
          <w:noProof/>
          <w:kern w:val="0"/>
          <w:sz w:val="20"/>
        </w:rPr>
        <w:tab/>
        <w:t xml:space="preserve">Dongying Lv, Yujie Ren, Jiayan Chen, et al. Protective </w:t>
      </w:r>
      <w:r w:rsidR="00EA1840">
        <w:rPr>
          <w:rFonts w:ascii="Times New Roman" w:hAnsi="Times New Roman" w:cs="Times New Roman" w:hint="eastAsia"/>
          <w:noProof/>
          <w:kern w:val="0"/>
          <w:sz w:val="20"/>
        </w:rPr>
        <w:t>e</w:t>
      </w:r>
      <w:r w:rsidRPr="007E085E">
        <w:rPr>
          <w:rFonts w:ascii="Times New Roman" w:hAnsi="Times New Roman" w:cs="Times New Roman"/>
          <w:noProof/>
          <w:kern w:val="0"/>
          <w:sz w:val="20"/>
        </w:rPr>
        <w:t xml:space="preserve">ffects of </w:t>
      </w:r>
      <w:r w:rsidR="00EA1840">
        <w:rPr>
          <w:rFonts w:ascii="Times New Roman" w:hAnsi="Times New Roman" w:cs="Times New Roman" w:hint="eastAsia"/>
          <w:noProof/>
          <w:kern w:val="0"/>
          <w:sz w:val="20"/>
        </w:rPr>
        <w:t>e</w:t>
      </w:r>
      <w:r w:rsidRPr="007E085E">
        <w:rPr>
          <w:rFonts w:ascii="Times New Roman" w:hAnsi="Times New Roman" w:cs="Times New Roman"/>
          <w:noProof/>
          <w:kern w:val="0"/>
          <w:sz w:val="20"/>
        </w:rPr>
        <w:t xml:space="preserve">xogenous </w:t>
      </w:r>
      <w:r w:rsidR="00EA1840">
        <w:rPr>
          <w:rFonts w:ascii="Times New Roman" w:hAnsi="Times New Roman" w:cs="Times New Roman" w:hint="eastAsia"/>
          <w:noProof/>
          <w:kern w:val="0"/>
          <w:sz w:val="20"/>
        </w:rPr>
        <w:t>m</w:t>
      </w:r>
      <w:r w:rsidRPr="007E085E">
        <w:rPr>
          <w:rFonts w:ascii="Times New Roman" w:hAnsi="Times New Roman" w:cs="Times New Roman"/>
          <w:noProof/>
          <w:kern w:val="0"/>
          <w:sz w:val="20"/>
        </w:rPr>
        <w:t xml:space="preserve">elatonin </w:t>
      </w:r>
      <w:r w:rsidR="00EA1840">
        <w:rPr>
          <w:rFonts w:ascii="Times New Roman" w:hAnsi="Times New Roman" w:cs="Times New Roman" w:hint="eastAsia"/>
          <w:noProof/>
          <w:kern w:val="0"/>
          <w:sz w:val="20"/>
        </w:rPr>
        <w:t>a</w:t>
      </w:r>
      <w:r w:rsidRPr="007E085E">
        <w:rPr>
          <w:rFonts w:ascii="Times New Roman" w:hAnsi="Times New Roman" w:cs="Times New Roman"/>
          <w:noProof/>
          <w:kern w:val="0"/>
          <w:sz w:val="20"/>
        </w:rPr>
        <w:t xml:space="preserve">dministration on </w:t>
      </w:r>
      <w:r w:rsidR="00EA1840">
        <w:rPr>
          <w:rFonts w:ascii="Times New Roman" w:hAnsi="Times New Roman" w:cs="Times New Roman" w:hint="eastAsia"/>
          <w:noProof/>
          <w:kern w:val="0"/>
          <w:sz w:val="20"/>
        </w:rPr>
        <w:t>w</w:t>
      </w:r>
      <w:r w:rsidRPr="007E085E">
        <w:rPr>
          <w:rFonts w:ascii="Times New Roman" w:hAnsi="Times New Roman" w:cs="Times New Roman"/>
          <w:noProof/>
          <w:kern w:val="0"/>
          <w:sz w:val="20"/>
        </w:rPr>
        <w:t xml:space="preserve">hite </w:t>
      </w:r>
      <w:r w:rsidR="00EA1840">
        <w:rPr>
          <w:rFonts w:ascii="Times New Roman" w:hAnsi="Times New Roman" w:cs="Times New Roman" w:hint="eastAsia"/>
          <w:noProof/>
          <w:kern w:val="0"/>
          <w:sz w:val="20"/>
        </w:rPr>
        <w:t>f</w:t>
      </w:r>
      <w:r w:rsidRPr="007E085E">
        <w:rPr>
          <w:rFonts w:ascii="Times New Roman" w:hAnsi="Times New Roman" w:cs="Times New Roman"/>
          <w:noProof/>
          <w:kern w:val="0"/>
          <w:sz w:val="20"/>
        </w:rPr>
        <w:t xml:space="preserve">at </w:t>
      </w:r>
      <w:r w:rsidR="00EA1840">
        <w:rPr>
          <w:rFonts w:ascii="Times New Roman" w:hAnsi="Times New Roman" w:cs="Times New Roman" w:hint="eastAsia"/>
          <w:noProof/>
          <w:kern w:val="0"/>
          <w:sz w:val="20"/>
        </w:rPr>
        <w:t>m</w:t>
      </w:r>
      <w:r w:rsidRPr="007E085E">
        <w:rPr>
          <w:rFonts w:ascii="Times New Roman" w:hAnsi="Times New Roman" w:cs="Times New Roman"/>
          <w:noProof/>
          <w:kern w:val="0"/>
          <w:sz w:val="20"/>
        </w:rPr>
        <w:t xml:space="preserve">etabolism </w:t>
      </w:r>
      <w:r w:rsidR="00EA1840">
        <w:rPr>
          <w:rFonts w:ascii="Times New Roman" w:hAnsi="Times New Roman" w:cs="Times New Roman" w:hint="eastAsia"/>
          <w:noProof/>
          <w:kern w:val="0"/>
          <w:sz w:val="20"/>
        </w:rPr>
        <w:t>d</w:t>
      </w:r>
      <w:r w:rsidRPr="007E085E">
        <w:rPr>
          <w:rFonts w:ascii="Times New Roman" w:hAnsi="Times New Roman" w:cs="Times New Roman"/>
          <w:noProof/>
          <w:kern w:val="0"/>
          <w:sz w:val="20"/>
        </w:rPr>
        <w:t xml:space="preserve">isruption </w:t>
      </w:r>
      <w:r w:rsidR="00EA1840">
        <w:rPr>
          <w:rFonts w:ascii="Times New Roman" w:hAnsi="Times New Roman" w:cs="Times New Roman" w:hint="eastAsia"/>
          <w:noProof/>
          <w:kern w:val="0"/>
          <w:sz w:val="20"/>
        </w:rPr>
        <w:t>i</w:t>
      </w:r>
      <w:r w:rsidRPr="007E085E">
        <w:rPr>
          <w:rFonts w:ascii="Times New Roman" w:hAnsi="Times New Roman" w:cs="Times New Roman"/>
          <w:noProof/>
          <w:kern w:val="0"/>
          <w:sz w:val="20"/>
        </w:rPr>
        <w:t xml:space="preserve">nduced by </w:t>
      </w:r>
      <w:r w:rsidR="00EA1840">
        <w:rPr>
          <w:rFonts w:ascii="Times New Roman" w:hAnsi="Times New Roman" w:cs="Times New Roman" w:hint="eastAsia"/>
          <w:noProof/>
          <w:kern w:val="0"/>
          <w:sz w:val="20"/>
        </w:rPr>
        <w:t>a</w:t>
      </w:r>
      <w:r w:rsidRPr="007E085E">
        <w:rPr>
          <w:rFonts w:ascii="Times New Roman" w:hAnsi="Times New Roman" w:cs="Times New Roman"/>
          <w:noProof/>
          <w:kern w:val="0"/>
          <w:sz w:val="20"/>
        </w:rPr>
        <w:t xml:space="preserve">ging and a </w:t>
      </w:r>
      <w:r w:rsidR="00EA1840">
        <w:rPr>
          <w:rFonts w:ascii="Times New Roman" w:hAnsi="Times New Roman" w:cs="Times New Roman" w:hint="eastAsia"/>
          <w:noProof/>
          <w:kern w:val="0"/>
          <w:sz w:val="20"/>
        </w:rPr>
        <w:t>h</w:t>
      </w:r>
      <w:r w:rsidRPr="007E085E">
        <w:rPr>
          <w:rFonts w:ascii="Times New Roman" w:hAnsi="Times New Roman" w:cs="Times New Roman"/>
          <w:noProof/>
          <w:kern w:val="0"/>
          <w:sz w:val="20"/>
        </w:rPr>
        <w:t>igh-</w:t>
      </w:r>
      <w:r w:rsidR="00EA1840">
        <w:rPr>
          <w:rFonts w:ascii="Times New Roman" w:hAnsi="Times New Roman" w:cs="Times New Roman" w:hint="eastAsia"/>
          <w:noProof/>
          <w:kern w:val="0"/>
          <w:sz w:val="20"/>
        </w:rPr>
        <w:t>f</w:t>
      </w:r>
      <w:r w:rsidRPr="007E085E">
        <w:rPr>
          <w:rFonts w:ascii="Times New Roman" w:hAnsi="Times New Roman" w:cs="Times New Roman"/>
          <w:noProof/>
          <w:kern w:val="0"/>
          <w:sz w:val="20"/>
        </w:rPr>
        <w:t xml:space="preserve">at </w:t>
      </w:r>
      <w:r w:rsidR="00EA1840">
        <w:rPr>
          <w:rFonts w:ascii="Times New Roman" w:hAnsi="Times New Roman" w:cs="Times New Roman" w:hint="eastAsia"/>
          <w:noProof/>
          <w:kern w:val="0"/>
          <w:sz w:val="20"/>
        </w:rPr>
        <w:t>d</w:t>
      </w:r>
      <w:r w:rsidRPr="007E085E">
        <w:rPr>
          <w:rFonts w:ascii="Times New Roman" w:hAnsi="Times New Roman" w:cs="Times New Roman"/>
          <w:noProof/>
          <w:kern w:val="0"/>
          <w:sz w:val="20"/>
        </w:rPr>
        <w:t xml:space="preserve">iet in </w:t>
      </w:r>
      <w:r w:rsidR="00EA1840">
        <w:rPr>
          <w:rFonts w:ascii="Times New Roman" w:hAnsi="Times New Roman" w:cs="Times New Roman" w:hint="eastAsia"/>
          <w:noProof/>
          <w:kern w:val="0"/>
          <w:sz w:val="20"/>
        </w:rPr>
        <w:t>m</w:t>
      </w:r>
      <w:r w:rsidRPr="007E085E">
        <w:rPr>
          <w:rFonts w:ascii="Times New Roman" w:hAnsi="Times New Roman" w:cs="Times New Roman"/>
          <w:noProof/>
          <w:kern w:val="0"/>
          <w:sz w:val="20"/>
        </w:rPr>
        <w:t xml:space="preserve">ice[J]. </w:t>
      </w:r>
      <w:r w:rsidRPr="007E085E">
        <w:rPr>
          <w:rFonts w:ascii="Times New Roman" w:hAnsi="Times New Roman" w:cs="Times New Roman"/>
          <w:i/>
          <w:iCs/>
          <w:noProof/>
          <w:kern w:val="0"/>
          <w:sz w:val="20"/>
        </w:rPr>
        <w:t>Antioxidants</w:t>
      </w:r>
      <w:r w:rsidRPr="007E085E">
        <w:rPr>
          <w:rFonts w:ascii="Times New Roman" w:hAnsi="Times New Roman" w:cs="Times New Roman"/>
          <w:noProof/>
          <w:kern w:val="0"/>
          <w:sz w:val="20"/>
        </w:rPr>
        <w:t>, 2024, 13(12).</w:t>
      </w:r>
    </w:p>
    <w:p w14:paraId="612734D4" w14:textId="28B1F480" w:rsidR="007E085E" w:rsidRPr="007E085E" w:rsidRDefault="007E085E"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7E085E">
        <w:rPr>
          <w:rFonts w:ascii="Times New Roman" w:hAnsi="Times New Roman" w:cs="Times New Roman"/>
          <w:noProof/>
          <w:kern w:val="0"/>
          <w:sz w:val="20"/>
        </w:rPr>
        <w:t>[12]</w:t>
      </w:r>
      <w:r w:rsidRPr="007E085E">
        <w:rPr>
          <w:rFonts w:ascii="Times New Roman" w:hAnsi="Times New Roman" w:cs="Times New Roman"/>
          <w:noProof/>
          <w:kern w:val="0"/>
          <w:sz w:val="20"/>
        </w:rPr>
        <w:tab/>
        <w:t xml:space="preserve">Hongyi Yang, Xingyu Chen, Xuanfeng Yu, et al. Sleep </w:t>
      </w:r>
      <w:r w:rsidR="00EA1840">
        <w:rPr>
          <w:rFonts w:ascii="Times New Roman" w:hAnsi="Times New Roman" w:cs="Times New Roman" w:hint="eastAsia"/>
          <w:noProof/>
          <w:kern w:val="0"/>
          <w:sz w:val="20"/>
        </w:rPr>
        <w:t>d</w:t>
      </w:r>
      <w:r w:rsidRPr="007E085E">
        <w:rPr>
          <w:rFonts w:ascii="Times New Roman" w:hAnsi="Times New Roman" w:cs="Times New Roman"/>
          <w:noProof/>
          <w:kern w:val="0"/>
          <w:sz w:val="20"/>
        </w:rPr>
        <w:t xml:space="preserve">eprivation and </w:t>
      </w:r>
      <w:r w:rsidR="00EA1840">
        <w:rPr>
          <w:rFonts w:ascii="Times New Roman" w:hAnsi="Times New Roman" w:cs="Times New Roman" w:hint="eastAsia"/>
          <w:noProof/>
          <w:kern w:val="0"/>
          <w:sz w:val="20"/>
        </w:rPr>
        <w:t>s</w:t>
      </w:r>
      <w:r w:rsidRPr="007E085E">
        <w:rPr>
          <w:rFonts w:ascii="Times New Roman" w:hAnsi="Times New Roman" w:cs="Times New Roman"/>
          <w:noProof/>
          <w:kern w:val="0"/>
          <w:sz w:val="20"/>
        </w:rPr>
        <w:t xml:space="preserve">ubchronic </w:t>
      </w:r>
      <w:r w:rsidR="00EA1840">
        <w:rPr>
          <w:rFonts w:ascii="Times New Roman" w:hAnsi="Times New Roman" w:cs="Times New Roman" w:hint="eastAsia"/>
          <w:noProof/>
          <w:kern w:val="0"/>
          <w:sz w:val="20"/>
        </w:rPr>
        <w:t>a</w:t>
      </w:r>
      <w:r w:rsidRPr="007E085E">
        <w:rPr>
          <w:rFonts w:ascii="Times New Roman" w:hAnsi="Times New Roman" w:cs="Times New Roman"/>
          <w:noProof/>
          <w:kern w:val="0"/>
          <w:sz w:val="20"/>
        </w:rPr>
        <w:t xml:space="preserve">rsenite </w:t>
      </w:r>
      <w:r w:rsidR="00EA1840">
        <w:rPr>
          <w:rFonts w:ascii="Times New Roman" w:hAnsi="Times New Roman" w:cs="Times New Roman" w:hint="eastAsia"/>
          <w:noProof/>
          <w:kern w:val="0"/>
          <w:sz w:val="20"/>
        </w:rPr>
        <w:t>e</w:t>
      </w:r>
      <w:r w:rsidRPr="007E085E">
        <w:rPr>
          <w:rFonts w:ascii="Times New Roman" w:hAnsi="Times New Roman" w:cs="Times New Roman"/>
          <w:noProof/>
          <w:kern w:val="0"/>
          <w:sz w:val="20"/>
        </w:rPr>
        <w:t xml:space="preserve">xposure </w:t>
      </w:r>
      <w:r w:rsidR="00EA1840">
        <w:rPr>
          <w:rFonts w:ascii="Times New Roman" w:hAnsi="Times New Roman" w:cs="Times New Roman" w:hint="eastAsia"/>
          <w:noProof/>
          <w:kern w:val="0"/>
          <w:sz w:val="20"/>
        </w:rPr>
        <w:t>s</w:t>
      </w:r>
      <w:r w:rsidRPr="007E085E">
        <w:rPr>
          <w:rFonts w:ascii="Times New Roman" w:hAnsi="Times New Roman" w:cs="Times New Roman"/>
          <w:noProof/>
          <w:kern w:val="0"/>
          <w:sz w:val="20"/>
        </w:rPr>
        <w:t xml:space="preserve">ynergistically </w:t>
      </w:r>
      <w:r w:rsidR="00EA1840">
        <w:rPr>
          <w:rFonts w:ascii="Times New Roman" w:hAnsi="Times New Roman" w:cs="Times New Roman" w:hint="eastAsia"/>
          <w:noProof/>
          <w:kern w:val="0"/>
          <w:sz w:val="20"/>
        </w:rPr>
        <w:t>i</w:t>
      </w:r>
      <w:r w:rsidRPr="007E085E">
        <w:rPr>
          <w:rFonts w:ascii="Times New Roman" w:hAnsi="Times New Roman" w:cs="Times New Roman"/>
          <w:noProof/>
          <w:kern w:val="0"/>
          <w:sz w:val="20"/>
        </w:rPr>
        <w:t xml:space="preserve">nduced </w:t>
      </w:r>
      <w:r w:rsidR="00EA1840">
        <w:rPr>
          <w:rFonts w:ascii="Times New Roman" w:hAnsi="Times New Roman" w:cs="Times New Roman" w:hint="eastAsia"/>
          <w:noProof/>
          <w:kern w:val="0"/>
          <w:sz w:val="20"/>
        </w:rPr>
        <w:t>s</w:t>
      </w:r>
      <w:r w:rsidRPr="007E085E">
        <w:rPr>
          <w:rFonts w:ascii="Times New Roman" w:hAnsi="Times New Roman" w:cs="Times New Roman"/>
          <w:noProof/>
          <w:kern w:val="0"/>
          <w:sz w:val="20"/>
        </w:rPr>
        <w:t xml:space="preserve">keletal </w:t>
      </w:r>
      <w:r w:rsidR="00EA1840">
        <w:rPr>
          <w:rFonts w:ascii="Times New Roman" w:hAnsi="Times New Roman" w:cs="Times New Roman" w:hint="eastAsia"/>
          <w:noProof/>
          <w:kern w:val="0"/>
          <w:sz w:val="20"/>
        </w:rPr>
        <w:t>m</w:t>
      </w:r>
      <w:r w:rsidRPr="007E085E">
        <w:rPr>
          <w:rFonts w:ascii="Times New Roman" w:hAnsi="Times New Roman" w:cs="Times New Roman"/>
          <w:noProof/>
          <w:kern w:val="0"/>
          <w:sz w:val="20"/>
        </w:rPr>
        <w:t>uscle</w:t>
      </w:r>
      <w:r w:rsidR="00EA1840">
        <w:rPr>
          <w:rFonts w:ascii="Times New Roman" w:hAnsi="Times New Roman" w:cs="Times New Roman" w:hint="eastAsia"/>
          <w:noProof/>
          <w:kern w:val="0"/>
          <w:sz w:val="20"/>
        </w:rPr>
        <w:t xml:space="preserve"> a</w:t>
      </w:r>
      <w:r w:rsidRPr="007E085E">
        <w:rPr>
          <w:rFonts w:ascii="Times New Roman" w:hAnsi="Times New Roman" w:cs="Times New Roman"/>
          <w:noProof/>
          <w:kern w:val="0"/>
          <w:sz w:val="20"/>
        </w:rPr>
        <w:t xml:space="preserve">ging by </w:t>
      </w:r>
      <w:r w:rsidR="00EA1840">
        <w:rPr>
          <w:rFonts w:ascii="Times New Roman" w:hAnsi="Times New Roman" w:cs="Times New Roman" w:hint="eastAsia"/>
          <w:noProof/>
          <w:kern w:val="0"/>
          <w:sz w:val="20"/>
        </w:rPr>
        <w:t>d</w:t>
      </w:r>
      <w:r w:rsidRPr="007E085E">
        <w:rPr>
          <w:rFonts w:ascii="Times New Roman" w:hAnsi="Times New Roman" w:cs="Times New Roman"/>
          <w:noProof/>
          <w:kern w:val="0"/>
          <w:sz w:val="20"/>
        </w:rPr>
        <w:t xml:space="preserve">isrupting </w:t>
      </w:r>
      <w:r w:rsidR="00EA1840">
        <w:rPr>
          <w:rFonts w:ascii="Times New Roman" w:hAnsi="Times New Roman" w:cs="Times New Roman" w:hint="eastAsia"/>
          <w:noProof/>
          <w:kern w:val="0"/>
          <w:sz w:val="20"/>
        </w:rPr>
        <w:t>m</w:t>
      </w:r>
      <w:r w:rsidRPr="007E085E">
        <w:rPr>
          <w:rFonts w:ascii="Times New Roman" w:hAnsi="Times New Roman" w:cs="Times New Roman"/>
          <w:noProof/>
          <w:kern w:val="0"/>
          <w:sz w:val="20"/>
        </w:rPr>
        <w:t xml:space="preserve">elatonin and </w:t>
      </w:r>
      <w:r w:rsidR="00EA1840">
        <w:rPr>
          <w:rFonts w:ascii="Times New Roman" w:hAnsi="Times New Roman" w:cs="Times New Roman" w:hint="eastAsia"/>
          <w:noProof/>
          <w:kern w:val="0"/>
          <w:sz w:val="20"/>
        </w:rPr>
        <w:t>c</w:t>
      </w:r>
      <w:r w:rsidRPr="007E085E">
        <w:rPr>
          <w:rFonts w:ascii="Times New Roman" w:hAnsi="Times New Roman" w:cs="Times New Roman"/>
          <w:noProof/>
          <w:kern w:val="0"/>
          <w:sz w:val="20"/>
        </w:rPr>
        <w:t xml:space="preserve">ortisol </w:t>
      </w:r>
      <w:r w:rsidR="00EA1840">
        <w:rPr>
          <w:rFonts w:ascii="Times New Roman" w:hAnsi="Times New Roman" w:cs="Times New Roman" w:hint="eastAsia"/>
          <w:noProof/>
          <w:kern w:val="0"/>
          <w:sz w:val="20"/>
        </w:rPr>
        <w:t>s</w:t>
      </w:r>
      <w:r w:rsidRPr="007E085E">
        <w:rPr>
          <w:rFonts w:ascii="Times New Roman" w:hAnsi="Times New Roman" w:cs="Times New Roman"/>
          <w:noProof/>
          <w:kern w:val="0"/>
          <w:sz w:val="20"/>
        </w:rPr>
        <w:t xml:space="preserve">ecretion in </w:t>
      </w:r>
      <w:r w:rsidR="00EA1840">
        <w:rPr>
          <w:rFonts w:ascii="Times New Roman" w:hAnsi="Times New Roman" w:cs="Times New Roman" w:hint="eastAsia"/>
          <w:noProof/>
          <w:kern w:val="0"/>
          <w:sz w:val="20"/>
        </w:rPr>
        <w:t>m</w:t>
      </w:r>
      <w:r w:rsidRPr="007E085E">
        <w:rPr>
          <w:rFonts w:ascii="Times New Roman" w:hAnsi="Times New Roman" w:cs="Times New Roman"/>
          <w:noProof/>
          <w:kern w:val="0"/>
          <w:sz w:val="20"/>
        </w:rPr>
        <w:t xml:space="preserve">ice[J]. </w:t>
      </w:r>
      <w:r w:rsidRPr="007E085E">
        <w:rPr>
          <w:rFonts w:ascii="Times New Roman" w:hAnsi="Times New Roman" w:cs="Times New Roman"/>
          <w:i/>
          <w:iCs/>
          <w:noProof/>
          <w:kern w:val="0"/>
          <w:sz w:val="20"/>
        </w:rPr>
        <w:t>Toxics</w:t>
      </w:r>
      <w:r w:rsidRPr="007E085E">
        <w:rPr>
          <w:rFonts w:ascii="Times New Roman" w:hAnsi="Times New Roman" w:cs="Times New Roman"/>
          <w:noProof/>
          <w:kern w:val="0"/>
          <w:sz w:val="20"/>
        </w:rPr>
        <w:t>, 2025, 13(2): 1-14.</w:t>
      </w:r>
    </w:p>
    <w:p w14:paraId="38228301" w14:textId="4DFD8A05" w:rsidR="007E085E" w:rsidRDefault="007E085E" w:rsidP="002114C2">
      <w:pPr>
        <w:autoSpaceDE w:val="0"/>
        <w:autoSpaceDN w:val="0"/>
        <w:adjustRightInd w:val="0"/>
        <w:spacing w:line="240" w:lineRule="auto"/>
        <w:ind w:left="640" w:hanging="640"/>
        <w:jc w:val="both"/>
        <w:rPr>
          <w:rFonts w:ascii="Times New Roman" w:hAnsi="Times New Roman" w:cs="Times New Roman"/>
          <w:noProof/>
          <w:kern w:val="0"/>
          <w:sz w:val="20"/>
        </w:rPr>
      </w:pPr>
      <w:r w:rsidRPr="007E085E">
        <w:rPr>
          <w:rFonts w:ascii="Times New Roman" w:hAnsi="Times New Roman" w:cs="Times New Roman"/>
          <w:noProof/>
          <w:kern w:val="0"/>
          <w:sz w:val="20"/>
        </w:rPr>
        <w:t>[13]</w:t>
      </w:r>
      <w:r w:rsidRPr="007E085E">
        <w:rPr>
          <w:rFonts w:ascii="Times New Roman" w:hAnsi="Times New Roman" w:cs="Times New Roman"/>
          <w:noProof/>
          <w:kern w:val="0"/>
          <w:sz w:val="20"/>
        </w:rPr>
        <w:tab/>
        <w:t xml:space="preserve">Jingbo Qi, Qianyi Liu, Jiaqi Cheng, et al. Antidepressant effect of blue light on depressive phenotype induced by the unfixed light pattern in mice[J]. </w:t>
      </w:r>
      <w:r w:rsidRPr="007E085E">
        <w:rPr>
          <w:rFonts w:ascii="Times New Roman" w:hAnsi="Times New Roman" w:cs="Times New Roman"/>
          <w:i/>
          <w:iCs/>
          <w:noProof/>
          <w:kern w:val="0"/>
          <w:sz w:val="20"/>
        </w:rPr>
        <w:t>Brain Research Bulletin</w:t>
      </w:r>
      <w:r w:rsidRPr="007E085E">
        <w:rPr>
          <w:rFonts w:ascii="Times New Roman" w:hAnsi="Times New Roman" w:cs="Times New Roman"/>
          <w:noProof/>
          <w:kern w:val="0"/>
          <w:sz w:val="20"/>
        </w:rPr>
        <w:t>, 2026, 237: 111781.</w:t>
      </w:r>
    </w:p>
    <w:p w14:paraId="584A8E44" w14:textId="1D126AD5" w:rsidR="00796F7A" w:rsidRDefault="00796F7A" w:rsidP="002114C2">
      <w:pPr>
        <w:widowControl/>
        <w:jc w:val="both"/>
        <w:rPr>
          <w:rFonts w:ascii="Times New Roman" w:hAnsi="Times New Roman" w:cs="Times New Roman"/>
          <w:noProof/>
          <w:kern w:val="0"/>
          <w:sz w:val="20"/>
        </w:rPr>
      </w:pPr>
      <w:r>
        <w:rPr>
          <w:rFonts w:ascii="Times New Roman" w:hAnsi="Times New Roman" w:cs="Times New Roman"/>
          <w:noProof/>
          <w:kern w:val="0"/>
          <w:sz w:val="20"/>
        </w:rPr>
        <w:br w:type="page"/>
      </w:r>
    </w:p>
    <w:p w14:paraId="14F9EF92" w14:textId="4A37A495" w:rsidR="00EC2E8E" w:rsidRDefault="005C6A85" w:rsidP="002114C2">
      <w:pPr>
        <w:spacing w:line="300" w:lineRule="auto"/>
        <w:jc w:val="both"/>
        <w:rPr>
          <w:rFonts w:ascii="Times New Roman" w:hAnsi="Times New Roman" w:cs="Times New Roman"/>
          <w:sz w:val="21"/>
          <w:szCs w:val="21"/>
        </w:rPr>
      </w:pPr>
      <w:r w:rsidRPr="00DE117B">
        <w:rPr>
          <w:rFonts w:ascii="Times New Roman" w:hAnsi="Times New Roman" w:cs="Times New Roman"/>
          <w:sz w:val="21"/>
          <w:szCs w:val="21"/>
        </w:rPr>
        <w:lastRenderedPageBreak/>
        <w:fldChar w:fldCharType="end"/>
      </w:r>
      <w:r w:rsidR="00EC2E8E" w:rsidRPr="007B46BB">
        <w:rPr>
          <w:rFonts w:ascii="Times New Roman" w:hAnsi="Times New Roman" w:cs="Times New Roman"/>
          <w:sz w:val="21"/>
          <w:szCs w:val="21"/>
        </w:rPr>
        <w:t>Supplementary Figure</w:t>
      </w:r>
      <w:r w:rsidR="00EC2E8E">
        <w:rPr>
          <w:rFonts w:ascii="Times New Roman" w:hAnsi="Times New Roman" w:cs="Times New Roman" w:hint="eastAsia"/>
          <w:sz w:val="21"/>
          <w:szCs w:val="21"/>
        </w:rPr>
        <w:t xml:space="preserve"> 1</w:t>
      </w:r>
    </w:p>
    <w:p w14:paraId="58E2FA7C" w14:textId="010B38BF" w:rsidR="00EC2E8E" w:rsidRDefault="00EC2E8E" w:rsidP="00EC2E8E">
      <w:pPr>
        <w:spacing w:line="300" w:lineRule="auto"/>
        <w:jc w:val="center"/>
        <w:rPr>
          <w:rFonts w:ascii="Times New Roman" w:hAnsi="Times New Roman" w:cs="Times New Roman"/>
          <w:sz w:val="21"/>
          <w:szCs w:val="21"/>
        </w:rPr>
      </w:pPr>
      <w:r w:rsidRPr="00763342">
        <w:rPr>
          <w:noProof/>
        </w:rPr>
        <w:drawing>
          <wp:inline distT="0" distB="0" distL="0" distR="0" wp14:anchorId="268C9C2E" wp14:editId="19D9A923">
            <wp:extent cx="4299261" cy="2461231"/>
            <wp:effectExtent l="0" t="0" r="0" b="0"/>
            <wp:docPr id="4291350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02422" cy="2463040"/>
                    </a:xfrm>
                    <a:prstGeom prst="rect">
                      <a:avLst/>
                    </a:prstGeom>
                    <a:noFill/>
                    <a:ln>
                      <a:noFill/>
                    </a:ln>
                  </pic:spPr>
                </pic:pic>
              </a:graphicData>
            </a:graphic>
          </wp:inline>
        </w:drawing>
      </w:r>
    </w:p>
    <w:p w14:paraId="50B8FCD8" w14:textId="3848DC66" w:rsidR="00EC2E8E" w:rsidRPr="004976FD" w:rsidRDefault="00EC2E8E" w:rsidP="004976FD">
      <w:pPr>
        <w:spacing w:line="300" w:lineRule="auto"/>
        <w:jc w:val="both"/>
        <w:rPr>
          <w:rFonts w:ascii="Segoe UI" w:hAnsi="Segoe UI" w:cs="Segoe UI"/>
          <w:i/>
          <w:iCs/>
          <w:sz w:val="21"/>
          <w:szCs w:val="21"/>
        </w:rPr>
      </w:pPr>
      <w:r w:rsidRPr="004976FD">
        <w:rPr>
          <w:rFonts w:ascii="Times New Roman" w:eastAsia="宋体" w:hAnsi="Times New Roman" w:cs="Times New Roman" w:hint="eastAsia"/>
          <w:bCs/>
          <w:kern w:val="0"/>
          <w:sz w:val="21"/>
          <w:szCs w:val="21"/>
        </w:rPr>
        <w:t>Supplementary Figure 1</w:t>
      </w:r>
      <w:r w:rsidR="004976FD">
        <w:rPr>
          <w:rFonts w:ascii="Times New Roman" w:eastAsia="宋体" w:hAnsi="Times New Roman" w:cs="Times New Roman" w:hint="eastAsia"/>
          <w:bCs/>
          <w:kern w:val="0"/>
          <w:sz w:val="21"/>
          <w:szCs w:val="21"/>
        </w:rPr>
        <w:t>.</w:t>
      </w:r>
      <w:r w:rsidRPr="004976FD">
        <w:rPr>
          <w:rFonts w:ascii="Times New Roman" w:eastAsia="宋体" w:hAnsi="Times New Roman" w:cs="Times New Roman" w:hint="eastAsia"/>
          <w:bCs/>
          <w:kern w:val="0"/>
          <w:sz w:val="21"/>
          <w:szCs w:val="21"/>
        </w:rPr>
        <w:t xml:space="preserve"> Maternal serum P4 and E2 levels,</w:t>
      </w:r>
      <w:r w:rsidRPr="004976FD">
        <w:rPr>
          <w:rFonts w:ascii="Times New Roman" w:eastAsia="宋体" w:hAnsi="Times New Roman" w:cs="Times New Roman"/>
          <w:bCs/>
          <w:kern w:val="0"/>
          <w:sz w:val="21"/>
          <w:szCs w:val="21"/>
        </w:rPr>
        <w:t xml:space="preserve"> </w:t>
      </w:r>
      <w:r w:rsidRPr="004976FD">
        <w:rPr>
          <w:rFonts w:ascii="Times New Roman" w:eastAsia="宋体" w:hAnsi="Times New Roman" w:cs="Times New Roman" w:hint="eastAsia"/>
          <w:bCs/>
          <w:kern w:val="0"/>
          <w:sz w:val="21"/>
          <w:szCs w:val="21"/>
        </w:rPr>
        <w:t>placenta weight, and placental</w:t>
      </w:r>
      <w:r w:rsidRPr="004976FD">
        <w:rPr>
          <w:rFonts w:ascii="Times New Roman" w:eastAsia="宋体" w:hAnsi="Times New Roman" w:cs="Times New Roman" w:hint="eastAsia"/>
          <w:bCs/>
          <w:i/>
          <w:iCs/>
          <w:kern w:val="0"/>
          <w:sz w:val="21"/>
          <w:szCs w:val="21"/>
        </w:rPr>
        <w:t xml:space="preserve"> </w:t>
      </w:r>
      <w:proofErr w:type="spellStart"/>
      <w:r w:rsidRPr="004976FD">
        <w:rPr>
          <w:rFonts w:ascii="Times New Roman" w:eastAsia="宋体" w:hAnsi="Times New Roman" w:cs="Times New Roman" w:hint="eastAsia"/>
          <w:bCs/>
          <w:i/>
          <w:iCs/>
          <w:kern w:val="0"/>
          <w:sz w:val="21"/>
          <w:szCs w:val="21"/>
        </w:rPr>
        <w:t>Tnf</w:t>
      </w:r>
      <w:proofErr w:type="spellEnd"/>
      <w:r w:rsidRPr="004976FD">
        <w:rPr>
          <w:rFonts w:ascii="Times New Roman" w:eastAsia="宋体" w:hAnsi="Times New Roman" w:cs="Times New Roman" w:hint="eastAsia"/>
          <w:bCs/>
          <w:kern w:val="0"/>
          <w:sz w:val="21"/>
          <w:szCs w:val="21"/>
        </w:rPr>
        <w:t xml:space="preserve"> and </w:t>
      </w:r>
      <w:r w:rsidRPr="004976FD">
        <w:rPr>
          <w:rFonts w:ascii="Times New Roman" w:eastAsia="宋体" w:hAnsi="Times New Roman" w:cs="Times New Roman" w:hint="eastAsia"/>
          <w:bCs/>
          <w:i/>
          <w:iCs/>
          <w:kern w:val="0"/>
          <w:sz w:val="21"/>
          <w:szCs w:val="21"/>
        </w:rPr>
        <w:t>Il6</w:t>
      </w:r>
      <w:r w:rsidRPr="004976FD">
        <w:rPr>
          <w:rFonts w:ascii="Times New Roman" w:eastAsia="宋体" w:hAnsi="Times New Roman" w:cs="Times New Roman" w:hint="eastAsia"/>
          <w:bCs/>
          <w:kern w:val="0"/>
          <w:sz w:val="21"/>
          <w:szCs w:val="21"/>
        </w:rPr>
        <w:t xml:space="preserve"> levels </w:t>
      </w:r>
      <w:r w:rsidRPr="004976FD">
        <w:rPr>
          <w:rFonts w:ascii="Times New Roman" w:eastAsia="宋体" w:hAnsi="Times New Roman" w:cs="Times New Roman"/>
          <w:bCs/>
          <w:kern w:val="0"/>
          <w:sz w:val="21"/>
          <w:szCs w:val="21"/>
        </w:rPr>
        <w:t>at E16.5 (n</w:t>
      </w:r>
      <w:r w:rsidRPr="004976FD">
        <w:rPr>
          <w:rFonts w:ascii="Times New Roman" w:eastAsia="宋体" w:hAnsi="Times New Roman" w:cs="Times New Roman" w:hint="eastAsia"/>
          <w:bCs/>
          <w:kern w:val="0"/>
          <w:sz w:val="21"/>
          <w:szCs w:val="21"/>
        </w:rPr>
        <w:t xml:space="preserve"> </w:t>
      </w:r>
      <w:r w:rsidRPr="004976FD">
        <w:rPr>
          <w:rFonts w:ascii="Times New Roman" w:eastAsia="宋体" w:hAnsi="Times New Roman" w:cs="Times New Roman"/>
          <w:bCs/>
          <w:kern w:val="0"/>
          <w:sz w:val="21"/>
          <w:szCs w:val="21"/>
        </w:rPr>
        <w:t>=3–4 per group per ZT point; total</w:t>
      </w:r>
      <w:r w:rsidRPr="004976FD">
        <w:rPr>
          <w:rFonts w:ascii="Times New Roman" w:eastAsia="宋体" w:hAnsi="Times New Roman" w:cs="Times New Roman" w:hint="eastAsia"/>
          <w:bCs/>
          <w:kern w:val="0"/>
          <w:sz w:val="21"/>
          <w:szCs w:val="21"/>
        </w:rPr>
        <w:t xml:space="preserve"> </w:t>
      </w:r>
      <w:r w:rsidRPr="004976FD">
        <w:rPr>
          <w:rFonts w:ascii="Times New Roman" w:eastAsia="宋体" w:hAnsi="Times New Roman" w:cs="Times New Roman"/>
          <w:bCs/>
          <w:kern w:val="0"/>
          <w:sz w:val="21"/>
          <w:szCs w:val="21"/>
        </w:rPr>
        <w:t>n = 16</w:t>
      </w:r>
      <w:r w:rsidRPr="004976FD">
        <w:rPr>
          <w:rFonts w:ascii="Times New Roman" w:eastAsia="宋体" w:hAnsi="Times New Roman" w:cs="Times New Roman" w:hint="eastAsia"/>
          <w:bCs/>
          <w:kern w:val="0"/>
          <w:sz w:val="21"/>
          <w:szCs w:val="21"/>
        </w:rPr>
        <w:t xml:space="preserve"> for the Control group</w:t>
      </w:r>
      <w:r w:rsidRPr="004976FD">
        <w:rPr>
          <w:rFonts w:ascii="Times New Roman" w:eastAsia="宋体" w:hAnsi="Times New Roman" w:cs="Times New Roman"/>
          <w:bCs/>
          <w:kern w:val="0"/>
          <w:sz w:val="21"/>
          <w:szCs w:val="21"/>
        </w:rPr>
        <w:t>, n = 1</w:t>
      </w:r>
      <w:r w:rsidRPr="004976FD">
        <w:rPr>
          <w:rFonts w:ascii="Times New Roman" w:eastAsia="宋体" w:hAnsi="Times New Roman" w:cs="Times New Roman" w:hint="eastAsia"/>
          <w:bCs/>
          <w:kern w:val="0"/>
          <w:sz w:val="21"/>
          <w:szCs w:val="21"/>
        </w:rPr>
        <w:t xml:space="preserve">5 for the </w:t>
      </w:r>
      <w:r w:rsidRPr="004976FD">
        <w:rPr>
          <w:rFonts w:ascii="Times New Roman" w:eastAsia="宋体" w:hAnsi="Times New Roman" w:cs="Times New Roman"/>
          <w:bCs/>
          <w:kern w:val="0"/>
          <w:sz w:val="21"/>
          <w:szCs w:val="21"/>
        </w:rPr>
        <w:t xml:space="preserve">L‑ALAN </w:t>
      </w:r>
      <w:r w:rsidRPr="004976FD">
        <w:rPr>
          <w:rFonts w:ascii="Times New Roman" w:eastAsia="宋体" w:hAnsi="Times New Roman" w:cs="Times New Roman" w:hint="eastAsia"/>
          <w:bCs/>
          <w:kern w:val="0"/>
          <w:sz w:val="21"/>
          <w:szCs w:val="21"/>
        </w:rPr>
        <w:t>group</w:t>
      </w:r>
      <w:r w:rsidRPr="004976FD">
        <w:rPr>
          <w:rFonts w:ascii="Times New Roman" w:eastAsia="宋体" w:hAnsi="Times New Roman" w:cs="Times New Roman"/>
          <w:bCs/>
          <w:kern w:val="0"/>
          <w:sz w:val="21"/>
          <w:szCs w:val="21"/>
        </w:rPr>
        <w:t>, and n = 16</w:t>
      </w:r>
      <w:r w:rsidRPr="004976FD">
        <w:rPr>
          <w:rFonts w:ascii="Times New Roman" w:eastAsia="宋体" w:hAnsi="Times New Roman" w:cs="Times New Roman" w:hint="eastAsia"/>
          <w:bCs/>
          <w:kern w:val="0"/>
          <w:sz w:val="21"/>
          <w:szCs w:val="21"/>
        </w:rPr>
        <w:t xml:space="preserve"> for the </w:t>
      </w:r>
      <w:r w:rsidRPr="004976FD">
        <w:rPr>
          <w:rFonts w:ascii="Times New Roman" w:eastAsia="宋体" w:hAnsi="Times New Roman" w:cs="Times New Roman"/>
          <w:bCs/>
          <w:kern w:val="0"/>
          <w:sz w:val="21"/>
          <w:szCs w:val="21"/>
        </w:rPr>
        <w:t>L‑ALAN+MT</w:t>
      </w:r>
      <w:r w:rsidRPr="004976FD">
        <w:rPr>
          <w:rFonts w:ascii="Times New Roman" w:eastAsia="宋体" w:hAnsi="Times New Roman" w:cs="Times New Roman" w:hint="eastAsia"/>
          <w:bCs/>
          <w:kern w:val="0"/>
          <w:sz w:val="21"/>
          <w:szCs w:val="21"/>
        </w:rPr>
        <w:t xml:space="preserve"> group</w:t>
      </w:r>
      <w:r w:rsidRPr="004976FD">
        <w:rPr>
          <w:rFonts w:ascii="Times New Roman" w:eastAsia="宋体" w:hAnsi="Times New Roman" w:cs="Times New Roman"/>
          <w:bCs/>
          <w:kern w:val="0"/>
          <w:sz w:val="21"/>
          <w:szCs w:val="21"/>
        </w:rPr>
        <w:t>). ZT0 and ZT24 are double plotted for visualization</w:t>
      </w:r>
      <w:r w:rsidRPr="004976FD">
        <w:rPr>
          <w:rFonts w:ascii="Times New Roman" w:eastAsia="宋体" w:hAnsi="Times New Roman" w:cs="Times New Roman" w:hint="eastAsia"/>
          <w:bCs/>
          <w:kern w:val="0"/>
          <w:sz w:val="21"/>
          <w:szCs w:val="21"/>
        </w:rPr>
        <w:t>.</w:t>
      </w:r>
      <w:r w:rsidRPr="004976FD">
        <w:rPr>
          <w:rFonts w:ascii="Times New Roman" w:eastAsia="宋体" w:hAnsi="Times New Roman" w:cs="Times New Roman"/>
          <w:bCs/>
          <w:kern w:val="0"/>
          <w:sz w:val="21"/>
          <w:szCs w:val="21"/>
        </w:rPr>
        <w:t xml:space="preserve"> Group comparisons were performed using two-way ANOVA (*</w:t>
      </w:r>
      <w:r w:rsidRPr="004976FD">
        <w:rPr>
          <w:rFonts w:ascii="Times New Roman" w:eastAsia="宋体" w:hAnsi="Times New Roman" w:cs="Times New Roman"/>
          <w:bCs/>
          <w:i/>
          <w:iCs/>
          <w:kern w:val="0"/>
          <w:sz w:val="21"/>
          <w:szCs w:val="21"/>
        </w:rPr>
        <w:t>P</w:t>
      </w:r>
      <w:r w:rsidRPr="004976FD">
        <w:rPr>
          <w:rFonts w:ascii="Times New Roman" w:eastAsia="宋体" w:hAnsi="Times New Roman" w:cs="Times New Roman"/>
          <w:bCs/>
          <w:kern w:val="0"/>
          <w:sz w:val="21"/>
          <w:szCs w:val="21"/>
        </w:rPr>
        <w:t xml:space="preserve"> &lt; 0.05, L-ALAN </w:t>
      </w:r>
      <w:r w:rsidRPr="004976FD">
        <w:rPr>
          <w:rFonts w:ascii="Times New Roman" w:eastAsia="宋体" w:hAnsi="Times New Roman" w:cs="Times New Roman"/>
          <w:bCs/>
          <w:i/>
          <w:iCs/>
          <w:kern w:val="0"/>
          <w:sz w:val="21"/>
          <w:szCs w:val="21"/>
        </w:rPr>
        <w:t>vs.</w:t>
      </w:r>
      <w:r w:rsidRPr="004976FD">
        <w:rPr>
          <w:rFonts w:ascii="Times New Roman" w:eastAsia="宋体" w:hAnsi="Times New Roman" w:cs="Times New Roman"/>
          <w:bCs/>
          <w:kern w:val="0"/>
          <w:sz w:val="21"/>
          <w:szCs w:val="21"/>
        </w:rPr>
        <w:t xml:space="preserve"> Control). Rhythmicity was assessed using the JTK_CYCLE method (no significant rhythm</w:t>
      </w:r>
      <w:r w:rsidRPr="004976FD">
        <w:rPr>
          <w:rFonts w:ascii="Times New Roman" w:eastAsia="宋体" w:hAnsi="Times New Roman" w:cs="Times New Roman" w:hint="eastAsia"/>
          <w:bCs/>
          <w:kern w:val="0"/>
          <w:sz w:val="21"/>
          <w:szCs w:val="21"/>
        </w:rPr>
        <w:t>icity in any group</w:t>
      </w:r>
      <w:r w:rsidRPr="004976FD">
        <w:rPr>
          <w:rFonts w:ascii="Times New Roman" w:eastAsia="宋体" w:hAnsi="Times New Roman" w:cs="Times New Roman"/>
          <w:bCs/>
          <w:kern w:val="0"/>
          <w:sz w:val="21"/>
          <w:szCs w:val="21"/>
        </w:rPr>
        <w:t>,</w:t>
      </w:r>
      <w:r w:rsidRPr="004976FD">
        <w:rPr>
          <w:rFonts w:ascii="Times New Roman" w:eastAsia="宋体" w:hAnsi="Times New Roman" w:cs="Times New Roman"/>
          <w:bCs/>
          <w:i/>
          <w:iCs/>
          <w:kern w:val="0"/>
          <w:sz w:val="21"/>
          <w:szCs w:val="21"/>
        </w:rPr>
        <w:t xml:space="preserve"> P</w:t>
      </w:r>
      <w:r w:rsidRPr="004976FD">
        <w:rPr>
          <w:rFonts w:ascii="Times New Roman" w:eastAsia="宋体" w:hAnsi="Times New Roman" w:cs="Times New Roman"/>
          <w:bCs/>
          <w:kern w:val="0"/>
          <w:sz w:val="21"/>
          <w:szCs w:val="21"/>
        </w:rPr>
        <w:t xml:space="preserve"> </w:t>
      </w:r>
      <w:r w:rsidRPr="004976FD">
        <w:rPr>
          <w:rFonts w:ascii="Times New Roman" w:eastAsia="宋体" w:hAnsi="Times New Roman" w:cs="Times New Roman" w:hint="eastAsia"/>
          <w:bCs/>
          <w:kern w:val="0"/>
          <w:sz w:val="21"/>
          <w:szCs w:val="21"/>
        </w:rPr>
        <w:t>&gt;</w:t>
      </w:r>
      <w:r w:rsidRPr="004976FD">
        <w:rPr>
          <w:rFonts w:ascii="Times New Roman" w:eastAsia="宋体" w:hAnsi="Times New Roman" w:cs="Times New Roman"/>
          <w:bCs/>
          <w:kern w:val="0"/>
          <w:sz w:val="21"/>
          <w:szCs w:val="21"/>
        </w:rPr>
        <w:t xml:space="preserve"> 0.05)</w:t>
      </w:r>
      <w:r w:rsidRPr="004976FD">
        <w:rPr>
          <w:rFonts w:ascii="Times New Roman" w:eastAsia="宋体" w:hAnsi="Times New Roman" w:cs="Times New Roman" w:hint="eastAsia"/>
          <w:bCs/>
          <w:kern w:val="0"/>
          <w:sz w:val="21"/>
          <w:szCs w:val="21"/>
        </w:rPr>
        <w:t>.</w:t>
      </w:r>
      <w:r w:rsidRPr="004976FD">
        <w:rPr>
          <w:rFonts w:ascii="Segoe UI" w:hAnsi="Segoe UI" w:cs="Segoe UI"/>
          <w:i/>
          <w:iCs/>
          <w:sz w:val="21"/>
          <w:szCs w:val="21"/>
        </w:rPr>
        <w:t xml:space="preserve"> </w:t>
      </w:r>
    </w:p>
    <w:p w14:paraId="05E95148" w14:textId="3F8CC66D" w:rsidR="00EC2E8E" w:rsidRDefault="00EC2E8E">
      <w:pPr>
        <w:widowControl/>
        <w:rPr>
          <w:rFonts w:ascii="Times New Roman" w:hAnsi="Times New Roman" w:cs="Times New Roman"/>
          <w:sz w:val="21"/>
          <w:szCs w:val="21"/>
        </w:rPr>
      </w:pPr>
      <w:r>
        <w:rPr>
          <w:rFonts w:ascii="Times New Roman" w:hAnsi="Times New Roman" w:cs="Times New Roman"/>
          <w:sz w:val="21"/>
          <w:szCs w:val="21"/>
        </w:rPr>
        <w:br w:type="page"/>
      </w:r>
    </w:p>
    <w:p w14:paraId="5C8FD781" w14:textId="0DA16B52" w:rsidR="006C6567" w:rsidRDefault="006C6567" w:rsidP="006C6567">
      <w:pPr>
        <w:spacing w:line="300" w:lineRule="auto"/>
        <w:jc w:val="both"/>
        <w:rPr>
          <w:rFonts w:ascii="Times New Roman" w:hAnsi="Times New Roman" w:cs="Times New Roman"/>
          <w:sz w:val="21"/>
          <w:szCs w:val="21"/>
        </w:rPr>
      </w:pPr>
      <w:r w:rsidRPr="007B46BB">
        <w:rPr>
          <w:rFonts w:ascii="Times New Roman" w:hAnsi="Times New Roman" w:cs="Times New Roman"/>
          <w:sz w:val="21"/>
          <w:szCs w:val="21"/>
        </w:rPr>
        <w:lastRenderedPageBreak/>
        <w:t>Supplementary Figure</w:t>
      </w:r>
      <w:r>
        <w:rPr>
          <w:rFonts w:ascii="Times New Roman" w:hAnsi="Times New Roman" w:cs="Times New Roman" w:hint="eastAsia"/>
          <w:sz w:val="21"/>
          <w:szCs w:val="21"/>
        </w:rPr>
        <w:t xml:space="preserve"> </w:t>
      </w:r>
      <w:r w:rsidR="00EC2E8E">
        <w:rPr>
          <w:rFonts w:ascii="Times New Roman" w:hAnsi="Times New Roman" w:cs="Times New Roman" w:hint="eastAsia"/>
          <w:sz w:val="21"/>
          <w:szCs w:val="21"/>
        </w:rPr>
        <w:t>2</w:t>
      </w:r>
    </w:p>
    <w:p w14:paraId="6BDF08B9" w14:textId="08AF2900" w:rsidR="006C6567" w:rsidRDefault="006C6567" w:rsidP="006C6567">
      <w:pPr>
        <w:spacing w:line="300" w:lineRule="auto"/>
        <w:jc w:val="center"/>
        <w:rPr>
          <w:rFonts w:ascii="Times New Roman" w:hAnsi="Times New Roman" w:cs="Times New Roman"/>
          <w:sz w:val="21"/>
          <w:szCs w:val="21"/>
        </w:rPr>
      </w:pPr>
      <w:r>
        <w:rPr>
          <w:noProof/>
        </w:rPr>
        <w:drawing>
          <wp:inline distT="0" distB="0" distL="0" distR="0" wp14:anchorId="68ABD418" wp14:editId="2D74F5E8">
            <wp:extent cx="3602355" cy="1983740"/>
            <wp:effectExtent l="0" t="0" r="0" b="0"/>
            <wp:docPr id="1949057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2355" cy="1983740"/>
                    </a:xfrm>
                    <a:prstGeom prst="rect">
                      <a:avLst/>
                    </a:prstGeom>
                    <a:noFill/>
                    <a:ln>
                      <a:noFill/>
                    </a:ln>
                  </pic:spPr>
                </pic:pic>
              </a:graphicData>
            </a:graphic>
          </wp:inline>
        </w:drawing>
      </w:r>
    </w:p>
    <w:p w14:paraId="0D7DF358" w14:textId="205B5C2D" w:rsidR="00631989" w:rsidRPr="004976FD" w:rsidRDefault="00631989" w:rsidP="00631989">
      <w:pPr>
        <w:spacing w:line="480" w:lineRule="auto"/>
        <w:jc w:val="both"/>
        <w:rPr>
          <w:rFonts w:ascii="Times New Roman" w:hAnsi="Times New Roman" w:cs="Times New Roman"/>
          <w:sz w:val="21"/>
          <w:szCs w:val="21"/>
        </w:rPr>
      </w:pPr>
      <w:r w:rsidRPr="004976FD">
        <w:rPr>
          <w:rFonts w:ascii="Times New Roman" w:hAnsi="Times New Roman" w:cs="Times New Roman"/>
          <w:sz w:val="21"/>
          <w:szCs w:val="21"/>
        </w:rPr>
        <w:t>Supplementary Figure</w:t>
      </w:r>
      <w:r w:rsidRPr="004976FD">
        <w:rPr>
          <w:rFonts w:ascii="Times New Roman" w:hAnsi="Times New Roman" w:cs="Times New Roman" w:hint="eastAsia"/>
          <w:sz w:val="21"/>
          <w:szCs w:val="21"/>
        </w:rPr>
        <w:t xml:space="preserve"> </w:t>
      </w:r>
      <w:r w:rsidR="00EC2E8E" w:rsidRPr="004976FD">
        <w:rPr>
          <w:rFonts w:ascii="Times New Roman" w:hAnsi="Times New Roman" w:cs="Times New Roman" w:hint="eastAsia"/>
          <w:sz w:val="21"/>
          <w:szCs w:val="21"/>
        </w:rPr>
        <w:t>2</w:t>
      </w:r>
      <w:r w:rsidR="004976FD">
        <w:rPr>
          <w:rFonts w:ascii="Times New Roman" w:hAnsi="Times New Roman" w:cs="Times New Roman" w:hint="eastAsia"/>
          <w:sz w:val="21"/>
          <w:szCs w:val="21"/>
        </w:rPr>
        <w:t>.</w:t>
      </w:r>
      <w:r w:rsidRPr="004976FD">
        <w:rPr>
          <w:rFonts w:ascii="Times New Roman" w:hAnsi="Times New Roman" w:cs="Times New Roman" w:hint="eastAsia"/>
          <w:sz w:val="21"/>
          <w:szCs w:val="21"/>
        </w:rPr>
        <w:t xml:space="preserve"> </w:t>
      </w:r>
      <w:r w:rsidR="0008021A" w:rsidRPr="004976FD">
        <w:rPr>
          <w:rFonts w:ascii="Times New Roman" w:eastAsia="宋体" w:hAnsi="Times New Roman" w:cs="Times New Roman"/>
          <w:bCs/>
          <w:kern w:val="0"/>
          <w:sz w:val="21"/>
          <w:szCs w:val="21"/>
        </w:rPr>
        <w:t>Total placental volume was estimated from placental weight assuming a tissue density of 1.0 mg/mm³. The absolute volume</w:t>
      </w:r>
      <w:r w:rsidR="00CB69B2">
        <w:rPr>
          <w:rFonts w:ascii="Times New Roman" w:eastAsia="宋体" w:hAnsi="Times New Roman" w:cs="Times New Roman" w:hint="eastAsia"/>
          <w:bCs/>
          <w:kern w:val="0"/>
          <w:sz w:val="21"/>
          <w:szCs w:val="21"/>
        </w:rPr>
        <w:t>s</w:t>
      </w:r>
      <w:r w:rsidR="0008021A" w:rsidRPr="004976FD">
        <w:rPr>
          <w:rFonts w:ascii="Times New Roman" w:eastAsia="宋体" w:hAnsi="Times New Roman" w:cs="Times New Roman"/>
          <w:bCs/>
          <w:kern w:val="0"/>
          <w:sz w:val="21"/>
          <w:szCs w:val="21"/>
        </w:rPr>
        <w:t xml:space="preserve"> of each zone (</w:t>
      </w:r>
      <w:r w:rsidR="0008021A" w:rsidRPr="004976FD">
        <w:rPr>
          <w:rFonts w:ascii="Times New Roman" w:eastAsia="宋体" w:hAnsi="Times New Roman" w:cs="Times New Roman" w:hint="eastAsia"/>
          <w:bCs/>
          <w:kern w:val="0"/>
          <w:sz w:val="21"/>
          <w:szCs w:val="21"/>
        </w:rPr>
        <w:t>Dec</w:t>
      </w:r>
      <w:r w:rsidR="0008021A" w:rsidRPr="004976FD">
        <w:rPr>
          <w:rFonts w:ascii="Times New Roman" w:eastAsia="宋体" w:hAnsi="Times New Roman" w:cs="Times New Roman"/>
          <w:bCs/>
          <w:kern w:val="0"/>
          <w:sz w:val="21"/>
          <w:szCs w:val="21"/>
        </w:rPr>
        <w:t xml:space="preserve">, </w:t>
      </w:r>
      <w:proofErr w:type="spellStart"/>
      <w:r w:rsidR="0008021A" w:rsidRPr="004976FD">
        <w:rPr>
          <w:rFonts w:ascii="Times New Roman" w:eastAsia="宋体" w:hAnsi="Times New Roman" w:cs="Times New Roman" w:hint="eastAsia"/>
          <w:bCs/>
          <w:kern w:val="0"/>
          <w:sz w:val="21"/>
          <w:szCs w:val="21"/>
        </w:rPr>
        <w:t>Jz</w:t>
      </w:r>
      <w:proofErr w:type="spellEnd"/>
      <w:r w:rsidR="0008021A" w:rsidRPr="004976FD">
        <w:rPr>
          <w:rFonts w:ascii="Times New Roman" w:eastAsia="宋体" w:hAnsi="Times New Roman" w:cs="Times New Roman"/>
          <w:bCs/>
          <w:kern w:val="0"/>
          <w:sz w:val="21"/>
          <w:szCs w:val="21"/>
        </w:rPr>
        <w:t xml:space="preserve">, and </w:t>
      </w:r>
      <w:r w:rsidR="0008021A" w:rsidRPr="004976FD">
        <w:rPr>
          <w:rFonts w:ascii="Times New Roman" w:eastAsia="宋体" w:hAnsi="Times New Roman" w:cs="Times New Roman" w:hint="eastAsia"/>
          <w:bCs/>
          <w:kern w:val="0"/>
          <w:sz w:val="21"/>
          <w:szCs w:val="21"/>
        </w:rPr>
        <w:t>Lab</w:t>
      </w:r>
      <w:r w:rsidR="0008021A" w:rsidRPr="004976FD">
        <w:rPr>
          <w:rFonts w:ascii="Times New Roman" w:eastAsia="宋体" w:hAnsi="Times New Roman" w:cs="Times New Roman"/>
          <w:bCs/>
          <w:kern w:val="0"/>
          <w:sz w:val="21"/>
          <w:szCs w:val="21"/>
        </w:rPr>
        <w:t>) w</w:t>
      </w:r>
      <w:r w:rsidR="00CB69B2">
        <w:rPr>
          <w:rFonts w:ascii="Times New Roman" w:eastAsia="宋体" w:hAnsi="Times New Roman" w:cs="Times New Roman" w:hint="eastAsia"/>
          <w:bCs/>
          <w:kern w:val="0"/>
          <w:sz w:val="21"/>
          <w:szCs w:val="21"/>
        </w:rPr>
        <w:t>ere</w:t>
      </w:r>
      <w:r w:rsidR="0008021A" w:rsidRPr="004976FD">
        <w:rPr>
          <w:rFonts w:ascii="Times New Roman" w:eastAsia="宋体" w:hAnsi="Times New Roman" w:cs="Times New Roman"/>
          <w:bCs/>
          <w:kern w:val="0"/>
          <w:sz w:val="21"/>
          <w:szCs w:val="21"/>
        </w:rPr>
        <w:t xml:space="preserve"> estimated by multiplying</w:t>
      </w:r>
      <w:r w:rsidR="0008021A" w:rsidRPr="004976FD">
        <w:rPr>
          <w:rFonts w:ascii="Times New Roman" w:eastAsia="宋体" w:hAnsi="Times New Roman" w:cs="Times New Roman" w:hint="eastAsia"/>
          <w:bCs/>
          <w:kern w:val="0"/>
          <w:sz w:val="21"/>
          <w:szCs w:val="21"/>
        </w:rPr>
        <w:t xml:space="preserve"> </w:t>
      </w:r>
      <w:r w:rsidR="0008021A" w:rsidRPr="004976FD">
        <w:rPr>
          <w:rFonts w:ascii="Times New Roman" w:eastAsia="宋体" w:hAnsi="Times New Roman" w:cs="Times New Roman"/>
          <w:bCs/>
          <w:kern w:val="0"/>
          <w:sz w:val="21"/>
          <w:szCs w:val="21"/>
        </w:rPr>
        <w:t>the total placental volume by the fractional area of the corresponding</w:t>
      </w:r>
      <w:r w:rsidR="0008021A" w:rsidRPr="004976FD">
        <w:rPr>
          <w:rFonts w:ascii="Times New Roman" w:eastAsia="宋体" w:hAnsi="Times New Roman" w:cs="Times New Roman" w:hint="eastAsia"/>
          <w:bCs/>
          <w:kern w:val="0"/>
          <w:sz w:val="21"/>
          <w:szCs w:val="21"/>
        </w:rPr>
        <w:t xml:space="preserve"> </w:t>
      </w:r>
      <w:r w:rsidR="0008021A" w:rsidRPr="004976FD">
        <w:rPr>
          <w:rFonts w:ascii="Times New Roman" w:eastAsia="宋体" w:hAnsi="Times New Roman" w:cs="Times New Roman"/>
          <w:bCs/>
          <w:kern w:val="0"/>
          <w:sz w:val="21"/>
          <w:szCs w:val="21"/>
        </w:rPr>
        <w:t xml:space="preserve">zone determined from H&amp;E-stained sections using ImageJ (n = 7). Data are presented as mean ± SD. </w:t>
      </w:r>
      <w:r w:rsidR="0008021A" w:rsidRPr="004976FD">
        <w:rPr>
          <w:rFonts w:ascii="Times New Roman" w:eastAsia="宋体" w:hAnsi="Times New Roman" w:cs="Times New Roman" w:hint="eastAsia"/>
          <w:bCs/>
          <w:kern w:val="0"/>
          <w:sz w:val="21"/>
          <w:szCs w:val="21"/>
        </w:rPr>
        <w:t>*</w:t>
      </w:r>
      <w:r w:rsidR="0008021A" w:rsidRPr="004976FD">
        <w:rPr>
          <w:rFonts w:ascii="Times New Roman" w:eastAsia="宋体" w:hAnsi="Times New Roman" w:cs="Times New Roman"/>
          <w:bCs/>
          <w:i/>
          <w:iCs/>
          <w:kern w:val="0"/>
          <w:sz w:val="21"/>
          <w:szCs w:val="21"/>
        </w:rPr>
        <w:t>P</w:t>
      </w:r>
      <w:r w:rsidR="0008021A" w:rsidRPr="004976FD">
        <w:rPr>
          <w:rFonts w:ascii="Times New Roman" w:eastAsia="宋体" w:hAnsi="Times New Roman" w:cs="Times New Roman"/>
          <w:bCs/>
          <w:kern w:val="0"/>
          <w:sz w:val="21"/>
          <w:szCs w:val="21"/>
        </w:rPr>
        <w:t xml:space="preserve"> &lt; 0.05; ns denoted </w:t>
      </w:r>
      <w:r w:rsidR="0008021A" w:rsidRPr="004976FD">
        <w:rPr>
          <w:rFonts w:ascii="Times New Roman" w:eastAsia="宋体" w:hAnsi="Times New Roman" w:cs="Times New Roman"/>
          <w:bCs/>
          <w:i/>
          <w:iCs/>
          <w:kern w:val="0"/>
          <w:sz w:val="21"/>
          <w:szCs w:val="21"/>
        </w:rPr>
        <w:t>P</w:t>
      </w:r>
      <w:r w:rsidR="0008021A" w:rsidRPr="004976FD">
        <w:rPr>
          <w:rFonts w:ascii="Times New Roman" w:eastAsia="宋体" w:hAnsi="Times New Roman" w:cs="Times New Roman"/>
          <w:bCs/>
          <w:kern w:val="0"/>
          <w:sz w:val="21"/>
          <w:szCs w:val="21"/>
        </w:rPr>
        <w:t xml:space="preserve"> &gt; 0.05.</w:t>
      </w:r>
    </w:p>
    <w:p w14:paraId="08B32DAC" w14:textId="77777777" w:rsidR="006C6567" w:rsidRPr="00631989" w:rsidRDefault="006C6567" w:rsidP="006C6567">
      <w:pPr>
        <w:spacing w:line="300" w:lineRule="auto"/>
        <w:jc w:val="center"/>
        <w:rPr>
          <w:rFonts w:ascii="Times New Roman" w:hAnsi="Times New Roman" w:cs="Times New Roman"/>
          <w:sz w:val="21"/>
          <w:szCs w:val="21"/>
        </w:rPr>
      </w:pPr>
    </w:p>
    <w:p w14:paraId="6A4B1FD2" w14:textId="154B5073" w:rsidR="006C6567" w:rsidRDefault="006C6567" w:rsidP="00796F7A">
      <w:pPr>
        <w:spacing w:line="300" w:lineRule="auto"/>
        <w:jc w:val="both"/>
        <w:rPr>
          <w:rFonts w:ascii="Times New Roman" w:hAnsi="Times New Roman" w:cs="Times New Roman"/>
          <w:sz w:val="21"/>
          <w:szCs w:val="21"/>
        </w:rPr>
      </w:pPr>
    </w:p>
    <w:p w14:paraId="1F6E8887" w14:textId="5423A589" w:rsidR="006C6567" w:rsidRDefault="006C6567">
      <w:pPr>
        <w:widowControl/>
        <w:rPr>
          <w:rFonts w:ascii="Times New Roman" w:hAnsi="Times New Roman" w:cs="Times New Roman"/>
          <w:sz w:val="21"/>
          <w:szCs w:val="21"/>
        </w:rPr>
      </w:pPr>
      <w:r>
        <w:rPr>
          <w:rFonts w:ascii="Times New Roman" w:hAnsi="Times New Roman" w:cs="Times New Roman"/>
          <w:sz w:val="21"/>
          <w:szCs w:val="21"/>
        </w:rPr>
        <w:br w:type="page"/>
      </w:r>
    </w:p>
    <w:p w14:paraId="5DAB0515" w14:textId="36A086FA" w:rsidR="00261F22" w:rsidRDefault="00261F22" w:rsidP="00796F7A">
      <w:pPr>
        <w:spacing w:line="300" w:lineRule="auto"/>
        <w:jc w:val="both"/>
        <w:rPr>
          <w:rFonts w:ascii="Times New Roman" w:hAnsi="Times New Roman" w:cs="Times New Roman"/>
          <w:sz w:val="21"/>
          <w:szCs w:val="21"/>
        </w:rPr>
      </w:pPr>
      <w:r w:rsidRPr="007B46BB">
        <w:rPr>
          <w:rFonts w:ascii="Times New Roman" w:hAnsi="Times New Roman" w:cs="Times New Roman"/>
          <w:sz w:val="21"/>
          <w:szCs w:val="21"/>
        </w:rPr>
        <w:lastRenderedPageBreak/>
        <w:t>Supplementary Figure</w:t>
      </w:r>
      <w:r>
        <w:rPr>
          <w:rFonts w:ascii="Times New Roman" w:hAnsi="Times New Roman" w:cs="Times New Roman" w:hint="eastAsia"/>
          <w:sz w:val="21"/>
          <w:szCs w:val="21"/>
        </w:rPr>
        <w:t xml:space="preserve"> </w:t>
      </w:r>
      <w:r w:rsidR="00EC2E8E">
        <w:rPr>
          <w:rFonts w:ascii="Times New Roman" w:hAnsi="Times New Roman" w:cs="Times New Roman" w:hint="eastAsia"/>
          <w:sz w:val="21"/>
          <w:szCs w:val="21"/>
        </w:rPr>
        <w:t>3</w:t>
      </w:r>
    </w:p>
    <w:p w14:paraId="2CC5EDEA" w14:textId="35E5C3AE" w:rsidR="00261F22" w:rsidRDefault="007C3A80" w:rsidP="00261F22">
      <w:pPr>
        <w:spacing w:line="300" w:lineRule="auto"/>
        <w:jc w:val="center"/>
        <w:rPr>
          <w:rFonts w:ascii="Times New Roman" w:hAnsi="Times New Roman" w:cs="Times New Roman"/>
          <w:sz w:val="21"/>
          <w:szCs w:val="21"/>
        </w:rPr>
      </w:pPr>
      <w:r>
        <w:rPr>
          <w:noProof/>
        </w:rPr>
        <w:drawing>
          <wp:inline distT="0" distB="0" distL="0" distR="0" wp14:anchorId="27ABAAB5" wp14:editId="5DA2A255">
            <wp:extent cx="5163713" cy="3234908"/>
            <wp:effectExtent l="0" t="0" r="0" b="3810"/>
            <wp:docPr id="304051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1006" name="图片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163713" cy="3234908"/>
                    </a:xfrm>
                    <a:prstGeom prst="rect">
                      <a:avLst/>
                    </a:prstGeom>
                    <a:noFill/>
                    <a:ln>
                      <a:noFill/>
                    </a:ln>
                  </pic:spPr>
                </pic:pic>
              </a:graphicData>
            </a:graphic>
          </wp:inline>
        </w:drawing>
      </w:r>
    </w:p>
    <w:p w14:paraId="599AFBCB" w14:textId="759F029D" w:rsidR="00261F22" w:rsidRPr="00261F22" w:rsidRDefault="00650E9F" w:rsidP="00650E9F">
      <w:pPr>
        <w:spacing w:line="300" w:lineRule="auto"/>
        <w:jc w:val="both"/>
        <w:rPr>
          <w:rFonts w:ascii="Times New Roman" w:hAnsi="Times New Roman" w:cs="Times New Roman"/>
          <w:sz w:val="21"/>
          <w:szCs w:val="21"/>
        </w:rPr>
      </w:pPr>
      <w:r w:rsidRPr="00650E9F">
        <w:rPr>
          <w:rFonts w:ascii="Times New Roman" w:hAnsi="Times New Roman" w:cs="Times New Roman"/>
          <w:sz w:val="21"/>
          <w:szCs w:val="21"/>
        </w:rPr>
        <w:t xml:space="preserve">Supplementary Figure 3. </w:t>
      </w:r>
      <w:r w:rsidR="00EB47EA" w:rsidRPr="00650E9F">
        <w:rPr>
          <w:rFonts w:ascii="Times New Roman" w:hAnsi="Times New Roman" w:cs="Times New Roman"/>
          <w:sz w:val="21"/>
          <w:szCs w:val="21"/>
        </w:rPr>
        <w:t>(</w:t>
      </w:r>
      <w:r w:rsidR="00EB47EA">
        <w:rPr>
          <w:rFonts w:ascii="Times New Roman" w:hAnsi="Times New Roman" w:cs="Times New Roman" w:hint="eastAsia"/>
          <w:sz w:val="21"/>
          <w:szCs w:val="21"/>
        </w:rPr>
        <w:t>A</w:t>
      </w:r>
      <w:r w:rsidR="00EB47EA" w:rsidRPr="00650E9F">
        <w:rPr>
          <w:rFonts w:ascii="Times New Roman" w:hAnsi="Times New Roman" w:cs="Times New Roman"/>
          <w:sz w:val="21"/>
          <w:szCs w:val="21"/>
        </w:rPr>
        <w:t xml:space="preserve">, </w:t>
      </w:r>
      <w:r w:rsidR="00EB47EA">
        <w:rPr>
          <w:rFonts w:ascii="Times New Roman" w:hAnsi="Times New Roman" w:cs="Times New Roman" w:hint="eastAsia"/>
          <w:sz w:val="21"/>
          <w:szCs w:val="21"/>
        </w:rPr>
        <w:t>B</w:t>
      </w:r>
      <w:r w:rsidR="00EB47EA" w:rsidRPr="00650E9F">
        <w:rPr>
          <w:rFonts w:ascii="Times New Roman" w:hAnsi="Times New Roman" w:cs="Times New Roman"/>
          <w:sz w:val="21"/>
          <w:szCs w:val="21"/>
        </w:rPr>
        <w:t>) The mRNA levels of Ki67 (</w:t>
      </w:r>
      <w:r w:rsidR="00EB47EA">
        <w:rPr>
          <w:rFonts w:ascii="Times New Roman" w:hAnsi="Times New Roman" w:cs="Times New Roman" w:hint="eastAsia"/>
          <w:sz w:val="21"/>
          <w:szCs w:val="21"/>
        </w:rPr>
        <w:t>A</w:t>
      </w:r>
      <w:r w:rsidR="00EB47EA" w:rsidRPr="00650E9F">
        <w:rPr>
          <w:rFonts w:ascii="Times New Roman" w:hAnsi="Times New Roman" w:cs="Times New Roman"/>
          <w:sz w:val="21"/>
          <w:szCs w:val="21"/>
        </w:rPr>
        <w:t>) and Cd31 (</w:t>
      </w:r>
      <w:r w:rsidR="00EB47EA">
        <w:rPr>
          <w:rFonts w:ascii="Times New Roman" w:hAnsi="Times New Roman" w:cs="Times New Roman" w:hint="eastAsia"/>
          <w:sz w:val="21"/>
          <w:szCs w:val="21"/>
        </w:rPr>
        <w:t>B</w:t>
      </w:r>
      <w:r w:rsidR="00EB47EA" w:rsidRPr="00650E9F">
        <w:rPr>
          <w:rFonts w:ascii="Times New Roman" w:hAnsi="Times New Roman" w:cs="Times New Roman"/>
          <w:sz w:val="21"/>
          <w:szCs w:val="21"/>
        </w:rPr>
        <w:t xml:space="preserve">) in placenta at E16.5 were determined by RT-qPCR (n = 12). </w:t>
      </w:r>
      <w:r w:rsidRPr="00650E9F">
        <w:rPr>
          <w:rFonts w:ascii="Times New Roman" w:hAnsi="Times New Roman" w:cs="Times New Roman"/>
          <w:sz w:val="21"/>
          <w:szCs w:val="21"/>
        </w:rPr>
        <w:t>(</w:t>
      </w:r>
      <w:r w:rsidR="00EB47EA">
        <w:rPr>
          <w:rFonts w:ascii="Times New Roman" w:hAnsi="Times New Roman" w:cs="Times New Roman" w:hint="eastAsia"/>
          <w:sz w:val="21"/>
          <w:szCs w:val="21"/>
        </w:rPr>
        <w:t>C</w:t>
      </w:r>
      <w:r w:rsidRPr="00650E9F">
        <w:rPr>
          <w:rFonts w:ascii="Times New Roman" w:hAnsi="Times New Roman" w:cs="Times New Roman"/>
          <w:sz w:val="21"/>
          <w:szCs w:val="21"/>
        </w:rPr>
        <w:t xml:space="preserve">, </w:t>
      </w:r>
      <w:r w:rsidR="00EB47EA">
        <w:rPr>
          <w:rFonts w:ascii="Times New Roman" w:hAnsi="Times New Roman" w:cs="Times New Roman" w:hint="eastAsia"/>
          <w:sz w:val="21"/>
          <w:szCs w:val="21"/>
        </w:rPr>
        <w:t>D</w:t>
      </w:r>
      <w:r w:rsidRPr="00650E9F">
        <w:rPr>
          <w:rFonts w:ascii="Times New Roman" w:hAnsi="Times New Roman" w:cs="Times New Roman"/>
          <w:sz w:val="21"/>
          <w:szCs w:val="21"/>
        </w:rPr>
        <w:t>) Representative images of negative controls for Ki67 (</w:t>
      </w:r>
      <w:r w:rsidR="00EB47EA">
        <w:rPr>
          <w:rFonts w:ascii="Times New Roman" w:hAnsi="Times New Roman" w:cs="Times New Roman" w:hint="eastAsia"/>
          <w:sz w:val="21"/>
          <w:szCs w:val="21"/>
        </w:rPr>
        <w:t>C</w:t>
      </w:r>
      <w:r w:rsidRPr="00650E9F">
        <w:rPr>
          <w:rFonts w:ascii="Times New Roman" w:hAnsi="Times New Roman" w:cs="Times New Roman"/>
          <w:sz w:val="21"/>
          <w:szCs w:val="21"/>
        </w:rPr>
        <w:t>) and CD31 (</w:t>
      </w:r>
      <w:r w:rsidR="00EB47EA">
        <w:rPr>
          <w:rFonts w:ascii="Times New Roman" w:hAnsi="Times New Roman" w:cs="Times New Roman" w:hint="eastAsia"/>
          <w:sz w:val="21"/>
          <w:szCs w:val="21"/>
        </w:rPr>
        <w:t>D</w:t>
      </w:r>
      <w:r w:rsidRPr="00650E9F">
        <w:rPr>
          <w:rFonts w:ascii="Times New Roman" w:hAnsi="Times New Roman" w:cs="Times New Roman"/>
          <w:sz w:val="21"/>
          <w:szCs w:val="21"/>
        </w:rPr>
        <w:t>) immunostaining in the placenta at E16.5. Negative controls were performed by incubating sections with isotype matched control antibodies (rather than primary antibodies) under the same conditions. Data were presented as mean ± SD. *</w:t>
      </w:r>
      <w:r w:rsidRPr="00650E9F">
        <w:rPr>
          <w:rFonts w:ascii="Times New Roman" w:hAnsi="Times New Roman" w:cs="Times New Roman"/>
          <w:i/>
          <w:iCs/>
          <w:sz w:val="21"/>
          <w:szCs w:val="21"/>
        </w:rPr>
        <w:t>P</w:t>
      </w:r>
      <w:r w:rsidRPr="00650E9F">
        <w:rPr>
          <w:rFonts w:ascii="Times New Roman" w:hAnsi="Times New Roman" w:cs="Times New Roman"/>
          <w:sz w:val="21"/>
          <w:szCs w:val="21"/>
        </w:rPr>
        <w:t xml:space="preserve"> &lt; 0.05, **</w:t>
      </w:r>
      <w:r w:rsidRPr="00650E9F">
        <w:rPr>
          <w:rFonts w:ascii="Times New Roman" w:hAnsi="Times New Roman" w:cs="Times New Roman"/>
          <w:i/>
          <w:iCs/>
          <w:sz w:val="21"/>
          <w:szCs w:val="21"/>
        </w:rPr>
        <w:t>P</w:t>
      </w:r>
      <w:r w:rsidRPr="00650E9F">
        <w:rPr>
          <w:rFonts w:ascii="Times New Roman" w:hAnsi="Times New Roman" w:cs="Times New Roman"/>
          <w:sz w:val="21"/>
          <w:szCs w:val="21"/>
        </w:rPr>
        <w:t xml:space="preserve"> &lt; 0.01.</w:t>
      </w:r>
    </w:p>
    <w:p w14:paraId="457FFEF6" w14:textId="5A64F470" w:rsidR="00261F22" w:rsidRDefault="00261F22">
      <w:pPr>
        <w:widowControl/>
        <w:rPr>
          <w:rFonts w:ascii="Times New Roman" w:hAnsi="Times New Roman" w:cs="Times New Roman"/>
          <w:sz w:val="21"/>
          <w:szCs w:val="21"/>
        </w:rPr>
      </w:pPr>
      <w:r>
        <w:rPr>
          <w:rFonts w:ascii="Times New Roman" w:hAnsi="Times New Roman" w:cs="Times New Roman"/>
          <w:sz w:val="21"/>
          <w:szCs w:val="21"/>
        </w:rPr>
        <w:br w:type="page"/>
      </w:r>
    </w:p>
    <w:p w14:paraId="26ED3585" w14:textId="7FADED73" w:rsidR="00796F7A" w:rsidRPr="007B46BB" w:rsidRDefault="00796F7A" w:rsidP="00796F7A">
      <w:pPr>
        <w:spacing w:line="300" w:lineRule="auto"/>
        <w:jc w:val="both"/>
        <w:rPr>
          <w:rFonts w:ascii="Times New Roman" w:hAnsi="Times New Roman" w:cs="Times New Roman"/>
          <w:sz w:val="21"/>
          <w:szCs w:val="21"/>
        </w:rPr>
      </w:pPr>
      <w:r w:rsidRPr="007B46BB">
        <w:rPr>
          <w:rFonts w:ascii="Times New Roman" w:hAnsi="Times New Roman" w:cs="Times New Roman"/>
          <w:sz w:val="21"/>
          <w:szCs w:val="21"/>
        </w:rPr>
        <w:lastRenderedPageBreak/>
        <w:t xml:space="preserve">Supplementary Figure </w:t>
      </w:r>
      <w:r w:rsidR="00EC2E8E">
        <w:rPr>
          <w:rFonts w:ascii="Times New Roman" w:hAnsi="Times New Roman" w:cs="Times New Roman" w:hint="eastAsia"/>
          <w:sz w:val="21"/>
          <w:szCs w:val="21"/>
        </w:rPr>
        <w:t>4</w:t>
      </w:r>
    </w:p>
    <w:p w14:paraId="69C33205" w14:textId="33FFBB1D" w:rsidR="00796F7A" w:rsidRPr="005E74D2" w:rsidRDefault="00796F7A" w:rsidP="00796F7A">
      <w:pPr>
        <w:spacing w:line="300" w:lineRule="auto"/>
        <w:jc w:val="center"/>
        <w:rPr>
          <w:rFonts w:ascii="Times New Roman" w:hAnsi="Times New Roman" w:cs="Times New Roman"/>
          <w:color w:val="EE0000"/>
          <w:sz w:val="21"/>
          <w:szCs w:val="21"/>
        </w:rPr>
      </w:pPr>
      <w:r w:rsidRPr="005E74D2">
        <w:rPr>
          <w:noProof/>
          <w:sz w:val="20"/>
          <w:szCs w:val="21"/>
        </w:rPr>
        <w:drawing>
          <wp:inline distT="0" distB="0" distL="0" distR="0" wp14:anchorId="74BA2126" wp14:editId="4DCFF6E3">
            <wp:extent cx="2874633" cy="2502384"/>
            <wp:effectExtent l="0" t="0" r="2540" b="0"/>
            <wp:docPr id="5545679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567937"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874633" cy="2502384"/>
                    </a:xfrm>
                    <a:prstGeom prst="rect">
                      <a:avLst/>
                    </a:prstGeom>
                    <a:noFill/>
                    <a:ln>
                      <a:noFill/>
                    </a:ln>
                  </pic:spPr>
                </pic:pic>
              </a:graphicData>
            </a:graphic>
          </wp:inline>
        </w:drawing>
      </w:r>
    </w:p>
    <w:p w14:paraId="136D349A" w14:textId="3AEB5B75" w:rsidR="00DE117B" w:rsidRDefault="00625A59" w:rsidP="00625A59">
      <w:pPr>
        <w:spacing w:line="480" w:lineRule="auto"/>
        <w:jc w:val="both"/>
        <w:rPr>
          <w:rFonts w:ascii="Times New Roman" w:hAnsi="Times New Roman" w:cs="Times New Roman"/>
          <w:sz w:val="21"/>
          <w:szCs w:val="21"/>
        </w:rPr>
      </w:pPr>
      <w:r w:rsidRPr="00625A59">
        <w:rPr>
          <w:rFonts w:ascii="Times New Roman" w:hAnsi="Times New Roman" w:cs="Times New Roman"/>
          <w:sz w:val="21"/>
          <w:szCs w:val="21"/>
        </w:rPr>
        <w:t xml:space="preserve">Supplementary Figure </w:t>
      </w:r>
      <w:r w:rsidR="00EC2E8E">
        <w:rPr>
          <w:rFonts w:ascii="Times New Roman" w:hAnsi="Times New Roman" w:cs="Times New Roman" w:hint="eastAsia"/>
          <w:sz w:val="21"/>
          <w:szCs w:val="21"/>
        </w:rPr>
        <w:t>4</w:t>
      </w:r>
      <w:r w:rsidRPr="00625A59">
        <w:rPr>
          <w:rFonts w:ascii="Times New Roman" w:hAnsi="Times New Roman" w:cs="Times New Roman"/>
          <w:sz w:val="21"/>
          <w:szCs w:val="21"/>
        </w:rPr>
        <w:t>. Proportion of SGA fetuses in the E16.5 endpoint group. SGA was defined as a fetal weight below the 10th percentile of the fetal weight distribution in the Control group (466.6 mg). The proportion of SGA fetuses was calculated for each litter as the number of SGA fetuses divided by the total number of fetuses within the litter. Each data point represent</w:t>
      </w:r>
      <w:r w:rsidR="00CB69B2">
        <w:rPr>
          <w:rFonts w:ascii="Times New Roman" w:hAnsi="Times New Roman" w:cs="Times New Roman" w:hint="eastAsia"/>
          <w:sz w:val="21"/>
          <w:szCs w:val="21"/>
        </w:rPr>
        <w:t>ed</w:t>
      </w:r>
      <w:r w:rsidRPr="00625A59">
        <w:rPr>
          <w:rFonts w:ascii="Times New Roman" w:hAnsi="Times New Roman" w:cs="Times New Roman"/>
          <w:sz w:val="21"/>
          <w:szCs w:val="21"/>
        </w:rPr>
        <w:t xml:space="preserve"> one litter (</w:t>
      </w:r>
      <w:r w:rsidR="005A0454">
        <w:rPr>
          <w:rFonts w:ascii="Times New Roman" w:hAnsi="Times New Roman" w:cs="Times New Roman" w:hint="eastAsia"/>
          <w:sz w:val="21"/>
          <w:szCs w:val="21"/>
        </w:rPr>
        <w:t>n</w:t>
      </w:r>
      <w:r w:rsidRPr="00625A59">
        <w:rPr>
          <w:rFonts w:ascii="Times New Roman" w:hAnsi="Times New Roman" w:cs="Times New Roman"/>
          <w:sz w:val="21"/>
          <w:szCs w:val="21"/>
        </w:rPr>
        <w:t xml:space="preserve"> = 12</w:t>
      </w:r>
      <w:r w:rsidR="005A0454">
        <w:rPr>
          <w:rFonts w:ascii="Times New Roman" w:hAnsi="Times New Roman" w:cs="Times New Roman" w:hint="eastAsia"/>
          <w:sz w:val="21"/>
          <w:szCs w:val="21"/>
        </w:rPr>
        <w:t>-13</w:t>
      </w:r>
      <w:r w:rsidRPr="00625A59">
        <w:rPr>
          <w:rFonts w:ascii="Times New Roman" w:hAnsi="Times New Roman" w:cs="Times New Roman"/>
          <w:sz w:val="21"/>
          <w:szCs w:val="21"/>
        </w:rPr>
        <w:t>). Statistical comparisons among groups were performed using the Kruskal–</w:t>
      </w:r>
      <w:proofErr w:type="gramStart"/>
      <w:r w:rsidRPr="00625A59">
        <w:rPr>
          <w:rFonts w:ascii="Times New Roman" w:hAnsi="Times New Roman" w:cs="Times New Roman"/>
          <w:sz w:val="21"/>
          <w:szCs w:val="21"/>
        </w:rPr>
        <w:t>Wallis</w:t>
      </w:r>
      <w:proofErr w:type="gramEnd"/>
      <w:r w:rsidRPr="00625A59">
        <w:rPr>
          <w:rFonts w:ascii="Times New Roman" w:hAnsi="Times New Roman" w:cs="Times New Roman"/>
          <w:sz w:val="21"/>
          <w:szCs w:val="21"/>
        </w:rPr>
        <w:t xml:space="preserve"> test. Data were presented as mean ± SD. **</w:t>
      </w:r>
      <w:r w:rsidRPr="00625A59">
        <w:rPr>
          <w:rFonts w:ascii="Times New Roman" w:hAnsi="Times New Roman" w:cs="Times New Roman"/>
          <w:i/>
          <w:iCs/>
          <w:sz w:val="21"/>
          <w:szCs w:val="21"/>
        </w:rPr>
        <w:t>P</w:t>
      </w:r>
      <w:r w:rsidRPr="00625A59">
        <w:rPr>
          <w:rFonts w:ascii="Times New Roman" w:hAnsi="Times New Roman" w:cs="Times New Roman"/>
          <w:sz w:val="21"/>
          <w:szCs w:val="21"/>
        </w:rPr>
        <w:t xml:space="preserve"> &lt; 0.01, ns denoted P &gt; 0.05.</w:t>
      </w:r>
    </w:p>
    <w:p w14:paraId="7B540BF5" w14:textId="1CA963A2" w:rsidR="00EE509C" w:rsidRDefault="00EE509C">
      <w:pPr>
        <w:widowControl/>
        <w:rPr>
          <w:rFonts w:ascii="Times New Roman" w:hAnsi="Times New Roman" w:cs="Times New Roman"/>
          <w:sz w:val="21"/>
          <w:szCs w:val="21"/>
        </w:rPr>
      </w:pPr>
      <w:r>
        <w:rPr>
          <w:rFonts w:ascii="Times New Roman" w:hAnsi="Times New Roman" w:cs="Times New Roman"/>
          <w:sz w:val="21"/>
          <w:szCs w:val="21"/>
        </w:rPr>
        <w:br w:type="page"/>
      </w:r>
    </w:p>
    <w:p w14:paraId="7BDA8875" w14:textId="77777777" w:rsidR="004976FD" w:rsidRPr="004976FD" w:rsidRDefault="004976FD" w:rsidP="004976FD">
      <w:pPr>
        <w:spacing w:line="300" w:lineRule="auto"/>
        <w:jc w:val="both"/>
        <w:rPr>
          <w:rFonts w:ascii="Times New Roman" w:eastAsia="宋体" w:hAnsi="Times New Roman" w:cs="Times New Roman"/>
          <w:bCs/>
          <w:color w:val="0000FF"/>
          <w:kern w:val="0"/>
          <w:sz w:val="21"/>
          <w:szCs w:val="21"/>
        </w:rPr>
      </w:pPr>
      <w:r w:rsidRPr="007B46BB">
        <w:rPr>
          <w:rFonts w:ascii="Times New Roman" w:hAnsi="Times New Roman" w:cs="Times New Roman"/>
          <w:sz w:val="21"/>
          <w:szCs w:val="21"/>
        </w:rPr>
        <w:lastRenderedPageBreak/>
        <w:t xml:space="preserve">Supplementary Figure </w:t>
      </w:r>
      <w:r>
        <w:rPr>
          <w:rFonts w:ascii="Times New Roman" w:hAnsi="Times New Roman" w:cs="Times New Roman" w:hint="eastAsia"/>
          <w:sz w:val="21"/>
          <w:szCs w:val="21"/>
        </w:rPr>
        <w:t>5</w:t>
      </w:r>
    </w:p>
    <w:p w14:paraId="3B32CB03" w14:textId="43C4D1A5" w:rsidR="004976FD" w:rsidRDefault="004976FD" w:rsidP="004976FD">
      <w:pPr>
        <w:widowControl/>
        <w:jc w:val="center"/>
        <w:rPr>
          <w:rFonts w:ascii="Times New Roman" w:hAnsi="Times New Roman" w:cs="Times New Roman"/>
          <w:sz w:val="21"/>
          <w:szCs w:val="21"/>
        </w:rPr>
      </w:pPr>
      <w:r w:rsidRPr="00763342">
        <w:rPr>
          <w:noProof/>
          <w:sz w:val="21"/>
          <w:szCs w:val="21"/>
        </w:rPr>
        <w:drawing>
          <wp:inline distT="0" distB="0" distL="0" distR="0" wp14:anchorId="3CD955CF" wp14:editId="42282C73">
            <wp:extent cx="3269040" cy="2024743"/>
            <wp:effectExtent l="0" t="0" r="0" b="0"/>
            <wp:docPr id="11225347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94603" cy="2040576"/>
                    </a:xfrm>
                    <a:prstGeom prst="rect">
                      <a:avLst/>
                    </a:prstGeom>
                    <a:noFill/>
                    <a:ln>
                      <a:noFill/>
                    </a:ln>
                  </pic:spPr>
                </pic:pic>
              </a:graphicData>
            </a:graphic>
          </wp:inline>
        </w:drawing>
      </w:r>
    </w:p>
    <w:p w14:paraId="6D180508" w14:textId="32637BF0" w:rsidR="004976FD" w:rsidRPr="004976FD" w:rsidRDefault="004976FD" w:rsidP="004976FD">
      <w:pPr>
        <w:spacing w:line="300" w:lineRule="auto"/>
        <w:jc w:val="both"/>
        <w:rPr>
          <w:rFonts w:ascii="Times New Roman" w:hAnsi="Times New Roman" w:cs="Times New Roman"/>
          <w:sz w:val="21"/>
          <w:szCs w:val="21"/>
        </w:rPr>
      </w:pPr>
      <w:r w:rsidRPr="004976FD">
        <w:rPr>
          <w:rFonts w:ascii="Times New Roman" w:eastAsia="宋体" w:hAnsi="Times New Roman" w:cs="Times New Roman"/>
          <w:bCs/>
          <w:kern w:val="0"/>
          <w:sz w:val="21"/>
          <w:szCs w:val="21"/>
        </w:rPr>
        <w:t xml:space="preserve">Supplementary Figure </w:t>
      </w:r>
      <w:r w:rsidRPr="004976FD">
        <w:rPr>
          <w:rFonts w:ascii="Times New Roman" w:eastAsia="宋体" w:hAnsi="Times New Roman" w:cs="Times New Roman" w:hint="eastAsia"/>
          <w:bCs/>
          <w:kern w:val="0"/>
          <w:sz w:val="21"/>
          <w:szCs w:val="21"/>
        </w:rPr>
        <w:t>5. Body weights of o</w:t>
      </w:r>
      <w:r w:rsidRPr="004976FD">
        <w:rPr>
          <w:rFonts w:ascii="Times New Roman" w:eastAsia="宋体" w:hAnsi="Times New Roman" w:cs="Times New Roman"/>
          <w:bCs/>
          <w:kern w:val="0"/>
          <w:sz w:val="21"/>
          <w:szCs w:val="21"/>
        </w:rPr>
        <w:t xml:space="preserve">ffspring </w:t>
      </w:r>
      <w:r w:rsidR="00CB69B2">
        <w:rPr>
          <w:rFonts w:ascii="Times New Roman" w:eastAsia="宋体" w:hAnsi="Times New Roman" w:cs="Times New Roman" w:hint="eastAsia"/>
          <w:bCs/>
          <w:kern w:val="0"/>
          <w:sz w:val="21"/>
          <w:szCs w:val="21"/>
        </w:rPr>
        <w:t>on PND21</w:t>
      </w:r>
      <w:r w:rsidRPr="004976FD">
        <w:rPr>
          <w:rFonts w:ascii="Times New Roman" w:eastAsia="宋体" w:hAnsi="Times New Roman" w:cs="Times New Roman" w:hint="eastAsia"/>
          <w:bCs/>
          <w:kern w:val="0"/>
          <w:sz w:val="21"/>
          <w:szCs w:val="21"/>
        </w:rPr>
        <w:t>. I</w:t>
      </w:r>
      <w:r w:rsidRPr="004976FD">
        <w:rPr>
          <w:rFonts w:ascii="Times New Roman" w:eastAsia="宋体" w:hAnsi="Times New Roman" w:cs="Times New Roman"/>
          <w:bCs/>
          <w:kern w:val="0"/>
          <w:sz w:val="21"/>
          <w:szCs w:val="21"/>
        </w:rPr>
        <w:t xml:space="preserve">ndividual </w:t>
      </w:r>
      <w:r w:rsidRPr="004976FD">
        <w:rPr>
          <w:rFonts w:ascii="Times New Roman" w:eastAsia="宋体" w:hAnsi="Times New Roman" w:cs="Times New Roman" w:hint="eastAsia"/>
          <w:bCs/>
          <w:kern w:val="0"/>
          <w:sz w:val="21"/>
          <w:szCs w:val="21"/>
        </w:rPr>
        <w:t xml:space="preserve">offspring body </w:t>
      </w:r>
      <w:r w:rsidRPr="004976FD">
        <w:rPr>
          <w:rFonts w:ascii="Times New Roman" w:eastAsia="宋体" w:hAnsi="Times New Roman" w:cs="Times New Roman"/>
          <w:bCs/>
          <w:kern w:val="0"/>
          <w:sz w:val="21"/>
          <w:szCs w:val="21"/>
        </w:rPr>
        <w:t>weights were averaged per litter</w:t>
      </w:r>
      <w:r w:rsidRPr="004976FD">
        <w:rPr>
          <w:rFonts w:ascii="Times New Roman" w:eastAsia="宋体" w:hAnsi="Times New Roman" w:cs="Times New Roman" w:hint="eastAsia"/>
          <w:bCs/>
          <w:kern w:val="0"/>
          <w:sz w:val="21"/>
          <w:szCs w:val="21"/>
        </w:rPr>
        <w:t>. T</w:t>
      </w:r>
      <w:r w:rsidRPr="004976FD">
        <w:rPr>
          <w:rFonts w:ascii="Times New Roman" w:eastAsia="宋体" w:hAnsi="Times New Roman" w:cs="Times New Roman"/>
          <w:bCs/>
          <w:kern w:val="0"/>
          <w:sz w:val="21"/>
          <w:szCs w:val="21"/>
        </w:rPr>
        <w:t xml:space="preserve">he litter mean was used as the statistical unit </w:t>
      </w:r>
      <w:r w:rsidRPr="004976FD">
        <w:rPr>
          <w:rFonts w:ascii="Times New Roman" w:eastAsia="宋体" w:hAnsi="Times New Roman" w:cs="Times New Roman" w:hint="eastAsia"/>
          <w:bCs/>
          <w:kern w:val="0"/>
          <w:sz w:val="21"/>
          <w:szCs w:val="21"/>
        </w:rPr>
        <w:t>(</w:t>
      </w:r>
      <w:r w:rsidRPr="004976FD">
        <w:rPr>
          <w:rFonts w:ascii="Times New Roman" w:eastAsia="宋体" w:hAnsi="Times New Roman" w:cs="Times New Roman"/>
          <w:bCs/>
          <w:kern w:val="0"/>
          <w:sz w:val="21"/>
          <w:szCs w:val="21"/>
        </w:rPr>
        <w:t xml:space="preserve">Control, n = </w:t>
      </w:r>
      <w:r w:rsidRPr="004976FD">
        <w:rPr>
          <w:rFonts w:ascii="Times New Roman" w:eastAsia="宋体" w:hAnsi="Times New Roman" w:cs="Times New Roman" w:hint="eastAsia"/>
          <w:bCs/>
          <w:kern w:val="0"/>
          <w:sz w:val="21"/>
          <w:szCs w:val="21"/>
        </w:rPr>
        <w:t>7</w:t>
      </w:r>
      <w:r w:rsidRPr="004976FD">
        <w:rPr>
          <w:rFonts w:ascii="Times New Roman" w:eastAsia="宋体" w:hAnsi="Times New Roman" w:cs="Times New Roman"/>
          <w:bCs/>
          <w:kern w:val="0"/>
          <w:sz w:val="21"/>
          <w:szCs w:val="21"/>
        </w:rPr>
        <w:t xml:space="preserve">; L‑ALAN, n = </w:t>
      </w:r>
      <w:r w:rsidRPr="004976FD">
        <w:rPr>
          <w:rFonts w:ascii="Times New Roman" w:eastAsia="宋体" w:hAnsi="Times New Roman" w:cs="Times New Roman" w:hint="eastAsia"/>
          <w:bCs/>
          <w:kern w:val="0"/>
          <w:sz w:val="21"/>
          <w:szCs w:val="21"/>
        </w:rPr>
        <w:t>6</w:t>
      </w:r>
      <w:r w:rsidRPr="004976FD">
        <w:rPr>
          <w:rFonts w:ascii="Times New Roman" w:eastAsia="宋体" w:hAnsi="Times New Roman" w:cs="Times New Roman"/>
          <w:bCs/>
          <w:kern w:val="0"/>
          <w:sz w:val="21"/>
          <w:szCs w:val="21"/>
        </w:rPr>
        <w:t xml:space="preserve">; L‑ALAN+MT, n = </w:t>
      </w:r>
      <w:r w:rsidRPr="004976FD">
        <w:rPr>
          <w:rFonts w:ascii="Times New Roman" w:eastAsia="宋体" w:hAnsi="Times New Roman" w:cs="Times New Roman" w:hint="eastAsia"/>
          <w:bCs/>
          <w:kern w:val="0"/>
          <w:sz w:val="21"/>
          <w:szCs w:val="21"/>
        </w:rPr>
        <w:t>5)</w:t>
      </w:r>
      <w:r w:rsidRPr="004976FD">
        <w:rPr>
          <w:rFonts w:ascii="Times New Roman" w:eastAsia="宋体" w:hAnsi="Times New Roman" w:cs="Times New Roman"/>
          <w:bCs/>
          <w:kern w:val="0"/>
          <w:sz w:val="21"/>
          <w:szCs w:val="21"/>
        </w:rPr>
        <w:t>.</w:t>
      </w:r>
      <w:r w:rsidRPr="004976FD">
        <w:rPr>
          <w:rFonts w:hint="eastAsia"/>
          <w:sz w:val="21"/>
          <w:szCs w:val="21"/>
        </w:rPr>
        <w:t xml:space="preserve"> </w:t>
      </w:r>
      <w:r w:rsidRPr="004976FD">
        <w:rPr>
          <w:rFonts w:ascii="Times New Roman" w:eastAsia="宋体" w:hAnsi="Times New Roman" w:cs="Times New Roman"/>
          <w:bCs/>
          <w:kern w:val="0"/>
          <w:sz w:val="21"/>
          <w:szCs w:val="21"/>
        </w:rPr>
        <w:t xml:space="preserve">Data were presented as mean ± SD. ns denoted </w:t>
      </w:r>
      <w:r w:rsidRPr="004976FD">
        <w:rPr>
          <w:rFonts w:ascii="Times New Roman" w:eastAsia="宋体" w:hAnsi="Times New Roman" w:cs="Times New Roman"/>
          <w:bCs/>
          <w:i/>
          <w:iCs/>
          <w:kern w:val="0"/>
          <w:sz w:val="21"/>
          <w:szCs w:val="21"/>
        </w:rPr>
        <w:t>P</w:t>
      </w:r>
      <w:r w:rsidRPr="004976FD">
        <w:rPr>
          <w:rFonts w:ascii="Times New Roman" w:eastAsia="宋体" w:hAnsi="Times New Roman" w:cs="Times New Roman"/>
          <w:bCs/>
          <w:kern w:val="0"/>
          <w:sz w:val="21"/>
          <w:szCs w:val="21"/>
        </w:rPr>
        <w:t xml:space="preserve"> &gt; 0.05.</w:t>
      </w:r>
    </w:p>
    <w:p w14:paraId="7B24E30D" w14:textId="77777777" w:rsidR="004976FD" w:rsidRPr="004976FD" w:rsidRDefault="004976FD" w:rsidP="004976FD">
      <w:pPr>
        <w:widowControl/>
        <w:jc w:val="center"/>
        <w:rPr>
          <w:rFonts w:ascii="Times New Roman" w:hAnsi="Times New Roman" w:cs="Times New Roman"/>
          <w:sz w:val="21"/>
          <w:szCs w:val="21"/>
        </w:rPr>
      </w:pPr>
    </w:p>
    <w:p w14:paraId="21DAC013" w14:textId="04B552B6" w:rsidR="004976FD" w:rsidRDefault="004976FD">
      <w:pPr>
        <w:widowControl/>
        <w:rPr>
          <w:rFonts w:ascii="Times New Roman" w:hAnsi="Times New Roman" w:cs="Times New Roman"/>
          <w:sz w:val="21"/>
          <w:szCs w:val="21"/>
        </w:rPr>
      </w:pPr>
      <w:r>
        <w:rPr>
          <w:rFonts w:ascii="Times New Roman" w:hAnsi="Times New Roman" w:cs="Times New Roman"/>
          <w:sz w:val="21"/>
          <w:szCs w:val="21"/>
        </w:rPr>
        <w:br w:type="page"/>
      </w:r>
    </w:p>
    <w:p w14:paraId="4E044553" w14:textId="0A88E036" w:rsidR="00EE509C" w:rsidRPr="00EE509C" w:rsidRDefault="00EE509C" w:rsidP="00EE509C">
      <w:pPr>
        <w:spacing w:line="300" w:lineRule="auto"/>
        <w:jc w:val="both"/>
        <w:rPr>
          <w:rFonts w:ascii="Times New Roman" w:hAnsi="Times New Roman" w:cs="Times New Roman"/>
          <w:sz w:val="21"/>
          <w:szCs w:val="21"/>
        </w:rPr>
      </w:pPr>
      <w:r w:rsidRPr="007B46BB">
        <w:rPr>
          <w:rFonts w:ascii="Times New Roman" w:hAnsi="Times New Roman" w:cs="Times New Roman"/>
          <w:sz w:val="21"/>
          <w:szCs w:val="21"/>
        </w:rPr>
        <w:lastRenderedPageBreak/>
        <w:t xml:space="preserve">Supplementary Figure </w:t>
      </w:r>
      <w:r w:rsidR="004976FD">
        <w:rPr>
          <w:rFonts w:ascii="Times New Roman" w:hAnsi="Times New Roman" w:cs="Times New Roman" w:hint="eastAsia"/>
          <w:sz w:val="21"/>
          <w:szCs w:val="21"/>
        </w:rPr>
        <w:t>6</w:t>
      </w:r>
    </w:p>
    <w:p w14:paraId="295FECFC" w14:textId="2255BB6F" w:rsidR="00EE509C" w:rsidRDefault="00EE509C" w:rsidP="00625A59">
      <w:pPr>
        <w:spacing w:line="480" w:lineRule="auto"/>
        <w:jc w:val="both"/>
        <w:rPr>
          <w:rFonts w:hint="eastAsia"/>
          <w:sz w:val="20"/>
          <w:szCs w:val="21"/>
        </w:rPr>
      </w:pPr>
      <w:r>
        <w:rPr>
          <w:noProof/>
        </w:rPr>
        <w:drawing>
          <wp:inline distT="0" distB="0" distL="0" distR="0" wp14:anchorId="5D0C0E2B" wp14:editId="0D13405F">
            <wp:extent cx="5274310" cy="5687060"/>
            <wp:effectExtent l="0" t="0" r="2540" b="8890"/>
            <wp:docPr id="2019428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5687060"/>
                    </a:xfrm>
                    <a:prstGeom prst="rect">
                      <a:avLst/>
                    </a:prstGeom>
                    <a:noFill/>
                    <a:ln>
                      <a:noFill/>
                    </a:ln>
                  </pic:spPr>
                </pic:pic>
              </a:graphicData>
            </a:graphic>
          </wp:inline>
        </w:drawing>
      </w:r>
    </w:p>
    <w:p w14:paraId="35B33F53" w14:textId="5E3C1616" w:rsidR="00EE509C" w:rsidRPr="00763342" w:rsidRDefault="00EE509C" w:rsidP="00EE509C">
      <w:pPr>
        <w:spacing w:line="300" w:lineRule="auto"/>
        <w:jc w:val="both"/>
        <w:rPr>
          <w:rFonts w:ascii="Times New Roman" w:eastAsia="宋体" w:hAnsi="Times New Roman" w:cs="Times New Roman"/>
          <w:bCs/>
          <w:color w:val="0000FF"/>
          <w:kern w:val="0"/>
          <w:sz w:val="21"/>
          <w:szCs w:val="21"/>
        </w:rPr>
      </w:pPr>
      <w:r w:rsidRPr="00625A59">
        <w:rPr>
          <w:rFonts w:ascii="Times New Roman" w:hAnsi="Times New Roman" w:cs="Times New Roman"/>
          <w:sz w:val="21"/>
          <w:szCs w:val="21"/>
        </w:rPr>
        <w:t xml:space="preserve">Supplementary Figure </w:t>
      </w:r>
      <w:r w:rsidR="004976FD">
        <w:rPr>
          <w:rFonts w:ascii="Times New Roman" w:hAnsi="Times New Roman" w:cs="Times New Roman" w:hint="eastAsia"/>
          <w:sz w:val="21"/>
          <w:szCs w:val="21"/>
        </w:rPr>
        <w:t>6</w:t>
      </w:r>
      <w:r w:rsidRPr="00625A59">
        <w:rPr>
          <w:rFonts w:ascii="Times New Roman" w:hAnsi="Times New Roman" w:cs="Times New Roman"/>
          <w:sz w:val="21"/>
          <w:szCs w:val="21"/>
        </w:rPr>
        <w:t xml:space="preserve">. </w:t>
      </w:r>
      <w:r w:rsidRPr="00EE509C">
        <w:rPr>
          <w:rFonts w:ascii="Times New Roman" w:eastAsia="宋体" w:hAnsi="Times New Roman" w:cs="Times New Roman"/>
          <w:bCs/>
          <w:kern w:val="0"/>
          <w:sz w:val="21"/>
          <w:szCs w:val="21"/>
        </w:rPr>
        <w:t xml:space="preserve">Classification of placental </w:t>
      </w:r>
      <w:r>
        <w:rPr>
          <w:rFonts w:ascii="Times New Roman" w:eastAsia="宋体" w:hAnsi="Times New Roman" w:cs="Times New Roman" w:hint="eastAsia"/>
          <w:bCs/>
          <w:kern w:val="0"/>
          <w:sz w:val="21"/>
          <w:szCs w:val="21"/>
        </w:rPr>
        <w:t>d</w:t>
      </w:r>
      <w:r w:rsidRPr="00EE509C">
        <w:rPr>
          <w:rFonts w:ascii="Times New Roman" w:eastAsia="宋体" w:hAnsi="Times New Roman" w:cs="Times New Roman"/>
          <w:bCs/>
          <w:kern w:val="0"/>
          <w:sz w:val="21"/>
          <w:szCs w:val="21"/>
        </w:rPr>
        <w:t xml:space="preserve">ifferentially expressed metabolites </w:t>
      </w:r>
      <w:r>
        <w:rPr>
          <w:rFonts w:ascii="Times New Roman" w:eastAsia="宋体" w:hAnsi="Times New Roman" w:cs="Times New Roman" w:hint="eastAsia"/>
          <w:bCs/>
          <w:kern w:val="0"/>
          <w:sz w:val="21"/>
          <w:szCs w:val="21"/>
        </w:rPr>
        <w:t xml:space="preserve">(DEMs) </w:t>
      </w:r>
      <w:r w:rsidRPr="00EE509C">
        <w:rPr>
          <w:rFonts w:ascii="Times New Roman" w:eastAsia="宋体" w:hAnsi="Times New Roman" w:cs="Times New Roman"/>
          <w:bCs/>
          <w:kern w:val="0"/>
          <w:sz w:val="21"/>
          <w:szCs w:val="21"/>
        </w:rPr>
        <w:t>at E16.5. Pie charts showing metabolite category distribution of DEMs in (</w:t>
      </w:r>
      <w:r>
        <w:rPr>
          <w:rFonts w:ascii="Times New Roman" w:eastAsia="宋体" w:hAnsi="Times New Roman" w:cs="Times New Roman" w:hint="eastAsia"/>
          <w:bCs/>
          <w:kern w:val="0"/>
          <w:sz w:val="21"/>
          <w:szCs w:val="21"/>
        </w:rPr>
        <w:t>A</w:t>
      </w:r>
      <w:r w:rsidRPr="00EE509C">
        <w:rPr>
          <w:rFonts w:ascii="Times New Roman" w:eastAsia="宋体" w:hAnsi="Times New Roman" w:cs="Times New Roman"/>
          <w:bCs/>
          <w:kern w:val="0"/>
          <w:sz w:val="21"/>
          <w:szCs w:val="21"/>
        </w:rPr>
        <w:t xml:space="preserve">) L‑ALAN </w:t>
      </w:r>
      <w:r w:rsidRPr="00EE509C">
        <w:rPr>
          <w:rFonts w:ascii="Times New Roman" w:eastAsia="宋体" w:hAnsi="Times New Roman" w:cs="Times New Roman"/>
          <w:bCs/>
          <w:i/>
          <w:iCs/>
          <w:kern w:val="0"/>
          <w:sz w:val="21"/>
          <w:szCs w:val="21"/>
        </w:rPr>
        <w:t>vs</w:t>
      </w:r>
      <w:r w:rsidRPr="00EE509C">
        <w:rPr>
          <w:rFonts w:ascii="Times New Roman" w:eastAsia="宋体" w:hAnsi="Times New Roman" w:cs="Times New Roman" w:hint="eastAsia"/>
          <w:bCs/>
          <w:i/>
          <w:iCs/>
          <w:kern w:val="0"/>
          <w:sz w:val="21"/>
          <w:szCs w:val="21"/>
        </w:rPr>
        <w:t>.</w:t>
      </w:r>
      <w:r w:rsidRPr="00EE509C">
        <w:rPr>
          <w:rFonts w:ascii="Times New Roman" w:eastAsia="宋体" w:hAnsi="Times New Roman" w:cs="Times New Roman"/>
          <w:bCs/>
          <w:kern w:val="0"/>
          <w:sz w:val="21"/>
          <w:szCs w:val="21"/>
        </w:rPr>
        <w:t xml:space="preserve"> Control and (</w:t>
      </w:r>
      <w:r>
        <w:rPr>
          <w:rFonts w:ascii="Times New Roman" w:eastAsia="宋体" w:hAnsi="Times New Roman" w:cs="Times New Roman" w:hint="eastAsia"/>
          <w:bCs/>
          <w:kern w:val="0"/>
          <w:sz w:val="21"/>
          <w:szCs w:val="21"/>
        </w:rPr>
        <w:t>B</w:t>
      </w:r>
      <w:r w:rsidRPr="00EE509C">
        <w:rPr>
          <w:rFonts w:ascii="Times New Roman" w:eastAsia="宋体" w:hAnsi="Times New Roman" w:cs="Times New Roman"/>
          <w:bCs/>
          <w:kern w:val="0"/>
          <w:sz w:val="21"/>
          <w:szCs w:val="21"/>
        </w:rPr>
        <w:t xml:space="preserve">) L‑ALAN+MT </w:t>
      </w:r>
      <w:r w:rsidRPr="00EE509C">
        <w:rPr>
          <w:rFonts w:ascii="Times New Roman" w:eastAsia="宋体" w:hAnsi="Times New Roman" w:cs="Times New Roman"/>
          <w:bCs/>
          <w:i/>
          <w:iCs/>
          <w:kern w:val="0"/>
          <w:sz w:val="21"/>
          <w:szCs w:val="21"/>
        </w:rPr>
        <w:t>vs</w:t>
      </w:r>
      <w:r w:rsidRPr="00EE509C">
        <w:rPr>
          <w:rFonts w:ascii="Times New Roman" w:eastAsia="宋体" w:hAnsi="Times New Roman" w:cs="Times New Roman" w:hint="eastAsia"/>
          <w:bCs/>
          <w:i/>
          <w:iCs/>
          <w:kern w:val="0"/>
          <w:sz w:val="21"/>
          <w:szCs w:val="21"/>
        </w:rPr>
        <w:t>.</w:t>
      </w:r>
      <w:r w:rsidRPr="00EE509C">
        <w:rPr>
          <w:rFonts w:ascii="Times New Roman" w:eastAsia="宋体" w:hAnsi="Times New Roman" w:cs="Times New Roman"/>
          <w:bCs/>
          <w:kern w:val="0"/>
          <w:sz w:val="21"/>
          <w:szCs w:val="21"/>
        </w:rPr>
        <w:t xml:space="preserve"> L‑ALAN. DEMs were defined by VIP &gt; 1, </w:t>
      </w:r>
      <w:r w:rsidRPr="00EE509C">
        <w:rPr>
          <w:rFonts w:ascii="Times New Roman" w:eastAsia="宋体" w:hAnsi="Times New Roman" w:cs="Times New Roman"/>
          <w:bCs/>
          <w:i/>
          <w:iCs/>
          <w:kern w:val="0"/>
          <w:sz w:val="21"/>
          <w:szCs w:val="21"/>
        </w:rPr>
        <w:t>P</w:t>
      </w:r>
      <w:r w:rsidRPr="00EE509C">
        <w:rPr>
          <w:rFonts w:ascii="Times New Roman" w:eastAsia="宋体" w:hAnsi="Times New Roman" w:cs="Times New Roman"/>
          <w:bCs/>
          <w:kern w:val="0"/>
          <w:sz w:val="21"/>
          <w:szCs w:val="21"/>
        </w:rPr>
        <w:t xml:space="preserve"> </w:t>
      </w:r>
      <w:r w:rsidRPr="00EE509C">
        <w:rPr>
          <w:rFonts w:ascii="Times New Roman" w:eastAsia="宋体" w:hAnsi="Times New Roman" w:cs="Times New Roman" w:hint="eastAsia"/>
          <w:bCs/>
          <w:kern w:val="0"/>
          <w:sz w:val="21"/>
          <w:szCs w:val="21"/>
        </w:rPr>
        <w:t xml:space="preserve">value </w:t>
      </w:r>
      <w:r w:rsidRPr="00EE509C">
        <w:rPr>
          <w:rFonts w:ascii="Times New Roman" w:eastAsia="宋体" w:hAnsi="Times New Roman" w:cs="Times New Roman"/>
          <w:bCs/>
          <w:kern w:val="0"/>
          <w:sz w:val="21"/>
          <w:szCs w:val="21"/>
        </w:rPr>
        <w:t xml:space="preserve">&lt; 0.05, and </w:t>
      </w:r>
      <w:r w:rsidRPr="00EE509C">
        <w:rPr>
          <w:rFonts w:ascii="Times New Roman" w:eastAsia="宋体" w:hAnsi="Times New Roman" w:cs="Times New Roman" w:hint="eastAsia"/>
          <w:bCs/>
          <w:kern w:val="0"/>
          <w:sz w:val="21"/>
          <w:szCs w:val="21"/>
        </w:rPr>
        <w:t>F</w:t>
      </w:r>
      <w:r w:rsidRPr="00EE509C">
        <w:rPr>
          <w:rFonts w:ascii="Times New Roman" w:eastAsia="宋体" w:hAnsi="Times New Roman" w:cs="Times New Roman"/>
          <w:bCs/>
          <w:kern w:val="0"/>
          <w:sz w:val="21"/>
          <w:szCs w:val="21"/>
        </w:rPr>
        <w:t xml:space="preserve">old </w:t>
      </w:r>
      <w:r w:rsidRPr="00EE509C">
        <w:rPr>
          <w:rFonts w:ascii="Times New Roman" w:eastAsia="宋体" w:hAnsi="Times New Roman" w:cs="Times New Roman" w:hint="eastAsia"/>
          <w:bCs/>
          <w:kern w:val="0"/>
          <w:sz w:val="21"/>
          <w:szCs w:val="21"/>
        </w:rPr>
        <w:t>C</w:t>
      </w:r>
      <w:r w:rsidRPr="00EE509C">
        <w:rPr>
          <w:rFonts w:ascii="Times New Roman" w:eastAsia="宋体" w:hAnsi="Times New Roman" w:cs="Times New Roman"/>
          <w:bCs/>
          <w:kern w:val="0"/>
          <w:sz w:val="21"/>
          <w:szCs w:val="21"/>
        </w:rPr>
        <w:t>hange &gt; 1.</w:t>
      </w:r>
      <w:r w:rsidRPr="00EE509C">
        <w:rPr>
          <w:rFonts w:ascii="Times New Roman" w:eastAsia="宋体" w:hAnsi="Times New Roman" w:cs="Times New Roman" w:hint="eastAsia"/>
          <w:bCs/>
          <w:kern w:val="0"/>
          <w:sz w:val="21"/>
          <w:szCs w:val="21"/>
        </w:rPr>
        <w:t xml:space="preserve"> n =</w:t>
      </w:r>
      <w:r>
        <w:rPr>
          <w:rFonts w:ascii="Times New Roman" w:eastAsia="宋体" w:hAnsi="Times New Roman" w:cs="Times New Roman" w:hint="eastAsia"/>
          <w:bCs/>
          <w:kern w:val="0"/>
          <w:sz w:val="21"/>
          <w:szCs w:val="21"/>
        </w:rPr>
        <w:t xml:space="preserve"> </w:t>
      </w:r>
      <w:r w:rsidRPr="00EE509C">
        <w:rPr>
          <w:rFonts w:ascii="Times New Roman" w:eastAsia="宋体" w:hAnsi="Times New Roman" w:cs="Times New Roman" w:hint="eastAsia"/>
          <w:bCs/>
          <w:kern w:val="0"/>
          <w:sz w:val="21"/>
          <w:szCs w:val="21"/>
        </w:rPr>
        <w:t>12</w:t>
      </w:r>
      <w:r>
        <w:rPr>
          <w:rFonts w:ascii="Times New Roman" w:eastAsia="宋体" w:hAnsi="Times New Roman" w:cs="Times New Roman" w:hint="eastAsia"/>
          <w:bCs/>
          <w:kern w:val="0"/>
          <w:sz w:val="21"/>
          <w:szCs w:val="21"/>
        </w:rPr>
        <w:t xml:space="preserve"> per group</w:t>
      </w:r>
      <w:r w:rsidRPr="00EE509C">
        <w:rPr>
          <w:rFonts w:ascii="Times New Roman" w:eastAsia="宋体" w:hAnsi="Times New Roman" w:cs="Times New Roman" w:hint="eastAsia"/>
          <w:bCs/>
          <w:kern w:val="0"/>
          <w:sz w:val="21"/>
          <w:szCs w:val="21"/>
        </w:rPr>
        <w:t>.</w:t>
      </w:r>
    </w:p>
    <w:p w14:paraId="6772607A" w14:textId="77777777" w:rsidR="00EE509C" w:rsidRPr="00EE509C" w:rsidRDefault="00EE509C" w:rsidP="00625A59">
      <w:pPr>
        <w:spacing w:line="480" w:lineRule="auto"/>
        <w:jc w:val="both"/>
        <w:rPr>
          <w:rFonts w:hint="eastAsia"/>
          <w:sz w:val="20"/>
          <w:szCs w:val="21"/>
        </w:rPr>
      </w:pPr>
    </w:p>
    <w:sectPr w:rsidR="00EE509C" w:rsidRPr="00EE5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09231" w14:textId="77777777" w:rsidR="009A1C48" w:rsidRDefault="009A1C48" w:rsidP="00240C66">
      <w:pPr>
        <w:spacing w:after="0" w:line="240" w:lineRule="auto"/>
        <w:rPr>
          <w:rFonts w:hint="eastAsia"/>
        </w:rPr>
      </w:pPr>
      <w:r>
        <w:separator/>
      </w:r>
    </w:p>
  </w:endnote>
  <w:endnote w:type="continuationSeparator" w:id="0">
    <w:p w14:paraId="73C902DC" w14:textId="77777777" w:rsidR="009A1C48" w:rsidRDefault="009A1C48" w:rsidP="00240C6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24089" w14:textId="77777777" w:rsidR="009A1C48" w:rsidRDefault="009A1C48" w:rsidP="00240C66">
      <w:pPr>
        <w:spacing w:after="0" w:line="240" w:lineRule="auto"/>
        <w:rPr>
          <w:rFonts w:hint="eastAsia"/>
        </w:rPr>
      </w:pPr>
      <w:r>
        <w:separator/>
      </w:r>
    </w:p>
  </w:footnote>
  <w:footnote w:type="continuationSeparator" w:id="0">
    <w:p w14:paraId="225464AF" w14:textId="77777777" w:rsidR="009A1C48" w:rsidRDefault="009A1C48" w:rsidP="00240C66">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7BE"/>
    <w:rsid w:val="00035359"/>
    <w:rsid w:val="0008021A"/>
    <w:rsid w:val="000B1DFE"/>
    <w:rsid w:val="000F0710"/>
    <w:rsid w:val="00114129"/>
    <w:rsid w:val="00163E02"/>
    <w:rsid w:val="00165B7D"/>
    <w:rsid w:val="001728E9"/>
    <w:rsid w:val="00190962"/>
    <w:rsid w:val="001A1241"/>
    <w:rsid w:val="001B635B"/>
    <w:rsid w:val="001E0D4E"/>
    <w:rsid w:val="001E64D4"/>
    <w:rsid w:val="001F1A6A"/>
    <w:rsid w:val="001F40DB"/>
    <w:rsid w:val="00203C2F"/>
    <w:rsid w:val="002114C2"/>
    <w:rsid w:val="00233C04"/>
    <w:rsid w:val="00240C66"/>
    <w:rsid w:val="00261F22"/>
    <w:rsid w:val="002870AD"/>
    <w:rsid w:val="002B6036"/>
    <w:rsid w:val="002C27CD"/>
    <w:rsid w:val="00310D0B"/>
    <w:rsid w:val="00352C7B"/>
    <w:rsid w:val="00356EF3"/>
    <w:rsid w:val="00365258"/>
    <w:rsid w:val="00403F82"/>
    <w:rsid w:val="00422C79"/>
    <w:rsid w:val="004532B8"/>
    <w:rsid w:val="00477173"/>
    <w:rsid w:val="0049441C"/>
    <w:rsid w:val="004976FD"/>
    <w:rsid w:val="004A5C2E"/>
    <w:rsid w:val="004B36E3"/>
    <w:rsid w:val="004B5F82"/>
    <w:rsid w:val="004B7F16"/>
    <w:rsid w:val="00530629"/>
    <w:rsid w:val="005447BE"/>
    <w:rsid w:val="005958EE"/>
    <w:rsid w:val="005A0454"/>
    <w:rsid w:val="005A245E"/>
    <w:rsid w:val="005B1BFE"/>
    <w:rsid w:val="005C6A85"/>
    <w:rsid w:val="005E74D2"/>
    <w:rsid w:val="00613FE7"/>
    <w:rsid w:val="00625A59"/>
    <w:rsid w:val="00631989"/>
    <w:rsid w:val="006431ED"/>
    <w:rsid w:val="00650E9F"/>
    <w:rsid w:val="006655ED"/>
    <w:rsid w:val="006C1B14"/>
    <w:rsid w:val="006C4694"/>
    <w:rsid w:val="006C6567"/>
    <w:rsid w:val="007614B7"/>
    <w:rsid w:val="00796F7A"/>
    <w:rsid w:val="007B46BB"/>
    <w:rsid w:val="007C3A80"/>
    <w:rsid w:val="007D764B"/>
    <w:rsid w:val="007E018A"/>
    <w:rsid w:val="007E085E"/>
    <w:rsid w:val="007F662C"/>
    <w:rsid w:val="00876537"/>
    <w:rsid w:val="00876815"/>
    <w:rsid w:val="008A694C"/>
    <w:rsid w:val="008B143C"/>
    <w:rsid w:val="008B7EF2"/>
    <w:rsid w:val="00926B49"/>
    <w:rsid w:val="009517F3"/>
    <w:rsid w:val="00990127"/>
    <w:rsid w:val="009A1C48"/>
    <w:rsid w:val="009B1A90"/>
    <w:rsid w:val="009D72F5"/>
    <w:rsid w:val="009F4C89"/>
    <w:rsid w:val="00A14F7F"/>
    <w:rsid w:val="00A15F84"/>
    <w:rsid w:val="00A92BA5"/>
    <w:rsid w:val="00A943F0"/>
    <w:rsid w:val="00AD2DE6"/>
    <w:rsid w:val="00B26EF1"/>
    <w:rsid w:val="00BA3CD7"/>
    <w:rsid w:val="00BA503C"/>
    <w:rsid w:val="00BC6948"/>
    <w:rsid w:val="00BF59F3"/>
    <w:rsid w:val="00C10984"/>
    <w:rsid w:val="00C34698"/>
    <w:rsid w:val="00C42194"/>
    <w:rsid w:val="00C5192D"/>
    <w:rsid w:val="00C6268A"/>
    <w:rsid w:val="00C644DA"/>
    <w:rsid w:val="00C76576"/>
    <w:rsid w:val="00CB69B2"/>
    <w:rsid w:val="00D01537"/>
    <w:rsid w:val="00D37831"/>
    <w:rsid w:val="00D9503D"/>
    <w:rsid w:val="00DB273D"/>
    <w:rsid w:val="00DC3E42"/>
    <w:rsid w:val="00DE117B"/>
    <w:rsid w:val="00E03126"/>
    <w:rsid w:val="00E3082A"/>
    <w:rsid w:val="00E34F72"/>
    <w:rsid w:val="00E44AE0"/>
    <w:rsid w:val="00E663F5"/>
    <w:rsid w:val="00E71D49"/>
    <w:rsid w:val="00EA1840"/>
    <w:rsid w:val="00EB47EA"/>
    <w:rsid w:val="00EC2E8E"/>
    <w:rsid w:val="00EC6DCE"/>
    <w:rsid w:val="00EE509C"/>
    <w:rsid w:val="00F30A57"/>
    <w:rsid w:val="00F54767"/>
    <w:rsid w:val="00F60F1A"/>
    <w:rsid w:val="00F77A22"/>
    <w:rsid w:val="00FE7900"/>
    <w:rsid w:val="00FE7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03D63"/>
  <w15:chartTrackingRefBased/>
  <w15:docId w15:val="{ECE0797F-FC8E-4A39-A43C-FC63F2FC5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447B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5447B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447B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5447B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5447B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5447BE"/>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5447B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447B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447B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447B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5447B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5447B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5447BE"/>
    <w:rPr>
      <w:rFonts w:cstheme="majorBidi"/>
      <w:color w:val="2F5496" w:themeColor="accent1" w:themeShade="BF"/>
      <w:sz w:val="28"/>
      <w:szCs w:val="28"/>
    </w:rPr>
  </w:style>
  <w:style w:type="character" w:customStyle="1" w:styleId="50">
    <w:name w:val="标题 5 字符"/>
    <w:basedOn w:val="a0"/>
    <w:link w:val="5"/>
    <w:uiPriority w:val="9"/>
    <w:semiHidden/>
    <w:rsid w:val="005447BE"/>
    <w:rPr>
      <w:rFonts w:cstheme="majorBidi"/>
      <w:color w:val="2F5496" w:themeColor="accent1" w:themeShade="BF"/>
      <w:sz w:val="24"/>
    </w:rPr>
  </w:style>
  <w:style w:type="character" w:customStyle="1" w:styleId="60">
    <w:name w:val="标题 6 字符"/>
    <w:basedOn w:val="a0"/>
    <w:link w:val="6"/>
    <w:uiPriority w:val="9"/>
    <w:semiHidden/>
    <w:rsid w:val="005447BE"/>
    <w:rPr>
      <w:rFonts w:cstheme="majorBidi"/>
      <w:b/>
      <w:bCs/>
      <w:color w:val="2F5496" w:themeColor="accent1" w:themeShade="BF"/>
    </w:rPr>
  </w:style>
  <w:style w:type="character" w:customStyle="1" w:styleId="70">
    <w:name w:val="标题 7 字符"/>
    <w:basedOn w:val="a0"/>
    <w:link w:val="7"/>
    <w:uiPriority w:val="9"/>
    <w:semiHidden/>
    <w:rsid w:val="005447BE"/>
    <w:rPr>
      <w:rFonts w:cstheme="majorBidi"/>
      <w:b/>
      <w:bCs/>
      <w:color w:val="595959" w:themeColor="text1" w:themeTint="A6"/>
    </w:rPr>
  </w:style>
  <w:style w:type="character" w:customStyle="1" w:styleId="80">
    <w:name w:val="标题 8 字符"/>
    <w:basedOn w:val="a0"/>
    <w:link w:val="8"/>
    <w:uiPriority w:val="9"/>
    <w:semiHidden/>
    <w:rsid w:val="005447BE"/>
    <w:rPr>
      <w:rFonts w:cstheme="majorBidi"/>
      <w:color w:val="595959" w:themeColor="text1" w:themeTint="A6"/>
    </w:rPr>
  </w:style>
  <w:style w:type="character" w:customStyle="1" w:styleId="90">
    <w:name w:val="标题 9 字符"/>
    <w:basedOn w:val="a0"/>
    <w:link w:val="9"/>
    <w:uiPriority w:val="9"/>
    <w:semiHidden/>
    <w:rsid w:val="005447BE"/>
    <w:rPr>
      <w:rFonts w:eastAsiaTheme="majorEastAsia" w:cstheme="majorBidi"/>
      <w:color w:val="595959" w:themeColor="text1" w:themeTint="A6"/>
    </w:rPr>
  </w:style>
  <w:style w:type="paragraph" w:styleId="a3">
    <w:name w:val="Title"/>
    <w:basedOn w:val="a"/>
    <w:next w:val="a"/>
    <w:link w:val="a4"/>
    <w:uiPriority w:val="10"/>
    <w:qFormat/>
    <w:rsid w:val="005447B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447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47B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447B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447BE"/>
    <w:pPr>
      <w:spacing w:before="160"/>
      <w:jc w:val="center"/>
    </w:pPr>
    <w:rPr>
      <w:i/>
      <w:iCs/>
      <w:color w:val="404040" w:themeColor="text1" w:themeTint="BF"/>
    </w:rPr>
  </w:style>
  <w:style w:type="character" w:customStyle="1" w:styleId="a8">
    <w:name w:val="引用 字符"/>
    <w:basedOn w:val="a0"/>
    <w:link w:val="a7"/>
    <w:uiPriority w:val="29"/>
    <w:rsid w:val="005447BE"/>
    <w:rPr>
      <w:i/>
      <w:iCs/>
      <w:color w:val="404040" w:themeColor="text1" w:themeTint="BF"/>
    </w:rPr>
  </w:style>
  <w:style w:type="paragraph" w:styleId="a9">
    <w:name w:val="List Paragraph"/>
    <w:basedOn w:val="a"/>
    <w:uiPriority w:val="34"/>
    <w:qFormat/>
    <w:rsid w:val="005447BE"/>
    <w:pPr>
      <w:ind w:left="720"/>
      <w:contextualSpacing/>
    </w:pPr>
  </w:style>
  <w:style w:type="character" w:styleId="aa">
    <w:name w:val="Intense Emphasis"/>
    <w:basedOn w:val="a0"/>
    <w:uiPriority w:val="21"/>
    <w:qFormat/>
    <w:rsid w:val="005447BE"/>
    <w:rPr>
      <w:i/>
      <w:iCs/>
      <w:color w:val="2F5496" w:themeColor="accent1" w:themeShade="BF"/>
    </w:rPr>
  </w:style>
  <w:style w:type="paragraph" w:styleId="ab">
    <w:name w:val="Intense Quote"/>
    <w:basedOn w:val="a"/>
    <w:next w:val="a"/>
    <w:link w:val="ac"/>
    <w:uiPriority w:val="30"/>
    <w:qFormat/>
    <w:rsid w:val="005447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5447BE"/>
    <w:rPr>
      <w:i/>
      <w:iCs/>
      <w:color w:val="2F5496" w:themeColor="accent1" w:themeShade="BF"/>
    </w:rPr>
  </w:style>
  <w:style w:type="character" w:styleId="ad">
    <w:name w:val="Intense Reference"/>
    <w:basedOn w:val="a0"/>
    <w:uiPriority w:val="32"/>
    <w:qFormat/>
    <w:rsid w:val="005447BE"/>
    <w:rPr>
      <w:b/>
      <w:bCs/>
      <w:smallCaps/>
      <w:color w:val="2F5496" w:themeColor="accent1" w:themeShade="BF"/>
      <w:spacing w:val="5"/>
    </w:rPr>
  </w:style>
  <w:style w:type="table" w:styleId="ae">
    <w:name w:val="Table Grid"/>
    <w:basedOn w:val="a1"/>
    <w:uiPriority w:val="39"/>
    <w:rsid w:val="00544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240C66"/>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240C66"/>
    <w:rPr>
      <w:sz w:val="18"/>
      <w:szCs w:val="18"/>
    </w:rPr>
  </w:style>
  <w:style w:type="paragraph" w:styleId="af1">
    <w:name w:val="footer"/>
    <w:basedOn w:val="a"/>
    <w:link w:val="af2"/>
    <w:uiPriority w:val="99"/>
    <w:unhideWhenUsed/>
    <w:rsid w:val="00240C66"/>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240C66"/>
    <w:rPr>
      <w:sz w:val="18"/>
      <w:szCs w:val="18"/>
    </w:rPr>
  </w:style>
  <w:style w:type="paragraph" w:styleId="af3">
    <w:name w:val="Revision"/>
    <w:hidden/>
    <w:uiPriority w:val="99"/>
    <w:semiHidden/>
    <w:rsid w:val="001A12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938CD-58C3-4CD7-9AE3-B229194E1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8</Pages>
  <Words>7546</Words>
  <Characters>42034</Characters>
  <Application>Microsoft Office Word</Application>
  <DocSecurity>0</DocSecurity>
  <Lines>1313</Lines>
  <Paragraphs>619</Paragraphs>
  <ScaleCrop>false</ScaleCrop>
  <Company/>
  <LinksUpToDate>false</LinksUpToDate>
  <CharactersWithSpaces>48961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佳丽 王</dc:creator>
  <cp:keywords/>
  <dc:description/>
  <cp:lastModifiedBy>佳丽 王</cp:lastModifiedBy>
  <cp:revision>26</cp:revision>
  <cp:lastPrinted>2026-03-24T02:37:00Z</cp:lastPrinted>
  <dcterms:created xsi:type="dcterms:W3CDTF">2026-05-15T02:24:00Z</dcterms:created>
  <dcterms:modified xsi:type="dcterms:W3CDTF">2026-10-04T08:27:00Z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http://csl.mendeley.com/styles/672009871/china-national-standard-gb-t-7714-2015-wjl</vt:lpwstr>
  </property>
  <property fmtid="{D5CDD505-2E9C-101B-9397-08002B2CF9AE}" pid="9" name="Mendeley Recent Style Name 3_1">
    <vt:lpwstr>China National Standard GB/T 7714-2015 (numeric, 中文) - jiali wang</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https://csl.mendeley.com/styles/672009871/clinical-radiology</vt:lpwstr>
  </property>
  <property fmtid="{D5CDD505-2E9C-101B-9397-08002B2CF9AE}" pid="13" name="Mendeley Recent Style Name 5_1">
    <vt:lpwstr>EHP edit1 - jiali wang</vt:lpwstr>
  </property>
  <property fmtid="{D5CDD505-2E9C-101B-9397-08002B2CF9AE}" pid="14" name="Mendeley Recent Style Id 6_1">
    <vt:lpwstr>http://csl.mendeley.com/styles/672009871/clinical-radiology</vt:lpwstr>
  </property>
  <property fmtid="{D5CDD505-2E9C-101B-9397-08002B2CF9AE}" pid="15" name="Mendeley Recent Style Name 6_1">
    <vt:lpwstr>EHP edit1 - jiali wang</vt:lpwstr>
  </property>
  <property fmtid="{D5CDD505-2E9C-101B-9397-08002B2CF9AE}" pid="16" name="Mendeley Recent Style Id 7_1">
    <vt:lpwstr>http://www.zotero.org/styles/environmental-health-perspectives</vt:lpwstr>
  </property>
  <property fmtid="{D5CDD505-2E9C-101B-9397-08002B2CF9AE}" pid="17" name="Mendeley Recent Style Name 7_1">
    <vt:lpwstr>Environmental Health Perspectives</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Unique User Id_1">
    <vt:lpwstr>c6ae7362-52b0-35b1-8505-7003199d4776</vt:lpwstr>
  </property>
  <property fmtid="{D5CDD505-2E9C-101B-9397-08002B2CF9AE}" pid="24" name="Mendeley Citation Style_1">
    <vt:lpwstr>http://csl.mendeley.com/styles/672009871/china-national-standard-gb-t-7714-2015-wjl</vt:lpwstr>
  </property>
</Properties>
</file>