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18BD" w14:textId="77777777" w:rsidR="0022154D" w:rsidRDefault="0022154D" w:rsidP="0022154D">
      <w:pPr>
        <w:pStyle w:val="Ttulo1"/>
        <w:rPr>
          <w:rFonts w:cs="Times New Roman"/>
          <w:sz w:val="20"/>
          <w:szCs w:val="20"/>
        </w:rPr>
      </w:pPr>
      <w:r w:rsidRPr="00DF2377">
        <w:rPr>
          <w:rFonts w:cs="Times New Roman"/>
          <w:sz w:val="20"/>
          <w:szCs w:val="20"/>
        </w:rPr>
        <w:t>Supplementary material</w:t>
      </w:r>
    </w:p>
    <w:p w14:paraId="034EF846" w14:textId="77777777" w:rsidR="0022154D" w:rsidRDefault="0022154D" w:rsidP="0022154D"/>
    <w:p w14:paraId="07974E01" w14:textId="0FD79772" w:rsidR="0022154D" w:rsidRPr="00B7536C" w:rsidRDefault="0022154D" w:rsidP="0022154D">
      <w:pPr>
        <w:pStyle w:val="Ttulo1"/>
        <w:spacing w:before="0" w:after="0" w:line="360" w:lineRule="auto"/>
        <w:rPr>
          <w:rFonts w:cs="Times New Roman"/>
          <w:sz w:val="20"/>
          <w:szCs w:val="20"/>
        </w:rPr>
      </w:pPr>
      <w:r w:rsidRPr="00B7536C">
        <w:rPr>
          <w:rFonts w:cs="Times New Roman"/>
          <w:sz w:val="20"/>
          <w:szCs w:val="20"/>
        </w:rPr>
        <w:t>What makes parents of young children stressed? A systematic review of quantitative studies</w:t>
      </w:r>
    </w:p>
    <w:p w14:paraId="52983529" w14:textId="77777777" w:rsidR="0022154D" w:rsidRPr="0022154D" w:rsidRDefault="0022154D" w:rsidP="0022154D">
      <w:pPr>
        <w:spacing w:after="0" w:line="360" w:lineRule="auto"/>
        <w:jc w:val="center"/>
        <w:rPr>
          <w:rFonts w:cs="Times New Roman"/>
          <w:sz w:val="20"/>
          <w:szCs w:val="20"/>
        </w:rPr>
      </w:pPr>
    </w:p>
    <w:p w14:paraId="343C4A97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  <w:lang w:val="pt-PT"/>
        </w:rPr>
      </w:pPr>
      <w:r w:rsidRPr="00B7536C">
        <w:rPr>
          <w:rFonts w:cs="Times New Roman"/>
          <w:b/>
          <w:bCs/>
          <w:sz w:val="20"/>
          <w:szCs w:val="20"/>
          <w:lang w:val="pt-PT"/>
        </w:rPr>
        <w:t>Dora d’Orsi</w:t>
      </w:r>
      <w:r w:rsidRPr="00B7536C">
        <w:rPr>
          <w:rFonts w:cs="Times New Roman"/>
          <w:sz w:val="20"/>
          <w:szCs w:val="20"/>
          <w:lang w:val="pt-PT"/>
        </w:rPr>
        <w:t xml:space="preserve"> (0000-0003-0537-1815) - </w:t>
      </w:r>
      <w:r w:rsidRPr="005D2DA9">
        <w:rPr>
          <w:rFonts w:cs="Times New Roman"/>
          <w:sz w:val="20"/>
          <w:szCs w:val="20"/>
          <w:lang w:val="pt-PT"/>
        </w:rPr>
        <w:t>William James Center for Research, Ispa—Instituto Universitário | Rua Jardim do Tabaco, 34, 1149-041 Lisbon, Portugal</w:t>
      </w:r>
    </w:p>
    <w:p w14:paraId="08065235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</w:rPr>
      </w:pPr>
      <w:r w:rsidRPr="00B7536C">
        <w:rPr>
          <w:rFonts w:cs="Times New Roman"/>
          <w:b/>
          <w:bCs/>
          <w:sz w:val="20"/>
          <w:szCs w:val="20"/>
        </w:rPr>
        <w:t>Carolina Garraio</w:t>
      </w:r>
      <w:r w:rsidRPr="00B7536C">
        <w:rPr>
          <w:rFonts w:cs="Times New Roman"/>
          <w:sz w:val="20"/>
          <w:szCs w:val="20"/>
        </w:rPr>
        <w:t xml:space="preserve"> (0000-0001-6368-8306) - Center for Psychology at University of Porto, </w:t>
      </w:r>
      <w:r w:rsidRPr="00FA50BF">
        <w:rPr>
          <w:rFonts w:cs="Times New Roman"/>
          <w:sz w:val="20"/>
          <w:szCs w:val="20"/>
        </w:rPr>
        <w:t>Faculty of Psychology and Education Sciences, University of Porto</w:t>
      </w:r>
      <w:r w:rsidRPr="00B7536C">
        <w:rPr>
          <w:rFonts w:cs="Times New Roman"/>
          <w:sz w:val="20"/>
          <w:szCs w:val="20"/>
        </w:rPr>
        <w:t xml:space="preserve"> | Rua Alfredo Allen, 4200-135 Porto, Portugal</w:t>
      </w:r>
    </w:p>
    <w:p w14:paraId="758C7C70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  <w:lang w:val="pt-PT"/>
        </w:rPr>
      </w:pPr>
      <w:r w:rsidRPr="00B7536C">
        <w:rPr>
          <w:rFonts w:cs="Times New Roman"/>
          <w:b/>
          <w:bCs/>
          <w:sz w:val="20"/>
          <w:szCs w:val="20"/>
          <w:lang w:val="pt-PT"/>
        </w:rPr>
        <w:t>Rita Santos</w:t>
      </w:r>
      <w:r w:rsidRPr="00B7536C">
        <w:rPr>
          <w:rFonts w:cs="Times New Roman"/>
          <w:sz w:val="20"/>
          <w:szCs w:val="20"/>
          <w:lang w:val="pt-PT"/>
        </w:rPr>
        <w:t xml:space="preserve"> - </w:t>
      </w:r>
      <w:r w:rsidRPr="005D2DA9">
        <w:rPr>
          <w:rFonts w:cs="Times New Roman"/>
          <w:sz w:val="20"/>
          <w:szCs w:val="20"/>
          <w:lang w:val="pt-PT"/>
        </w:rPr>
        <w:t>Ispa—Instituto Universitário | Rua Jardim do Tabaco, 34, 1149-041 Lisbon, Portugal</w:t>
      </w:r>
    </w:p>
    <w:p w14:paraId="298ED5F1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  <w:lang w:val="pt-PT"/>
        </w:rPr>
      </w:pPr>
      <w:r w:rsidRPr="00B7536C">
        <w:rPr>
          <w:rFonts w:cs="Times New Roman"/>
          <w:b/>
          <w:bCs/>
          <w:sz w:val="20"/>
          <w:szCs w:val="20"/>
          <w:lang w:val="pt-PT"/>
        </w:rPr>
        <w:t>Manuela Veríssimo</w:t>
      </w:r>
      <w:r w:rsidRPr="00B7536C">
        <w:rPr>
          <w:rFonts w:cs="Times New Roman"/>
          <w:sz w:val="20"/>
          <w:szCs w:val="20"/>
          <w:lang w:val="pt-PT"/>
        </w:rPr>
        <w:t xml:space="preserve"> (0000-0003-4356-5696) - </w:t>
      </w:r>
      <w:r w:rsidRPr="005D2DA9">
        <w:rPr>
          <w:rFonts w:cs="Times New Roman"/>
          <w:sz w:val="20"/>
          <w:szCs w:val="20"/>
          <w:lang w:val="pt-PT"/>
        </w:rPr>
        <w:t>William James Center for Research, Ispa—Instituto Universitário | Rua Jardim do Tabaco, 34, 1149-041 Lisbon, Portugal</w:t>
      </w:r>
    </w:p>
    <w:p w14:paraId="67B23EC3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</w:rPr>
      </w:pPr>
      <w:r w:rsidRPr="00B7536C">
        <w:rPr>
          <w:rFonts w:cs="Times New Roman"/>
          <w:b/>
          <w:bCs/>
          <w:sz w:val="20"/>
          <w:szCs w:val="20"/>
        </w:rPr>
        <w:t>Marisa Matias</w:t>
      </w:r>
      <w:r w:rsidRPr="00B7536C">
        <w:rPr>
          <w:rFonts w:cs="Times New Roman"/>
          <w:sz w:val="20"/>
          <w:szCs w:val="20"/>
        </w:rPr>
        <w:t xml:space="preserve"> (0000-0002-5755-5096) - Center for Psychology at University of Porto, </w:t>
      </w:r>
      <w:r w:rsidRPr="00FA50BF">
        <w:rPr>
          <w:rFonts w:cs="Times New Roman"/>
          <w:sz w:val="20"/>
          <w:szCs w:val="20"/>
        </w:rPr>
        <w:t>Faculty of Psychology and Education Sciences, University of Porto</w:t>
      </w:r>
      <w:r w:rsidRPr="00B7536C">
        <w:rPr>
          <w:rFonts w:cs="Times New Roman"/>
          <w:sz w:val="20"/>
          <w:szCs w:val="20"/>
        </w:rPr>
        <w:t xml:space="preserve"> | Rua Alfredo Allen, 4200-135 Porto, Portugal</w:t>
      </w:r>
    </w:p>
    <w:p w14:paraId="3C1EB23B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  <w:lang w:val="pt-PT"/>
        </w:rPr>
      </w:pPr>
      <w:r w:rsidRPr="00B7536C">
        <w:rPr>
          <w:rFonts w:cs="Times New Roman"/>
          <w:b/>
          <w:bCs/>
          <w:sz w:val="20"/>
          <w:szCs w:val="20"/>
          <w:lang w:val="pt-PT"/>
        </w:rPr>
        <w:t>Eva Diniz</w:t>
      </w:r>
      <w:r w:rsidRPr="00B7536C">
        <w:rPr>
          <w:rFonts w:cs="Times New Roman"/>
          <w:sz w:val="20"/>
          <w:szCs w:val="20"/>
          <w:lang w:val="pt-PT"/>
        </w:rPr>
        <w:t xml:space="preserve"> (0000-0003-4544-4839) - </w:t>
      </w:r>
      <w:r w:rsidRPr="005D2DA9">
        <w:rPr>
          <w:rFonts w:cs="Times New Roman"/>
          <w:sz w:val="20"/>
          <w:szCs w:val="20"/>
          <w:lang w:val="pt-PT"/>
        </w:rPr>
        <w:t>William James Center for Research, Ispa—Instituto Universitário | Rua Jardim do Tabaco, 34, 1149-041 Lisbon, Portugal</w:t>
      </w:r>
    </w:p>
    <w:p w14:paraId="00A850C9" w14:textId="77777777" w:rsidR="0022154D" w:rsidRPr="00B7536C" w:rsidRDefault="0022154D" w:rsidP="0022154D">
      <w:pPr>
        <w:spacing w:after="0" w:line="360" w:lineRule="auto"/>
        <w:ind w:left="706" w:hanging="706"/>
        <w:rPr>
          <w:rFonts w:cs="Times New Roman"/>
          <w:sz w:val="20"/>
          <w:szCs w:val="20"/>
          <w:lang w:val="pt-PT"/>
        </w:rPr>
      </w:pPr>
    </w:p>
    <w:p w14:paraId="542FF035" w14:textId="6C2F2573" w:rsidR="00B34ACD" w:rsidRDefault="0022154D" w:rsidP="0022154D">
      <w:pPr>
        <w:spacing w:line="360" w:lineRule="auto"/>
      </w:pPr>
      <w:r w:rsidRPr="005D2DA9">
        <w:rPr>
          <w:rFonts w:cs="Times New Roman"/>
          <w:sz w:val="20"/>
          <w:szCs w:val="20"/>
        </w:rPr>
        <w:t xml:space="preserve">Corresponding author’s contact email address: </w:t>
      </w:r>
      <w:hyperlink r:id="rId7" w:history="1">
        <w:r w:rsidRPr="005D2DA9">
          <w:rPr>
            <w:rStyle w:val="Hiperligao"/>
            <w:rFonts w:cs="Times New Roman"/>
            <w:sz w:val="20"/>
            <w:szCs w:val="20"/>
          </w:rPr>
          <w:t>dora.duarte@ispa.pt</w:t>
        </w:r>
      </w:hyperlink>
    </w:p>
    <w:p w14:paraId="67BC978C" w14:textId="77777777" w:rsidR="00B34ACD" w:rsidRDefault="00B34ACD">
      <w:r>
        <w:br w:type="page"/>
      </w:r>
    </w:p>
    <w:p w14:paraId="6516F6B3" w14:textId="6398203C" w:rsidR="00A34421" w:rsidRDefault="00A34421">
      <w:pPr>
        <w:rPr>
          <w:rFonts w:eastAsiaTheme="majorEastAsia" w:cs="Times New Roman"/>
          <w:b/>
          <w:i/>
          <w:sz w:val="20"/>
          <w:szCs w:val="20"/>
        </w:rPr>
      </w:pPr>
    </w:p>
    <w:tbl>
      <w:tblPr>
        <w:tblpPr w:leftFromText="141" w:rightFromText="141" w:vertAnchor="text" w:horzAnchor="page" w:tblpX="853" w:tblpY="-335"/>
        <w:tblOverlap w:val="never"/>
        <w:tblW w:w="5000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611"/>
        <w:gridCol w:w="1714"/>
        <w:gridCol w:w="1223"/>
        <w:gridCol w:w="3219"/>
        <w:gridCol w:w="1181"/>
        <w:gridCol w:w="717"/>
        <w:gridCol w:w="1323"/>
        <w:gridCol w:w="561"/>
        <w:gridCol w:w="703"/>
        <w:gridCol w:w="706"/>
      </w:tblGrid>
      <w:tr w:rsidR="00A34421" w:rsidRPr="00DF2377" w14:paraId="2708DC09" w14:textId="77777777" w:rsidTr="005A4CD5">
        <w:trPr>
          <w:cantSplit/>
          <w:trHeight w:val="2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045409CE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Table 3. </w:t>
            </w:r>
            <w:r w:rsidRPr="00DF237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  <w:t>Personal determinants of parental stress according to sample type and direction of associations.</w:t>
            </w:r>
          </w:p>
        </w:tc>
      </w:tr>
      <w:tr w:rsidR="00A34421" w:rsidRPr="00DF2377" w14:paraId="7834812B" w14:textId="77777777" w:rsidTr="005A4CD5">
        <w:trPr>
          <w:cantSplit/>
          <w:trHeight w:val="20"/>
        </w:trPr>
        <w:tc>
          <w:tcPr>
            <w:tcW w:w="935" w:type="pct"/>
            <w:tcBorders>
              <w:bottom w:val="single" w:sz="4" w:space="0" w:color="auto"/>
            </w:tcBorders>
            <w:noWrap/>
            <w:vAlign w:val="center"/>
          </w:tcPr>
          <w:p w14:paraId="19EE0197" w14:textId="77777777" w:rsidR="00A34421" w:rsidRPr="00DF2377" w:rsidRDefault="00A34421" w:rsidP="005A4CD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FB9C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Mothers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7ACF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Fathers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2474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Both parents</w:t>
            </w:r>
          </w:p>
        </w:tc>
      </w:tr>
      <w:tr w:rsidR="00A34421" w:rsidRPr="00DF2377" w14:paraId="5ECBE659" w14:textId="77777777" w:rsidTr="005A4CD5">
        <w:trPr>
          <w:cantSplit/>
          <w:trHeight w:val="20"/>
        </w:trPr>
        <w:tc>
          <w:tcPr>
            <w:tcW w:w="935" w:type="pct"/>
            <w:tcBorders>
              <w:bottom w:val="single" w:sz="4" w:space="0" w:color="auto"/>
            </w:tcBorders>
            <w:noWrap/>
            <w:vAlign w:val="center"/>
          </w:tcPr>
          <w:p w14:paraId="114C58CB" w14:textId="77777777" w:rsidR="00A34421" w:rsidRPr="00DF2377" w:rsidRDefault="00A34421" w:rsidP="005A4CD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F7152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Negative (-)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F23AF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Null (0)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CE48B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Positive (+)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C7721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7184C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FF6949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76E8B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C9999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1697D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</w:tr>
      <w:tr w:rsidR="00A34421" w:rsidRPr="00DF2377" w14:paraId="0604049F" w14:textId="77777777" w:rsidTr="005A4CD5">
        <w:trPr>
          <w:cantSplit/>
          <w:trHeight w:val="20"/>
        </w:trPr>
        <w:tc>
          <w:tcPr>
            <w:tcW w:w="935" w:type="pct"/>
            <w:tcBorders>
              <w:top w:val="single" w:sz="4" w:space="0" w:color="auto"/>
            </w:tcBorders>
            <w:vAlign w:val="center"/>
            <w:hideMark/>
          </w:tcPr>
          <w:p w14:paraId="4F50DCF7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Personal history</w:t>
            </w: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  <w:hideMark/>
          </w:tcPr>
          <w:p w14:paraId="6C39DA8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vAlign w:val="center"/>
            <w:hideMark/>
          </w:tcPr>
          <w:p w14:paraId="02805A7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  <w:hideMark/>
          </w:tcPr>
          <w:p w14:paraId="111C15C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</w:tcBorders>
            <w:vAlign w:val="center"/>
            <w:hideMark/>
          </w:tcPr>
          <w:p w14:paraId="7D7D094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</w:tcBorders>
            <w:vAlign w:val="center"/>
            <w:hideMark/>
          </w:tcPr>
          <w:p w14:paraId="40D9D54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  <w:hideMark/>
          </w:tcPr>
          <w:p w14:paraId="7FD8525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</w:tcBorders>
            <w:vAlign w:val="center"/>
            <w:hideMark/>
          </w:tcPr>
          <w:p w14:paraId="28DAF6D9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</w:tcBorders>
            <w:vAlign w:val="center"/>
            <w:hideMark/>
          </w:tcPr>
          <w:p w14:paraId="733C9B6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</w:tcBorders>
            <w:vAlign w:val="center"/>
            <w:hideMark/>
          </w:tcPr>
          <w:p w14:paraId="77229D9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1D27D3E8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6331F0BF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Adverse childhood experiences</w:t>
            </w:r>
          </w:p>
        </w:tc>
        <w:tc>
          <w:tcPr>
            <w:tcW w:w="614" w:type="pct"/>
            <w:vAlign w:val="center"/>
            <w:hideMark/>
          </w:tcPr>
          <w:p w14:paraId="0DEDB6F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738FF01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73F9EF6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#3, #50, #67, #79, #89, #90, #100</w:t>
            </w:r>
          </w:p>
        </w:tc>
        <w:tc>
          <w:tcPr>
            <w:tcW w:w="423" w:type="pct"/>
            <w:vAlign w:val="center"/>
            <w:hideMark/>
          </w:tcPr>
          <w:p w14:paraId="56622ED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0FABC1A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#74</w:t>
            </w:r>
          </w:p>
        </w:tc>
        <w:tc>
          <w:tcPr>
            <w:tcW w:w="474" w:type="pct"/>
            <w:vAlign w:val="center"/>
            <w:hideMark/>
          </w:tcPr>
          <w:p w14:paraId="4B30EB7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#67, #89</w:t>
            </w:r>
          </w:p>
        </w:tc>
        <w:tc>
          <w:tcPr>
            <w:tcW w:w="201" w:type="pct"/>
            <w:vAlign w:val="center"/>
            <w:hideMark/>
          </w:tcPr>
          <w:p w14:paraId="2EC5751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6828E24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037E3E4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7605EB91" w14:textId="77777777" w:rsidTr="005A4CD5">
        <w:trPr>
          <w:cantSplit/>
          <w:trHeight w:val="20"/>
        </w:trPr>
        <w:tc>
          <w:tcPr>
            <w:tcW w:w="935" w:type="pct"/>
            <w:vAlign w:val="center"/>
          </w:tcPr>
          <w:p w14:paraId="1BF921E8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Attachment factors </w:t>
            </w:r>
          </w:p>
        </w:tc>
        <w:tc>
          <w:tcPr>
            <w:tcW w:w="614" w:type="pct"/>
            <w:vAlign w:val="center"/>
          </w:tcPr>
          <w:p w14:paraId="3F9684B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0C6E4C9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7E7D8DE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#56, #59, #61, #98</w:t>
            </w:r>
          </w:p>
        </w:tc>
        <w:tc>
          <w:tcPr>
            <w:tcW w:w="423" w:type="pct"/>
            <w:vAlign w:val="center"/>
          </w:tcPr>
          <w:p w14:paraId="31B9CE9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4036E0C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14590F8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#61</w:t>
            </w:r>
          </w:p>
        </w:tc>
        <w:tc>
          <w:tcPr>
            <w:tcW w:w="201" w:type="pct"/>
            <w:vAlign w:val="center"/>
          </w:tcPr>
          <w:p w14:paraId="37B659F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69A6D02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3F8BECB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50CCC412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5C2B22DE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Parenting experience </w:t>
            </w:r>
          </w:p>
        </w:tc>
        <w:tc>
          <w:tcPr>
            <w:tcW w:w="614" w:type="pct"/>
            <w:vAlign w:val="center"/>
            <w:hideMark/>
          </w:tcPr>
          <w:p w14:paraId="7DE58EF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6AAA7E4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29BB875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#83</w:t>
            </w:r>
          </w:p>
        </w:tc>
        <w:tc>
          <w:tcPr>
            <w:tcW w:w="423" w:type="pct"/>
            <w:vAlign w:val="center"/>
            <w:hideMark/>
          </w:tcPr>
          <w:p w14:paraId="1A44FA9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634F2E3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#83</w:t>
            </w:r>
          </w:p>
        </w:tc>
        <w:tc>
          <w:tcPr>
            <w:tcW w:w="474" w:type="pct"/>
            <w:vAlign w:val="center"/>
            <w:hideMark/>
          </w:tcPr>
          <w:p w14:paraId="6FAD551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67A5398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489CCD7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4283AE9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073DCF95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5A8AC6BF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Role model </w:t>
            </w:r>
          </w:p>
        </w:tc>
        <w:tc>
          <w:tcPr>
            <w:tcW w:w="614" w:type="pct"/>
            <w:vAlign w:val="center"/>
            <w:hideMark/>
          </w:tcPr>
          <w:p w14:paraId="18F76FE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#83, #79</w:t>
            </w:r>
          </w:p>
        </w:tc>
        <w:tc>
          <w:tcPr>
            <w:tcW w:w="438" w:type="pct"/>
            <w:vAlign w:val="center"/>
            <w:hideMark/>
          </w:tcPr>
          <w:p w14:paraId="678D5EB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357866B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  <w:hideMark/>
          </w:tcPr>
          <w:p w14:paraId="6709E74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#83</w:t>
            </w:r>
          </w:p>
        </w:tc>
        <w:tc>
          <w:tcPr>
            <w:tcW w:w="257" w:type="pct"/>
            <w:vAlign w:val="center"/>
            <w:hideMark/>
          </w:tcPr>
          <w:p w14:paraId="01F981D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5BF76ED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3E644ED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2930FD4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577038B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648D057D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69513296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Sociodemographic aspects</w:t>
            </w:r>
          </w:p>
        </w:tc>
        <w:tc>
          <w:tcPr>
            <w:tcW w:w="614" w:type="pct"/>
            <w:vAlign w:val="center"/>
            <w:hideMark/>
          </w:tcPr>
          <w:p w14:paraId="6B0E8BD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2816BD4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0B67F31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  <w:hideMark/>
          </w:tcPr>
          <w:p w14:paraId="2DE53F8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4EC1E74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7FD3014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5CE4391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3A6EE16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4ACAE3A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38FD6BAF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11187B9B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Age </w:t>
            </w:r>
          </w:p>
        </w:tc>
        <w:tc>
          <w:tcPr>
            <w:tcW w:w="614" w:type="pct"/>
            <w:vAlign w:val="center"/>
            <w:hideMark/>
          </w:tcPr>
          <w:p w14:paraId="734AB21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139DF7F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#39, #89, #90</w:t>
            </w:r>
          </w:p>
        </w:tc>
        <w:tc>
          <w:tcPr>
            <w:tcW w:w="1153" w:type="pct"/>
            <w:vAlign w:val="center"/>
            <w:hideMark/>
          </w:tcPr>
          <w:p w14:paraId="2E3E84C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#1, #31, #67, #86, #106</w:t>
            </w:r>
          </w:p>
        </w:tc>
        <w:tc>
          <w:tcPr>
            <w:tcW w:w="423" w:type="pct"/>
            <w:vAlign w:val="center"/>
            <w:hideMark/>
          </w:tcPr>
          <w:p w14:paraId="2F790CD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#89</w:t>
            </w:r>
          </w:p>
        </w:tc>
        <w:tc>
          <w:tcPr>
            <w:tcW w:w="257" w:type="pct"/>
            <w:vAlign w:val="center"/>
            <w:hideMark/>
          </w:tcPr>
          <w:p w14:paraId="51EEEE5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#39, #67, #74</w:t>
            </w:r>
          </w:p>
        </w:tc>
        <w:tc>
          <w:tcPr>
            <w:tcW w:w="474" w:type="pct"/>
            <w:vAlign w:val="center"/>
            <w:hideMark/>
          </w:tcPr>
          <w:p w14:paraId="563B90E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4633827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41216CD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#103, #108</w:t>
            </w:r>
          </w:p>
        </w:tc>
        <w:tc>
          <w:tcPr>
            <w:tcW w:w="253" w:type="pct"/>
            <w:vAlign w:val="center"/>
            <w:hideMark/>
          </w:tcPr>
          <w:p w14:paraId="3A5A65B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2DDCA571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6D18ED9E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Education</w:t>
            </w:r>
          </w:p>
        </w:tc>
        <w:tc>
          <w:tcPr>
            <w:tcW w:w="614" w:type="pct"/>
            <w:vAlign w:val="center"/>
            <w:hideMark/>
          </w:tcPr>
          <w:p w14:paraId="7060A67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#24, #50, #62, #65, #69, #83, #86, #95</w:t>
            </w:r>
          </w:p>
        </w:tc>
        <w:tc>
          <w:tcPr>
            <w:tcW w:w="438" w:type="pct"/>
            <w:vAlign w:val="center"/>
            <w:hideMark/>
          </w:tcPr>
          <w:p w14:paraId="46DEAB3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#90</w:t>
            </w:r>
          </w:p>
        </w:tc>
        <w:tc>
          <w:tcPr>
            <w:tcW w:w="1153" w:type="pct"/>
            <w:vAlign w:val="center"/>
            <w:hideMark/>
          </w:tcPr>
          <w:p w14:paraId="675C7A8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#39, #67, #76, #89, #101, #106</w:t>
            </w:r>
          </w:p>
        </w:tc>
        <w:tc>
          <w:tcPr>
            <w:tcW w:w="423" w:type="pct"/>
            <w:vAlign w:val="center"/>
            <w:hideMark/>
          </w:tcPr>
          <w:p w14:paraId="61D4B945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#49, #62</w:t>
            </w:r>
          </w:p>
        </w:tc>
        <w:tc>
          <w:tcPr>
            <w:tcW w:w="257" w:type="pct"/>
            <w:vAlign w:val="center"/>
            <w:hideMark/>
          </w:tcPr>
          <w:p w14:paraId="38D4896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#74, #83</w:t>
            </w:r>
          </w:p>
        </w:tc>
        <w:tc>
          <w:tcPr>
            <w:tcW w:w="474" w:type="pct"/>
            <w:vAlign w:val="center"/>
            <w:hideMark/>
          </w:tcPr>
          <w:p w14:paraId="4CA8C9A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#39, #67, #89</w:t>
            </w:r>
          </w:p>
        </w:tc>
        <w:tc>
          <w:tcPr>
            <w:tcW w:w="201" w:type="pct"/>
            <w:vAlign w:val="center"/>
            <w:hideMark/>
          </w:tcPr>
          <w:p w14:paraId="024CE835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5B74F93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#103, #108</w:t>
            </w:r>
          </w:p>
        </w:tc>
        <w:tc>
          <w:tcPr>
            <w:tcW w:w="253" w:type="pct"/>
            <w:vAlign w:val="center"/>
            <w:hideMark/>
          </w:tcPr>
          <w:p w14:paraId="318A9E0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#13, #29, #77</w:t>
            </w:r>
          </w:p>
        </w:tc>
      </w:tr>
      <w:tr w:rsidR="00A34421" w:rsidRPr="00DF2377" w14:paraId="23400CCC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04C3BD6A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Income  </w:t>
            </w:r>
          </w:p>
        </w:tc>
        <w:tc>
          <w:tcPr>
            <w:tcW w:w="614" w:type="pct"/>
            <w:vAlign w:val="center"/>
            <w:hideMark/>
          </w:tcPr>
          <w:p w14:paraId="64464B6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#6, #20, #24, #64, #76, #95, #98, #105</w:t>
            </w:r>
          </w:p>
        </w:tc>
        <w:tc>
          <w:tcPr>
            <w:tcW w:w="438" w:type="pct"/>
            <w:vAlign w:val="center"/>
            <w:hideMark/>
          </w:tcPr>
          <w:p w14:paraId="77C845B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#46, #72</w:t>
            </w:r>
          </w:p>
        </w:tc>
        <w:tc>
          <w:tcPr>
            <w:tcW w:w="1153" w:type="pct"/>
            <w:vAlign w:val="center"/>
            <w:hideMark/>
          </w:tcPr>
          <w:p w14:paraId="5928B695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#88, #90</w:t>
            </w:r>
          </w:p>
        </w:tc>
        <w:tc>
          <w:tcPr>
            <w:tcW w:w="423" w:type="pct"/>
            <w:vAlign w:val="center"/>
            <w:hideMark/>
          </w:tcPr>
          <w:p w14:paraId="09F1584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0AD3A58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#74</w:t>
            </w:r>
          </w:p>
        </w:tc>
        <w:tc>
          <w:tcPr>
            <w:tcW w:w="474" w:type="pct"/>
            <w:vAlign w:val="center"/>
            <w:hideMark/>
          </w:tcPr>
          <w:p w14:paraId="748320A9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#49, #72</w:t>
            </w:r>
          </w:p>
        </w:tc>
        <w:tc>
          <w:tcPr>
            <w:tcW w:w="201" w:type="pct"/>
            <w:vAlign w:val="center"/>
            <w:hideMark/>
          </w:tcPr>
          <w:p w14:paraId="6588D8B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#13, #29</w:t>
            </w:r>
          </w:p>
        </w:tc>
        <w:tc>
          <w:tcPr>
            <w:tcW w:w="252" w:type="pct"/>
            <w:vAlign w:val="center"/>
            <w:hideMark/>
          </w:tcPr>
          <w:p w14:paraId="4DEE14A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#103, #108</w:t>
            </w:r>
          </w:p>
        </w:tc>
        <w:tc>
          <w:tcPr>
            <w:tcW w:w="253" w:type="pct"/>
            <w:vAlign w:val="center"/>
            <w:hideMark/>
          </w:tcPr>
          <w:p w14:paraId="419C464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4808C2EA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6B37B823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Having a partner  </w:t>
            </w:r>
          </w:p>
        </w:tc>
        <w:tc>
          <w:tcPr>
            <w:tcW w:w="614" w:type="pct"/>
            <w:vAlign w:val="center"/>
            <w:hideMark/>
          </w:tcPr>
          <w:p w14:paraId="53A0023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bookmarkStart w:id="0" w:name="_Hlk204861255"/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#1, #50, #63, #95, #107</w:t>
            </w:r>
            <w:bookmarkEnd w:id="0"/>
          </w:p>
        </w:tc>
        <w:tc>
          <w:tcPr>
            <w:tcW w:w="438" w:type="pct"/>
            <w:vAlign w:val="center"/>
            <w:hideMark/>
          </w:tcPr>
          <w:p w14:paraId="3C82AAD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#27, #39, #62</w:t>
            </w:r>
          </w:p>
        </w:tc>
        <w:tc>
          <w:tcPr>
            <w:tcW w:w="1153" w:type="pct"/>
            <w:vAlign w:val="center"/>
            <w:hideMark/>
          </w:tcPr>
          <w:p w14:paraId="7BDFC06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23" w:type="pct"/>
            <w:vAlign w:val="center"/>
            <w:hideMark/>
          </w:tcPr>
          <w:p w14:paraId="51E6381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257" w:type="pct"/>
            <w:vAlign w:val="center"/>
            <w:hideMark/>
          </w:tcPr>
          <w:p w14:paraId="0803AFF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</w:t>
            </w:r>
          </w:p>
        </w:tc>
        <w:tc>
          <w:tcPr>
            <w:tcW w:w="474" w:type="pct"/>
            <w:vAlign w:val="center"/>
            <w:hideMark/>
          </w:tcPr>
          <w:p w14:paraId="108355A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1978B75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471F354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#103, #108</w:t>
            </w:r>
          </w:p>
        </w:tc>
        <w:tc>
          <w:tcPr>
            <w:tcW w:w="253" w:type="pct"/>
            <w:vAlign w:val="center"/>
            <w:hideMark/>
          </w:tcPr>
          <w:p w14:paraId="134B3A5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135145C2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132A5929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Being employed </w:t>
            </w:r>
          </w:p>
        </w:tc>
        <w:tc>
          <w:tcPr>
            <w:tcW w:w="614" w:type="pct"/>
            <w:vAlign w:val="center"/>
            <w:hideMark/>
          </w:tcPr>
          <w:p w14:paraId="5AAB3EA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#16, #50, #55, #62</w:t>
            </w:r>
          </w:p>
        </w:tc>
        <w:tc>
          <w:tcPr>
            <w:tcW w:w="438" w:type="pct"/>
            <w:vAlign w:val="center"/>
            <w:hideMark/>
          </w:tcPr>
          <w:p w14:paraId="7690694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1D24DC3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23" w:type="pct"/>
            <w:vAlign w:val="center"/>
            <w:hideMark/>
          </w:tcPr>
          <w:p w14:paraId="2A20B54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#49, #62</w:t>
            </w:r>
          </w:p>
        </w:tc>
        <w:tc>
          <w:tcPr>
            <w:tcW w:w="257" w:type="pct"/>
            <w:vAlign w:val="center"/>
            <w:hideMark/>
          </w:tcPr>
          <w:p w14:paraId="43D7E87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#55</w:t>
            </w:r>
          </w:p>
        </w:tc>
        <w:tc>
          <w:tcPr>
            <w:tcW w:w="474" w:type="pct"/>
            <w:vAlign w:val="center"/>
            <w:hideMark/>
          </w:tcPr>
          <w:p w14:paraId="4CFF195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01" w:type="pct"/>
            <w:vAlign w:val="center"/>
            <w:hideMark/>
          </w:tcPr>
          <w:p w14:paraId="717C0A3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3EA0407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24D4D08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1FFBDDF9" w14:textId="77777777" w:rsidTr="005A4CD5">
        <w:trPr>
          <w:cantSplit/>
          <w:trHeight w:val="20"/>
        </w:trPr>
        <w:tc>
          <w:tcPr>
            <w:tcW w:w="935" w:type="pct"/>
            <w:vAlign w:val="center"/>
          </w:tcPr>
          <w:p w14:paraId="2FEDCE1D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Migrant background</w:t>
            </w:r>
          </w:p>
        </w:tc>
        <w:tc>
          <w:tcPr>
            <w:tcW w:w="614" w:type="pct"/>
            <w:vAlign w:val="center"/>
          </w:tcPr>
          <w:p w14:paraId="5108EF9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5EDBA75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1153" w:type="pct"/>
            <w:vAlign w:val="center"/>
          </w:tcPr>
          <w:p w14:paraId="2BB01671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#1, #24, #39, #50, #76, #86, #95, #101</w:t>
            </w:r>
          </w:p>
        </w:tc>
        <w:tc>
          <w:tcPr>
            <w:tcW w:w="423" w:type="pct"/>
            <w:vAlign w:val="center"/>
          </w:tcPr>
          <w:p w14:paraId="1D59B25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</w:t>
            </w:r>
          </w:p>
        </w:tc>
        <w:tc>
          <w:tcPr>
            <w:tcW w:w="257" w:type="pct"/>
            <w:vAlign w:val="center"/>
          </w:tcPr>
          <w:p w14:paraId="151C4DF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79E6B3D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#39, #62</w:t>
            </w:r>
          </w:p>
        </w:tc>
        <w:tc>
          <w:tcPr>
            <w:tcW w:w="201" w:type="pct"/>
            <w:vAlign w:val="center"/>
          </w:tcPr>
          <w:p w14:paraId="228E667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4BFEE7E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0D12A97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2267ACD3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1C7F6596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General health</w:t>
            </w:r>
          </w:p>
        </w:tc>
        <w:tc>
          <w:tcPr>
            <w:tcW w:w="614" w:type="pct"/>
            <w:vAlign w:val="center"/>
            <w:hideMark/>
          </w:tcPr>
          <w:p w14:paraId="5E68F3F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7B637D8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32D486F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  <w:hideMark/>
          </w:tcPr>
          <w:p w14:paraId="1E4B0F4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40968E5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6AE0184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3210C9E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491EF9B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445F986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182FD2DE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7E5DCD9A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Sleep difficulties </w:t>
            </w:r>
          </w:p>
        </w:tc>
        <w:tc>
          <w:tcPr>
            <w:tcW w:w="614" w:type="pct"/>
            <w:vAlign w:val="center"/>
            <w:hideMark/>
          </w:tcPr>
          <w:p w14:paraId="6FA57A9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38" w:type="pct"/>
            <w:vAlign w:val="center"/>
            <w:hideMark/>
          </w:tcPr>
          <w:p w14:paraId="3A5BDCA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712BB8C5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#14, #55, #93</w:t>
            </w:r>
          </w:p>
        </w:tc>
        <w:tc>
          <w:tcPr>
            <w:tcW w:w="423" w:type="pct"/>
            <w:vAlign w:val="center"/>
            <w:hideMark/>
          </w:tcPr>
          <w:p w14:paraId="355C44D2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2FC8EB7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49FD9FB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21E478B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54F79A0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39DE174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4BEE5356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7DB93A7A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Physical health </w:t>
            </w:r>
          </w:p>
        </w:tc>
        <w:tc>
          <w:tcPr>
            <w:tcW w:w="614" w:type="pct"/>
            <w:vAlign w:val="center"/>
            <w:hideMark/>
          </w:tcPr>
          <w:p w14:paraId="4605647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#4, #55, #106</w:t>
            </w:r>
          </w:p>
        </w:tc>
        <w:tc>
          <w:tcPr>
            <w:tcW w:w="438" w:type="pct"/>
            <w:vAlign w:val="center"/>
            <w:hideMark/>
          </w:tcPr>
          <w:p w14:paraId="57ECE726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366C918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23" w:type="pct"/>
            <w:vAlign w:val="center"/>
            <w:hideMark/>
          </w:tcPr>
          <w:p w14:paraId="7E185B2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#55</w:t>
            </w:r>
          </w:p>
        </w:tc>
        <w:tc>
          <w:tcPr>
            <w:tcW w:w="257" w:type="pct"/>
            <w:vAlign w:val="center"/>
            <w:hideMark/>
          </w:tcPr>
          <w:p w14:paraId="076F042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48FFED9E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1D4B93E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#7, #77</w:t>
            </w:r>
          </w:p>
        </w:tc>
        <w:tc>
          <w:tcPr>
            <w:tcW w:w="252" w:type="pct"/>
            <w:vAlign w:val="center"/>
            <w:hideMark/>
          </w:tcPr>
          <w:p w14:paraId="7774CB2B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56A325C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32D4093D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10FFDB9E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Psychological aspects</w:t>
            </w:r>
          </w:p>
        </w:tc>
        <w:tc>
          <w:tcPr>
            <w:tcW w:w="614" w:type="pct"/>
            <w:vAlign w:val="center"/>
            <w:hideMark/>
          </w:tcPr>
          <w:p w14:paraId="4298F9E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01B864B9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  <w:hideMark/>
          </w:tcPr>
          <w:p w14:paraId="19FCB11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  <w:hideMark/>
          </w:tcPr>
          <w:p w14:paraId="0E22E62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6BE41705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  <w:hideMark/>
          </w:tcPr>
          <w:p w14:paraId="2854052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3A56065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113D8C9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0147996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A34421" w:rsidRPr="00DF2377" w14:paraId="7386936D" w14:textId="77777777" w:rsidTr="005A4CD5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0B732B54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Internalizing symptoms (e.g., depressive symptoms) </w:t>
            </w:r>
          </w:p>
        </w:tc>
        <w:tc>
          <w:tcPr>
            <w:tcW w:w="614" w:type="pct"/>
            <w:vAlign w:val="center"/>
            <w:hideMark/>
          </w:tcPr>
          <w:p w14:paraId="5C51DD0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  <w:hideMark/>
          </w:tcPr>
          <w:p w14:paraId="4B99AE9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#72, #104</w:t>
            </w:r>
          </w:p>
        </w:tc>
        <w:tc>
          <w:tcPr>
            <w:tcW w:w="1153" w:type="pct"/>
            <w:vAlign w:val="center"/>
            <w:hideMark/>
          </w:tcPr>
          <w:p w14:paraId="61CB08C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#9, #14, #17, #23, #24, #33, #44, #47, #60, #62, #64, #67, #75, #78, #86, #88, #96, #101, #102, #104, #106, #107</w:t>
            </w:r>
          </w:p>
        </w:tc>
        <w:tc>
          <w:tcPr>
            <w:tcW w:w="423" w:type="pct"/>
            <w:vAlign w:val="center"/>
            <w:hideMark/>
          </w:tcPr>
          <w:p w14:paraId="451CB02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  <w:hideMark/>
          </w:tcPr>
          <w:p w14:paraId="789EBDA7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#74</w:t>
            </w:r>
          </w:p>
        </w:tc>
        <w:tc>
          <w:tcPr>
            <w:tcW w:w="474" w:type="pct"/>
            <w:vAlign w:val="center"/>
            <w:hideMark/>
          </w:tcPr>
          <w:p w14:paraId="7CDEA8AC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#23, #28, #44, #47, #71, #72, #75, #82</w:t>
            </w:r>
          </w:p>
        </w:tc>
        <w:tc>
          <w:tcPr>
            <w:tcW w:w="201" w:type="pct"/>
            <w:vAlign w:val="center"/>
            <w:hideMark/>
          </w:tcPr>
          <w:p w14:paraId="04F9DC2D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  <w:hideMark/>
          </w:tcPr>
          <w:p w14:paraId="00807069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5A65194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#29, #108</w:t>
            </w:r>
          </w:p>
        </w:tc>
      </w:tr>
      <w:tr w:rsidR="00A34421" w:rsidRPr="00DF2377" w14:paraId="4A2C42B8" w14:textId="77777777" w:rsidTr="006851AB">
        <w:trPr>
          <w:cantSplit/>
          <w:trHeight w:val="20"/>
        </w:trPr>
        <w:tc>
          <w:tcPr>
            <w:tcW w:w="935" w:type="pct"/>
            <w:vAlign w:val="center"/>
            <w:hideMark/>
          </w:tcPr>
          <w:p w14:paraId="0CD2A67A" w14:textId="77777777" w:rsidR="00A34421" w:rsidRPr="00DF2377" w:rsidRDefault="00A34421" w:rsidP="005A4CD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Cognitive factors (e.g., self-efficacy, resilience)</w:t>
            </w:r>
          </w:p>
        </w:tc>
        <w:tc>
          <w:tcPr>
            <w:tcW w:w="614" w:type="pct"/>
            <w:vAlign w:val="center"/>
            <w:hideMark/>
          </w:tcPr>
          <w:p w14:paraId="08493CC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#11, #47, #64, #76, #83, #91, #107</w:t>
            </w:r>
          </w:p>
        </w:tc>
        <w:tc>
          <w:tcPr>
            <w:tcW w:w="438" w:type="pct"/>
            <w:vAlign w:val="center"/>
            <w:hideMark/>
          </w:tcPr>
          <w:p w14:paraId="7CACBF48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#19, #67, #73, #87</w:t>
            </w:r>
          </w:p>
        </w:tc>
        <w:tc>
          <w:tcPr>
            <w:tcW w:w="1153" w:type="pct"/>
            <w:vAlign w:val="center"/>
            <w:hideMark/>
          </w:tcPr>
          <w:p w14:paraId="0A332113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#67</w:t>
            </w:r>
          </w:p>
        </w:tc>
        <w:tc>
          <w:tcPr>
            <w:tcW w:w="423" w:type="pct"/>
            <w:vAlign w:val="center"/>
            <w:hideMark/>
          </w:tcPr>
          <w:p w14:paraId="66888960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#19, #47, #49, #71, #72, #83</w:t>
            </w:r>
          </w:p>
        </w:tc>
        <w:tc>
          <w:tcPr>
            <w:tcW w:w="257" w:type="pct"/>
            <w:vAlign w:val="center"/>
            <w:hideMark/>
          </w:tcPr>
          <w:p w14:paraId="1F0B1FE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#19, #67</w:t>
            </w:r>
          </w:p>
        </w:tc>
        <w:tc>
          <w:tcPr>
            <w:tcW w:w="474" w:type="pct"/>
            <w:vAlign w:val="center"/>
            <w:hideMark/>
          </w:tcPr>
          <w:p w14:paraId="08D4070A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  <w:hideMark/>
          </w:tcPr>
          <w:p w14:paraId="491EB27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#61, #77</w:t>
            </w:r>
          </w:p>
        </w:tc>
        <w:tc>
          <w:tcPr>
            <w:tcW w:w="252" w:type="pct"/>
            <w:vAlign w:val="center"/>
            <w:hideMark/>
          </w:tcPr>
          <w:p w14:paraId="39B27DE4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  <w:hideMark/>
          </w:tcPr>
          <w:p w14:paraId="0F945FCF" w14:textId="77777777" w:rsidR="00A34421" w:rsidRPr="00DF2377" w:rsidRDefault="00A34421" w:rsidP="005A4C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7F1E42B9" w14:textId="77777777" w:rsidTr="006851AB">
        <w:trPr>
          <w:cantSplit/>
          <w:trHeight w:val="20"/>
        </w:trPr>
        <w:tc>
          <w:tcPr>
            <w:tcW w:w="935" w:type="pct"/>
            <w:vAlign w:val="center"/>
          </w:tcPr>
          <w:p w14:paraId="7E6CF1A0" w14:textId="710DF925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Perinatal factors</w:t>
            </w:r>
          </w:p>
        </w:tc>
        <w:tc>
          <w:tcPr>
            <w:tcW w:w="614" w:type="pct"/>
            <w:vAlign w:val="center"/>
          </w:tcPr>
          <w:p w14:paraId="347E7DAA" w14:textId="401BEAF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73A7A404" w14:textId="0A12D124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014C35AD" w14:textId="0EEE14C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</w:tcPr>
          <w:p w14:paraId="63B3EA03" w14:textId="5E9F7001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08256FD4" w14:textId="2598B72C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1F3FC4D3" w14:textId="6EB7E088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</w:tcPr>
          <w:p w14:paraId="6C6E9DF4" w14:textId="1F2DC189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6AAE8888" w14:textId="39666FA0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44B8C304" w14:textId="29D5123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3F66A8C7" w14:textId="77777777" w:rsidTr="006851AB">
        <w:trPr>
          <w:cantSplit/>
          <w:trHeight w:val="20"/>
        </w:trPr>
        <w:tc>
          <w:tcPr>
            <w:tcW w:w="935" w:type="pct"/>
            <w:vAlign w:val="center"/>
          </w:tcPr>
          <w:p w14:paraId="46F29DFB" w14:textId="6E286739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Pregnancy intention </w:t>
            </w:r>
          </w:p>
        </w:tc>
        <w:tc>
          <w:tcPr>
            <w:tcW w:w="614" w:type="pct"/>
            <w:vAlign w:val="center"/>
          </w:tcPr>
          <w:p w14:paraId="64A379E0" w14:textId="1F0CEC19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#57</w:t>
            </w:r>
          </w:p>
        </w:tc>
        <w:tc>
          <w:tcPr>
            <w:tcW w:w="438" w:type="pct"/>
            <w:vAlign w:val="center"/>
          </w:tcPr>
          <w:p w14:paraId="6E878274" w14:textId="4DCA2E42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5FA4948C" w14:textId="605D7623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#18</w:t>
            </w:r>
          </w:p>
        </w:tc>
        <w:tc>
          <w:tcPr>
            <w:tcW w:w="423" w:type="pct"/>
            <w:vAlign w:val="center"/>
          </w:tcPr>
          <w:p w14:paraId="47E3BB2A" w14:textId="7C8A069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06902137" w14:textId="562B9B9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6256DE1F" w14:textId="61FC7CF7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</w:tcPr>
          <w:p w14:paraId="39942C5F" w14:textId="2E5307C4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</w:t>
            </w:r>
          </w:p>
        </w:tc>
        <w:tc>
          <w:tcPr>
            <w:tcW w:w="252" w:type="pct"/>
            <w:vAlign w:val="center"/>
          </w:tcPr>
          <w:p w14:paraId="0476FB94" w14:textId="425DC398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639DFFAE" w14:textId="22256C72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69A51EED" w14:textId="77777777" w:rsidTr="006851AB">
        <w:trPr>
          <w:cantSplit/>
          <w:trHeight w:val="20"/>
        </w:trPr>
        <w:tc>
          <w:tcPr>
            <w:tcW w:w="935" w:type="pct"/>
            <w:vAlign w:val="center"/>
          </w:tcPr>
          <w:p w14:paraId="6065A9B7" w14:textId="10BE1D2B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Pregnancy risk</w:t>
            </w:r>
          </w:p>
        </w:tc>
        <w:tc>
          <w:tcPr>
            <w:tcW w:w="614" w:type="pct"/>
            <w:vAlign w:val="center"/>
          </w:tcPr>
          <w:p w14:paraId="372CC000" w14:textId="6871C699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4ACE96C4" w14:textId="6FDCBC7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727AC414" w14:textId="0236F5C1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vAlign w:val="center"/>
          </w:tcPr>
          <w:p w14:paraId="6AC11C2A" w14:textId="117E9C6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0D625C7D" w14:textId="414299C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1182EA19" w14:textId="33120B8F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</w:tcPr>
          <w:p w14:paraId="665B8DE2" w14:textId="5652437E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#23</w:t>
            </w:r>
          </w:p>
        </w:tc>
        <w:tc>
          <w:tcPr>
            <w:tcW w:w="252" w:type="pct"/>
            <w:vAlign w:val="center"/>
          </w:tcPr>
          <w:p w14:paraId="615EF7E8" w14:textId="2CF40ABF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13597333" w14:textId="294D104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#26</w:t>
            </w:r>
          </w:p>
        </w:tc>
      </w:tr>
      <w:tr w:rsidR="006851AB" w:rsidRPr="00DF2377" w14:paraId="4EF4EF39" w14:textId="77777777" w:rsidTr="006851AB">
        <w:trPr>
          <w:cantSplit/>
          <w:trHeight w:val="20"/>
        </w:trPr>
        <w:tc>
          <w:tcPr>
            <w:tcW w:w="935" w:type="pct"/>
            <w:vAlign w:val="center"/>
          </w:tcPr>
          <w:p w14:paraId="7EA05B29" w14:textId="0C76A4A1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Prenatal emotional experiences </w:t>
            </w:r>
          </w:p>
        </w:tc>
        <w:tc>
          <w:tcPr>
            <w:tcW w:w="614" w:type="pct"/>
            <w:vAlign w:val="center"/>
          </w:tcPr>
          <w:p w14:paraId="68D637C4" w14:textId="3E965B60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#37</w:t>
            </w:r>
          </w:p>
        </w:tc>
        <w:tc>
          <w:tcPr>
            <w:tcW w:w="438" w:type="pct"/>
            <w:vAlign w:val="center"/>
          </w:tcPr>
          <w:p w14:paraId="7D264E6A" w14:textId="293C5621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#104 </w:t>
            </w:r>
          </w:p>
        </w:tc>
        <w:tc>
          <w:tcPr>
            <w:tcW w:w="1153" w:type="pct"/>
            <w:vAlign w:val="center"/>
          </w:tcPr>
          <w:p w14:paraId="419B2E25" w14:textId="0AC10B2E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#23, #85, #96</w:t>
            </w:r>
          </w:p>
        </w:tc>
        <w:tc>
          <w:tcPr>
            <w:tcW w:w="423" w:type="pct"/>
            <w:vAlign w:val="center"/>
          </w:tcPr>
          <w:p w14:paraId="7946222C" w14:textId="2AD6995C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#37</w:t>
            </w:r>
          </w:p>
        </w:tc>
        <w:tc>
          <w:tcPr>
            <w:tcW w:w="257" w:type="pct"/>
            <w:vAlign w:val="center"/>
          </w:tcPr>
          <w:p w14:paraId="1299DEEF" w14:textId="05C63A5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340A2E7F" w14:textId="20B9B06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#38, #74</w:t>
            </w:r>
          </w:p>
        </w:tc>
        <w:tc>
          <w:tcPr>
            <w:tcW w:w="201" w:type="pct"/>
            <w:vAlign w:val="center"/>
          </w:tcPr>
          <w:p w14:paraId="05A69668" w14:textId="0EB0C56C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62E4C635" w14:textId="2E92729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7D94C275" w14:textId="4342C0BB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1DF21908" w14:textId="77777777" w:rsidTr="006851AB">
        <w:trPr>
          <w:cantSplit/>
          <w:trHeight w:val="20"/>
        </w:trPr>
        <w:tc>
          <w:tcPr>
            <w:tcW w:w="935" w:type="pct"/>
            <w:vAlign w:val="center"/>
          </w:tcPr>
          <w:p w14:paraId="258A4D21" w14:textId="72E89069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Mothers’ birth experience </w:t>
            </w:r>
          </w:p>
        </w:tc>
        <w:tc>
          <w:tcPr>
            <w:tcW w:w="614" w:type="pct"/>
            <w:vAlign w:val="center"/>
          </w:tcPr>
          <w:p w14:paraId="45BDA249" w14:textId="5EF8FB1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1707A64F" w14:textId="10C661D4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1B83EBBC" w14:textId="25A3B0C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#20, #39, #60, #91, #92, #93</w:t>
            </w:r>
          </w:p>
        </w:tc>
        <w:tc>
          <w:tcPr>
            <w:tcW w:w="423" w:type="pct"/>
            <w:vAlign w:val="center"/>
          </w:tcPr>
          <w:p w14:paraId="2EF74644" w14:textId="13C15C99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5F4F76AB" w14:textId="7C0A03B0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06886168" w14:textId="273C7A4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</w:t>
            </w:r>
          </w:p>
        </w:tc>
        <w:tc>
          <w:tcPr>
            <w:tcW w:w="201" w:type="pct"/>
            <w:vAlign w:val="center"/>
          </w:tcPr>
          <w:p w14:paraId="390D79BF" w14:textId="562C2C64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5504593F" w14:textId="77AFEB6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22E09CF5" w14:textId="32E741B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#77</w:t>
            </w:r>
          </w:p>
        </w:tc>
      </w:tr>
      <w:tr w:rsidR="006851AB" w:rsidRPr="00DF2377" w14:paraId="36C353A7" w14:textId="77777777" w:rsidTr="005927F7">
        <w:trPr>
          <w:cantSplit/>
          <w:trHeight w:val="20"/>
        </w:trPr>
        <w:tc>
          <w:tcPr>
            <w:tcW w:w="935" w:type="pct"/>
            <w:vAlign w:val="center"/>
          </w:tcPr>
          <w:p w14:paraId="695B5D99" w14:textId="6CD0B4DD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Type of labor </w:t>
            </w:r>
          </w:p>
        </w:tc>
        <w:tc>
          <w:tcPr>
            <w:tcW w:w="614" w:type="pct"/>
            <w:vAlign w:val="center"/>
          </w:tcPr>
          <w:p w14:paraId="7122B3C9" w14:textId="1DB762A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8" w:type="pct"/>
            <w:vAlign w:val="center"/>
          </w:tcPr>
          <w:p w14:paraId="5B5813DD" w14:textId="1F501E33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vAlign w:val="center"/>
          </w:tcPr>
          <w:p w14:paraId="5CFEEA36" w14:textId="5FA33E3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#54, #55</w:t>
            </w:r>
          </w:p>
        </w:tc>
        <w:tc>
          <w:tcPr>
            <w:tcW w:w="423" w:type="pct"/>
            <w:vAlign w:val="center"/>
          </w:tcPr>
          <w:p w14:paraId="3A6C0D28" w14:textId="14971DA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5E4194D1" w14:textId="0459365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#55</w:t>
            </w:r>
          </w:p>
        </w:tc>
        <w:tc>
          <w:tcPr>
            <w:tcW w:w="474" w:type="pct"/>
            <w:vAlign w:val="center"/>
          </w:tcPr>
          <w:p w14:paraId="14F6F53D" w14:textId="6D862A3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</w:tcPr>
          <w:p w14:paraId="612ADA6F" w14:textId="4F0EDA9F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440AB3C8" w14:textId="07E5E0CE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699FE93A" w14:textId="18EDE68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6A83EBD2" w14:textId="77777777" w:rsidTr="005927F7">
        <w:trPr>
          <w:cantSplit/>
          <w:trHeight w:val="20"/>
        </w:trPr>
        <w:tc>
          <w:tcPr>
            <w:tcW w:w="935" w:type="pct"/>
            <w:vAlign w:val="center"/>
          </w:tcPr>
          <w:p w14:paraId="4B73AA1A" w14:textId="61FABD0A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Breastfeeding factors </w:t>
            </w:r>
          </w:p>
        </w:tc>
        <w:tc>
          <w:tcPr>
            <w:tcW w:w="614" w:type="pct"/>
            <w:vAlign w:val="center"/>
          </w:tcPr>
          <w:p w14:paraId="2F518615" w14:textId="6B331C18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#53</w:t>
            </w:r>
          </w:p>
        </w:tc>
        <w:tc>
          <w:tcPr>
            <w:tcW w:w="438" w:type="pct"/>
            <w:vAlign w:val="center"/>
          </w:tcPr>
          <w:p w14:paraId="659196EA" w14:textId="22C9C167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#53</w:t>
            </w:r>
          </w:p>
        </w:tc>
        <w:tc>
          <w:tcPr>
            <w:tcW w:w="1153" w:type="pct"/>
            <w:vAlign w:val="center"/>
          </w:tcPr>
          <w:p w14:paraId="1D576D32" w14:textId="310D497C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#76</w:t>
            </w:r>
          </w:p>
        </w:tc>
        <w:tc>
          <w:tcPr>
            <w:tcW w:w="423" w:type="pct"/>
            <w:vAlign w:val="center"/>
          </w:tcPr>
          <w:p w14:paraId="3E04D701" w14:textId="65C8F54F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vAlign w:val="center"/>
          </w:tcPr>
          <w:p w14:paraId="5AB911E9" w14:textId="6977BAA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vAlign w:val="center"/>
          </w:tcPr>
          <w:p w14:paraId="08F0FB9A" w14:textId="31417D07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vAlign w:val="center"/>
          </w:tcPr>
          <w:p w14:paraId="1FF10243" w14:textId="38664AE3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vAlign w:val="center"/>
          </w:tcPr>
          <w:p w14:paraId="7BF08A78" w14:textId="4753BC08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vAlign w:val="center"/>
          </w:tcPr>
          <w:p w14:paraId="55FD1E65" w14:textId="72616960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6851AB" w:rsidRPr="00DF2377" w14:paraId="0FEEC58B" w14:textId="77777777" w:rsidTr="005927F7">
        <w:trPr>
          <w:cantSplit/>
          <w:trHeight w:val="20"/>
        </w:trPr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092188CD" w14:textId="561D2D34" w:rsidR="006851AB" w:rsidRPr="00DF2377" w:rsidRDefault="006851AB" w:rsidP="006851A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Pacifier users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6689C410" w14:textId="385BF73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#99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4E337E5E" w14:textId="3B27ABDB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center"/>
          </w:tcPr>
          <w:p w14:paraId="2883ACD9" w14:textId="7BF8D73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5E8ACC5C" w14:textId="1465069D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0DCEC2DC" w14:textId="02BB8058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501638CE" w14:textId="6E375222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14:paraId="7F8E0A3A" w14:textId="5B56DBF6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14:paraId="072B59A5" w14:textId="2E4155A5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14:paraId="251ACB1C" w14:textId="1B7F564A" w:rsidR="006851AB" w:rsidRPr="00DF2377" w:rsidRDefault="006851AB" w:rsidP="006851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14:paraId="56332930" w14:textId="77777777" w:rsidR="0022154D" w:rsidRPr="00DF2377" w:rsidRDefault="0022154D" w:rsidP="0022154D">
      <w:pPr>
        <w:spacing w:after="0"/>
        <w:rPr>
          <w:rFonts w:eastAsiaTheme="majorEastAsia" w:cs="Times New Roman"/>
          <w:b/>
          <w:i/>
          <w:sz w:val="20"/>
          <w:szCs w:val="20"/>
        </w:rPr>
      </w:pPr>
    </w:p>
    <w:p w14:paraId="4E2A641A" w14:textId="03BFFF7E" w:rsidR="00A34421" w:rsidRDefault="00A34421">
      <w:pPr>
        <w:rPr>
          <w:rFonts w:eastAsiaTheme="majorEastAsia" w:cs="Times New Roman"/>
          <w:b/>
          <w:i/>
          <w:sz w:val="20"/>
          <w:szCs w:val="20"/>
        </w:rPr>
      </w:pPr>
      <w:r>
        <w:rPr>
          <w:rFonts w:eastAsiaTheme="majorEastAsia" w:cs="Times New Roman"/>
          <w:b/>
          <w:i/>
          <w:sz w:val="20"/>
          <w:szCs w:val="20"/>
        </w:rPr>
        <w:br w:type="page"/>
      </w:r>
    </w:p>
    <w:p w14:paraId="77B92B35" w14:textId="77777777" w:rsidR="0022154D" w:rsidRPr="00DF2377" w:rsidRDefault="0022154D" w:rsidP="0022154D">
      <w:pPr>
        <w:spacing w:after="0"/>
        <w:rPr>
          <w:rFonts w:eastAsiaTheme="majorEastAsia" w:cs="Times New Roman"/>
          <w:b/>
          <w:i/>
          <w:sz w:val="20"/>
          <w:szCs w:val="20"/>
        </w:rPr>
      </w:pPr>
    </w:p>
    <w:p w14:paraId="4B4F2112" w14:textId="77777777" w:rsidR="0022154D" w:rsidRPr="00DF2377" w:rsidRDefault="0022154D" w:rsidP="0022154D">
      <w:pPr>
        <w:spacing w:after="0"/>
        <w:rPr>
          <w:rFonts w:eastAsiaTheme="majorEastAsia" w:cs="Times New Roman"/>
          <w:b/>
          <w:i/>
          <w:sz w:val="20"/>
          <w:szCs w:val="20"/>
        </w:rPr>
      </w:pPr>
    </w:p>
    <w:tbl>
      <w:tblPr>
        <w:tblpPr w:leftFromText="141" w:rightFromText="141" w:vertAnchor="text" w:horzAnchor="margin" w:tblpXSpec="center" w:tblpY="-23"/>
        <w:tblOverlap w:val="never"/>
        <w:tblW w:w="5483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915"/>
        <w:gridCol w:w="255"/>
        <w:gridCol w:w="1858"/>
        <w:gridCol w:w="254"/>
        <w:gridCol w:w="1078"/>
        <w:gridCol w:w="254"/>
        <w:gridCol w:w="1191"/>
        <w:gridCol w:w="248"/>
        <w:gridCol w:w="254"/>
        <w:gridCol w:w="1016"/>
        <w:gridCol w:w="254"/>
        <w:gridCol w:w="1016"/>
        <w:gridCol w:w="254"/>
        <w:gridCol w:w="1016"/>
        <w:gridCol w:w="254"/>
        <w:gridCol w:w="46"/>
        <w:gridCol w:w="970"/>
        <w:gridCol w:w="254"/>
        <w:gridCol w:w="594"/>
        <w:gridCol w:w="254"/>
        <w:gridCol w:w="839"/>
        <w:gridCol w:w="15"/>
        <w:gridCol w:w="217"/>
      </w:tblGrid>
      <w:tr w:rsidR="0022154D" w:rsidRPr="00DF2377" w14:paraId="6FD1129F" w14:textId="77777777" w:rsidTr="0022154D">
        <w:trPr>
          <w:gridAfter w:val="2"/>
          <w:wAfter w:w="76" w:type="pct"/>
          <w:trHeight w:val="21"/>
        </w:trPr>
        <w:tc>
          <w:tcPr>
            <w:tcW w:w="4924" w:type="pct"/>
            <w:gridSpan w:val="21"/>
            <w:tcBorders>
              <w:bottom w:val="single" w:sz="4" w:space="0" w:color="auto"/>
            </w:tcBorders>
            <w:noWrap/>
            <w:vAlign w:val="center"/>
          </w:tcPr>
          <w:p w14:paraId="39042A21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Table 4. </w:t>
            </w:r>
            <w:r w:rsidRPr="00DF237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  <w:t>Relational determinants of parental stress according to sample type and direction of associations.</w:t>
            </w:r>
          </w:p>
        </w:tc>
      </w:tr>
      <w:tr w:rsidR="0022154D" w:rsidRPr="00DF2377" w14:paraId="3AF05F00" w14:textId="77777777" w:rsidTr="0022154D">
        <w:trPr>
          <w:trHeight w:val="21"/>
        </w:trPr>
        <w:tc>
          <w:tcPr>
            <w:tcW w:w="952" w:type="pct"/>
            <w:tcBorders>
              <w:bottom w:val="single" w:sz="4" w:space="0" w:color="auto"/>
            </w:tcBorders>
            <w:noWrap/>
            <w:vAlign w:val="center"/>
          </w:tcPr>
          <w:p w14:paraId="42C455CC" w14:textId="77777777" w:rsidR="0022154D" w:rsidRPr="00DF2377" w:rsidRDefault="0022154D" w:rsidP="0022154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597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4CA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Mothers</w:t>
            </w:r>
          </w:p>
        </w:tc>
        <w:tc>
          <w:tcPr>
            <w:tcW w:w="1424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5587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Fathers</w:t>
            </w:r>
          </w:p>
        </w:tc>
        <w:tc>
          <w:tcPr>
            <w:tcW w:w="1028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FB71C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Both parents</w:t>
            </w:r>
          </w:p>
        </w:tc>
      </w:tr>
      <w:tr w:rsidR="0022154D" w:rsidRPr="00DF2377" w14:paraId="0167168B" w14:textId="77777777" w:rsidTr="0022154D">
        <w:trPr>
          <w:gridAfter w:val="2"/>
          <w:wAfter w:w="77" w:type="pct"/>
          <w:trHeight w:val="21"/>
        </w:trPr>
        <w:tc>
          <w:tcPr>
            <w:tcW w:w="952" w:type="pct"/>
            <w:tcBorders>
              <w:bottom w:val="single" w:sz="4" w:space="0" w:color="auto"/>
            </w:tcBorders>
            <w:noWrap/>
            <w:vAlign w:val="center"/>
          </w:tcPr>
          <w:p w14:paraId="327954D3" w14:textId="77777777" w:rsidR="0022154D" w:rsidRPr="00DF2377" w:rsidRDefault="0022154D" w:rsidP="0022154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B7E39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Negative (-)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A3EA6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Null (0)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637E40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Positive (+)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EF5690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D888B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018303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0BDC3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0BF775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211674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</w:tr>
      <w:tr w:rsidR="0022154D" w:rsidRPr="00DF2377" w14:paraId="4E1AF149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6AD88106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Mother-Father relationship</w:t>
            </w:r>
          </w:p>
        </w:tc>
        <w:tc>
          <w:tcPr>
            <w:tcW w:w="690" w:type="pct"/>
            <w:gridSpan w:val="2"/>
            <w:vAlign w:val="center"/>
          </w:tcPr>
          <w:p w14:paraId="0EDABBAB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5" w:type="pct"/>
            <w:gridSpan w:val="2"/>
            <w:vAlign w:val="center"/>
          </w:tcPr>
          <w:p w14:paraId="785E512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553" w:type="pct"/>
            <w:gridSpan w:val="3"/>
            <w:vAlign w:val="center"/>
          </w:tcPr>
          <w:p w14:paraId="555B602A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2D850ACB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63FBD7EC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4F97723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vAlign w:val="center"/>
          </w:tcPr>
          <w:p w14:paraId="0004AC8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4E5A772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7F99E609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46BB6CE1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7AA76DD5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Marital relationship quality </w:t>
            </w:r>
          </w:p>
        </w:tc>
        <w:tc>
          <w:tcPr>
            <w:tcW w:w="690" w:type="pct"/>
            <w:gridSpan w:val="2"/>
            <w:vAlign w:val="center"/>
          </w:tcPr>
          <w:p w14:paraId="042D8F4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#2, #17, #19, #22, #27, #46, #55, #56, </w:t>
            </w:r>
            <w:r w:rsidRPr="00DF2377">
              <w:rPr>
                <w:rFonts w:cs="Times New Roman"/>
                <w:sz w:val="20"/>
                <w:szCs w:val="20"/>
              </w:rPr>
              <w:t>#94</w:t>
            </w:r>
          </w:p>
        </w:tc>
        <w:tc>
          <w:tcPr>
            <w:tcW w:w="435" w:type="pct"/>
            <w:gridSpan w:val="2"/>
            <w:vAlign w:val="center"/>
          </w:tcPr>
          <w:p w14:paraId="62DF2775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#3, #56, #84, #94</w:t>
            </w:r>
          </w:p>
        </w:tc>
        <w:tc>
          <w:tcPr>
            <w:tcW w:w="553" w:type="pct"/>
            <w:gridSpan w:val="3"/>
            <w:vAlign w:val="center"/>
          </w:tcPr>
          <w:p w14:paraId="25F98CF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#56</w:t>
            </w:r>
          </w:p>
        </w:tc>
        <w:tc>
          <w:tcPr>
            <w:tcW w:w="415" w:type="pct"/>
            <w:gridSpan w:val="2"/>
            <w:vAlign w:val="center"/>
          </w:tcPr>
          <w:p w14:paraId="71A1DB49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#2, #19, #25, #55, </w:t>
            </w:r>
            <w:r w:rsidRPr="00DF2377">
              <w:rPr>
                <w:rFonts w:cs="Times New Roman"/>
                <w:sz w:val="20"/>
                <w:szCs w:val="20"/>
              </w:rPr>
              <w:t>#107</w:t>
            </w:r>
          </w:p>
        </w:tc>
        <w:tc>
          <w:tcPr>
            <w:tcW w:w="415" w:type="pct"/>
            <w:gridSpan w:val="2"/>
            <w:vAlign w:val="center"/>
          </w:tcPr>
          <w:p w14:paraId="69666D83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#3, #19, #84, #94</w:t>
            </w:r>
          </w:p>
        </w:tc>
        <w:tc>
          <w:tcPr>
            <w:tcW w:w="415" w:type="pct"/>
            <w:gridSpan w:val="2"/>
            <w:vAlign w:val="center"/>
          </w:tcPr>
          <w:p w14:paraId="19842D4F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#74</w:t>
            </w:r>
          </w:p>
        </w:tc>
        <w:tc>
          <w:tcPr>
            <w:tcW w:w="415" w:type="pct"/>
            <w:gridSpan w:val="3"/>
            <w:vAlign w:val="center"/>
          </w:tcPr>
          <w:p w14:paraId="7ECAE6B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#32, #77, #83</w:t>
            </w:r>
          </w:p>
        </w:tc>
        <w:tc>
          <w:tcPr>
            <w:tcW w:w="277" w:type="pct"/>
            <w:gridSpan w:val="2"/>
            <w:vAlign w:val="center"/>
          </w:tcPr>
          <w:p w14:paraId="490120F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4B599524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7FD0A533" w14:textId="77777777" w:rsidTr="0022154D">
        <w:trPr>
          <w:gridAfter w:val="1"/>
          <w:wAfter w:w="72" w:type="pct"/>
          <w:trHeight w:val="86"/>
        </w:trPr>
        <w:tc>
          <w:tcPr>
            <w:tcW w:w="1035" w:type="pct"/>
            <w:gridSpan w:val="2"/>
            <w:vAlign w:val="center"/>
          </w:tcPr>
          <w:p w14:paraId="1F4CD5AC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Coparenting quality</w:t>
            </w:r>
          </w:p>
        </w:tc>
        <w:tc>
          <w:tcPr>
            <w:tcW w:w="690" w:type="pct"/>
            <w:gridSpan w:val="2"/>
            <w:vAlign w:val="center"/>
          </w:tcPr>
          <w:p w14:paraId="61ADEA7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#22, #24, #45, #63, #69, #73, #94</w:t>
            </w:r>
          </w:p>
        </w:tc>
        <w:tc>
          <w:tcPr>
            <w:tcW w:w="435" w:type="pct"/>
            <w:gridSpan w:val="2"/>
            <w:vAlign w:val="center"/>
          </w:tcPr>
          <w:p w14:paraId="6808E644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553" w:type="pct"/>
            <w:gridSpan w:val="3"/>
            <w:vAlign w:val="center"/>
          </w:tcPr>
          <w:p w14:paraId="3876B564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3D198C6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#49, #94</w:t>
            </w:r>
          </w:p>
        </w:tc>
        <w:tc>
          <w:tcPr>
            <w:tcW w:w="415" w:type="pct"/>
            <w:gridSpan w:val="2"/>
            <w:vAlign w:val="center"/>
          </w:tcPr>
          <w:p w14:paraId="182B30EB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4C006C6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#25</w:t>
            </w:r>
          </w:p>
        </w:tc>
        <w:tc>
          <w:tcPr>
            <w:tcW w:w="415" w:type="pct"/>
            <w:gridSpan w:val="3"/>
            <w:vAlign w:val="center"/>
          </w:tcPr>
          <w:p w14:paraId="474AAA3E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1671E0AC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#32</w:t>
            </w:r>
          </w:p>
        </w:tc>
        <w:tc>
          <w:tcPr>
            <w:tcW w:w="279" w:type="pct"/>
            <w:gridSpan w:val="2"/>
            <w:vAlign w:val="center"/>
          </w:tcPr>
          <w:p w14:paraId="29C4D94A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#29</w:t>
            </w:r>
          </w:p>
        </w:tc>
      </w:tr>
      <w:tr w:rsidR="0022154D" w:rsidRPr="00DF2377" w14:paraId="59425991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025E9403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Cross-over effects</w:t>
            </w:r>
          </w:p>
        </w:tc>
        <w:tc>
          <w:tcPr>
            <w:tcW w:w="690" w:type="pct"/>
            <w:gridSpan w:val="2"/>
            <w:vAlign w:val="center"/>
          </w:tcPr>
          <w:p w14:paraId="0160DB9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5" w:type="pct"/>
            <w:gridSpan w:val="2"/>
            <w:vAlign w:val="center"/>
          </w:tcPr>
          <w:p w14:paraId="7BD4A83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553" w:type="pct"/>
            <w:gridSpan w:val="3"/>
            <w:vAlign w:val="center"/>
          </w:tcPr>
          <w:p w14:paraId="2846229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25A9AEC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79A303C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7DD4A9F4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vAlign w:val="center"/>
          </w:tcPr>
          <w:p w14:paraId="6288EC8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39E7C14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0AEDA0E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6868E30E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6172EA7D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Partner psychological factors</w:t>
            </w:r>
          </w:p>
        </w:tc>
        <w:tc>
          <w:tcPr>
            <w:tcW w:w="690" w:type="pct"/>
            <w:gridSpan w:val="2"/>
            <w:vAlign w:val="center"/>
          </w:tcPr>
          <w:p w14:paraId="109A9CF2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#2, #3, #19</w:t>
            </w:r>
          </w:p>
        </w:tc>
        <w:tc>
          <w:tcPr>
            <w:tcW w:w="435" w:type="pct"/>
            <w:gridSpan w:val="2"/>
            <w:vAlign w:val="center"/>
          </w:tcPr>
          <w:p w14:paraId="1683BA19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#15, #19, #67</w:t>
            </w:r>
          </w:p>
        </w:tc>
        <w:tc>
          <w:tcPr>
            <w:tcW w:w="553" w:type="pct"/>
            <w:gridSpan w:val="3"/>
            <w:vAlign w:val="center"/>
          </w:tcPr>
          <w:p w14:paraId="5686FDD0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#47, #67</w:t>
            </w:r>
          </w:p>
        </w:tc>
        <w:tc>
          <w:tcPr>
            <w:tcW w:w="415" w:type="pct"/>
            <w:gridSpan w:val="2"/>
            <w:vAlign w:val="center"/>
          </w:tcPr>
          <w:p w14:paraId="13C3FF43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</w:t>
            </w:r>
          </w:p>
        </w:tc>
        <w:tc>
          <w:tcPr>
            <w:tcW w:w="415" w:type="pct"/>
            <w:gridSpan w:val="2"/>
            <w:vAlign w:val="center"/>
          </w:tcPr>
          <w:p w14:paraId="612479F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#3, #19</w:t>
            </w:r>
          </w:p>
        </w:tc>
        <w:tc>
          <w:tcPr>
            <w:tcW w:w="415" w:type="pct"/>
            <w:gridSpan w:val="2"/>
            <w:vAlign w:val="center"/>
          </w:tcPr>
          <w:p w14:paraId="4F68D825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#15, #19, #47, #67</w:t>
            </w:r>
          </w:p>
        </w:tc>
        <w:tc>
          <w:tcPr>
            <w:tcW w:w="415" w:type="pct"/>
            <w:gridSpan w:val="3"/>
            <w:vAlign w:val="center"/>
          </w:tcPr>
          <w:p w14:paraId="0438D93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13F2ABD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5FB61C4F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7F8860E5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1ADB808E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Partner involvement with the child</w:t>
            </w:r>
          </w:p>
        </w:tc>
        <w:tc>
          <w:tcPr>
            <w:tcW w:w="690" w:type="pct"/>
            <w:gridSpan w:val="2"/>
            <w:vAlign w:val="center"/>
          </w:tcPr>
          <w:p w14:paraId="71DF93B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#22, #58, #63</w:t>
            </w:r>
            <w:r w:rsidRPr="00DF2377">
              <w:rPr>
                <w:rFonts w:cs="Times New Roman"/>
                <w:sz w:val="20"/>
                <w:szCs w:val="20"/>
              </w:rPr>
              <w:t xml:space="preserve">, </w:t>
            </w: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#87 </w:t>
            </w:r>
          </w:p>
        </w:tc>
        <w:tc>
          <w:tcPr>
            <w:tcW w:w="435" w:type="pct"/>
            <w:gridSpan w:val="2"/>
            <w:vAlign w:val="center"/>
          </w:tcPr>
          <w:p w14:paraId="29329BF0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#86</w:t>
            </w:r>
          </w:p>
        </w:tc>
        <w:tc>
          <w:tcPr>
            <w:tcW w:w="553" w:type="pct"/>
            <w:gridSpan w:val="3"/>
            <w:vAlign w:val="center"/>
          </w:tcPr>
          <w:p w14:paraId="1595128B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#27</w:t>
            </w:r>
          </w:p>
        </w:tc>
        <w:tc>
          <w:tcPr>
            <w:tcW w:w="415" w:type="pct"/>
            <w:gridSpan w:val="2"/>
            <w:vAlign w:val="center"/>
          </w:tcPr>
          <w:p w14:paraId="12F5157F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</w:t>
            </w:r>
          </w:p>
        </w:tc>
        <w:tc>
          <w:tcPr>
            <w:tcW w:w="415" w:type="pct"/>
            <w:gridSpan w:val="2"/>
            <w:vAlign w:val="center"/>
          </w:tcPr>
          <w:p w14:paraId="5F46690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2B38EF3E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vAlign w:val="center"/>
          </w:tcPr>
          <w:p w14:paraId="423ED6FE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7FCAB452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1E74BD2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52E08D71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2DFA1D17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Parent-Child relationship</w:t>
            </w:r>
          </w:p>
        </w:tc>
        <w:tc>
          <w:tcPr>
            <w:tcW w:w="690" w:type="pct"/>
            <w:gridSpan w:val="2"/>
            <w:vAlign w:val="center"/>
          </w:tcPr>
          <w:p w14:paraId="6F3AC46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35" w:type="pct"/>
            <w:gridSpan w:val="2"/>
            <w:vAlign w:val="center"/>
          </w:tcPr>
          <w:p w14:paraId="3C8DCDCE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553" w:type="pct"/>
            <w:gridSpan w:val="3"/>
            <w:vAlign w:val="center"/>
          </w:tcPr>
          <w:p w14:paraId="271D33C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265807E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1A33DBA6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527E21A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vAlign w:val="center"/>
          </w:tcPr>
          <w:p w14:paraId="4BDE0645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1FA34F8C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572F767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797DF075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vAlign w:val="center"/>
          </w:tcPr>
          <w:p w14:paraId="0B9F1C91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Quality of parent-child relationship</w:t>
            </w:r>
          </w:p>
        </w:tc>
        <w:tc>
          <w:tcPr>
            <w:tcW w:w="690" w:type="pct"/>
            <w:gridSpan w:val="2"/>
            <w:vAlign w:val="center"/>
          </w:tcPr>
          <w:p w14:paraId="7217AB75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#21, #52, #72,</w:t>
            </w:r>
          </w:p>
        </w:tc>
        <w:tc>
          <w:tcPr>
            <w:tcW w:w="435" w:type="pct"/>
            <w:gridSpan w:val="2"/>
            <w:vAlign w:val="center"/>
          </w:tcPr>
          <w:p w14:paraId="11199DF8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#21</w:t>
            </w:r>
          </w:p>
        </w:tc>
        <w:tc>
          <w:tcPr>
            <w:tcW w:w="553" w:type="pct"/>
            <w:gridSpan w:val="3"/>
            <w:vAlign w:val="center"/>
          </w:tcPr>
          <w:p w14:paraId="1ECDED5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vAlign w:val="center"/>
          </w:tcPr>
          <w:p w14:paraId="5D15F512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#21, #28, #72</w:t>
            </w:r>
          </w:p>
        </w:tc>
        <w:tc>
          <w:tcPr>
            <w:tcW w:w="415" w:type="pct"/>
            <w:gridSpan w:val="2"/>
            <w:vAlign w:val="center"/>
          </w:tcPr>
          <w:p w14:paraId="2E6799AB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#21, #72</w:t>
            </w:r>
          </w:p>
        </w:tc>
        <w:tc>
          <w:tcPr>
            <w:tcW w:w="415" w:type="pct"/>
            <w:gridSpan w:val="2"/>
            <w:vAlign w:val="center"/>
          </w:tcPr>
          <w:p w14:paraId="577EFEB3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vAlign w:val="center"/>
          </w:tcPr>
          <w:p w14:paraId="3DFE011A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vAlign w:val="center"/>
          </w:tcPr>
          <w:p w14:paraId="547D27BF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vAlign w:val="center"/>
          </w:tcPr>
          <w:p w14:paraId="606ABA6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3BD450EF" w14:textId="77777777" w:rsidTr="0022154D">
        <w:trPr>
          <w:gridAfter w:val="1"/>
          <w:wAfter w:w="72" w:type="pct"/>
          <w:trHeight w:val="21"/>
        </w:trPr>
        <w:tc>
          <w:tcPr>
            <w:tcW w:w="1035" w:type="pct"/>
            <w:gridSpan w:val="2"/>
            <w:tcBorders>
              <w:bottom w:val="single" w:sz="4" w:space="0" w:color="auto"/>
            </w:tcBorders>
            <w:vAlign w:val="center"/>
          </w:tcPr>
          <w:p w14:paraId="6F7EC00C" w14:textId="77777777" w:rsidR="0022154D" w:rsidRPr="00DF2377" w:rsidRDefault="0022154D" w:rsidP="002215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Involvement with the child</w:t>
            </w:r>
          </w:p>
        </w:tc>
        <w:tc>
          <w:tcPr>
            <w:tcW w:w="690" w:type="pct"/>
            <w:gridSpan w:val="2"/>
            <w:tcBorders>
              <w:bottom w:val="single" w:sz="4" w:space="0" w:color="auto"/>
            </w:tcBorders>
            <w:vAlign w:val="center"/>
          </w:tcPr>
          <w:p w14:paraId="6C9A7CD3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#9, #86</w:t>
            </w:r>
          </w:p>
        </w:tc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7DB39D3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553" w:type="pct"/>
            <w:gridSpan w:val="3"/>
            <w:tcBorders>
              <w:bottom w:val="single" w:sz="4" w:space="0" w:color="auto"/>
            </w:tcBorders>
            <w:vAlign w:val="center"/>
          </w:tcPr>
          <w:p w14:paraId="6EA33CD7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415" w:type="pct"/>
            <w:gridSpan w:val="2"/>
            <w:tcBorders>
              <w:bottom w:val="single" w:sz="4" w:space="0" w:color="auto"/>
            </w:tcBorders>
            <w:vAlign w:val="center"/>
          </w:tcPr>
          <w:p w14:paraId="0761F9AC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#49, #58</w:t>
            </w:r>
          </w:p>
        </w:tc>
        <w:tc>
          <w:tcPr>
            <w:tcW w:w="415" w:type="pct"/>
            <w:gridSpan w:val="2"/>
            <w:tcBorders>
              <w:bottom w:val="single" w:sz="4" w:space="0" w:color="auto"/>
            </w:tcBorders>
            <w:vAlign w:val="center"/>
          </w:tcPr>
          <w:p w14:paraId="54B3EECF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2"/>
            <w:tcBorders>
              <w:bottom w:val="single" w:sz="4" w:space="0" w:color="auto"/>
            </w:tcBorders>
            <w:vAlign w:val="center"/>
          </w:tcPr>
          <w:p w14:paraId="15DD654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415" w:type="pct"/>
            <w:gridSpan w:val="3"/>
            <w:tcBorders>
              <w:bottom w:val="single" w:sz="4" w:space="0" w:color="auto"/>
            </w:tcBorders>
            <w:vAlign w:val="center"/>
          </w:tcPr>
          <w:p w14:paraId="6983F63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7" w:type="pct"/>
            <w:gridSpan w:val="2"/>
            <w:tcBorders>
              <w:bottom w:val="single" w:sz="4" w:space="0" w:color="auto"/>
            </w:tcBorders>
            <w:vAlign w:val="center"/>
          </w:tcPr>
          <w:p w14:paraId="068A7601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79" w:type="pct"/>
            <w:gridSpan w:val="2"/>
            <w:tcBorders>
              <w:bottom w:val="single" w:sz="4" w:space="0" w:color="auto"/>
            </w:tcBorders>
            <w:vAlign w:val="center"/>
          </w:tcPr>
          <w:p w14:paraId="08DDB0CD" w14:textId="77777777" w:rsidR="0022154D" w:rsidRPr="00DF2377" w:rsidRDefault="0022154D" w:rsidP="002215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14:paraId="7505B909" w14:textId="7C4F3429" w:rsidR="0022154D" w:rsidRDefault="0022154D">
      <w:pPr>
        <w:rPr>
          <w:rFonts w:eastAsiaTheme="majorEastAsia" w:cs="Times New Roman"/>
          <w:b/>
          <w:i/>
          <w:sz w:val="20"/>
          <w:szCs w:val="20"/>
        </w:rPr>
      </w:pPr>
    </w:p>
    <w:p w14:paraId="437310EB" w14:textId="305CD513" w:rsidR="0022154D" w:rsidRDefault="0022154D"/>
    <w:p w14:paraId="2DC13BFC" w14:textId="77777777" w:rsidR="0022154D" w:rsidRDefault="0022154D"/>
    <w:p w14:paraId="1ABF7BE1" w14:textId="77777777" w:rsidR="0022154D" w:rsidRDefault="0022154D"/>
    <w:p w14:paraId="05199DB4" w14:textId="77777777" w:rsidR="0022154D" w:rsidRDefault="0022154D"/>
    <w:p w14:paraId="69DCCF0B" w14:textId="77777777" w:rsidR="0022154D" w:rsidRDefault="0022154D"/>
    <w:p w14:paraId="2B2345EA" w14:textId="77777777" w:rsidR="0022154D" w:rsidRDefault="0022154D"/>
    <w:p w14:paraId="7A8F1589" w14:textId="77777777" w:rsidR="0022154D" w:rsidRDefault="0022154D"/>
    <w:p w14:paraId="7A08ECB2" w14:textId="77777777" w:rsidR="0022154D" w:rsidRDefault="0022154D"/>
    <w:p w14:paraId="601524CE" w14:textId="5A9FCCEB" w:rsidR="00A34421" w:rsidRDefault="00A34421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3529"/>
        <w:gridCol w:w="1770"/>
        <w:gridCol w:w="1485"/>
        <w:gridCol w:w="1588"/>
        <w:gridCol w:w="918"/>
        <w:gridCol w:w="918"/>
        <w:gridCol w:w="921"/>
        <w:gridCol w:w="916"/>
        <w:gridCol w:w="958"/>
        <w:gridCol w:w="955"/>
      </w:tblGrid>
      <w:tr w:rsidR="0022154D" w:rsidRPr="00DF2377" w14:paraId="390C0ECC" w14:textId="77777777" w:rsidTr="00A34421">
        <w:trPr>
          <w:cantSplit/>
          <w:trHeight w:val="20"/>
        </w:trPr>
        <w:tc>
          <w:tcPr>
            <w:tcW w:w="13958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1131A823" w14:textId="044418AB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lastRenderedPageBreak/>
              <w:t xml:space="preserve">Table 5. </w:t>
            </w:r>
            <w:r w:rsidRPr="00DF237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  <w:t>Contextual</w:t>
            </w: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 </w:t>
            </w:r>
            <w:r w:rsidRPr="00DF237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  <w:t>determinants of parental stress according to sample type and direction of associations.</w:t>
            </w:r>
          </w:p>
        </w:tc>
      </w:tr>
      <w:tr w:rsidR="0022154D" w:rsidRPr="00DF2377" w14:paraId="3D566FA4" w14:textId="77777777" w:rsidTr="00A34421">
        <w:trPr>
          <w:cantSplit/>
          <w:trHeight w:val="20"/>
        </w:trPr>
        <w:tc>
          <w:tcPr>
            <w:tcW w:w="3529" w:type="dxa"/>
            <w:tcBorders>
              <w:bottom w:val="single" w:sz="4" w:space="0" w:color="auto"/>
            </w:tcBorders>
            <w:noWrap/>
            <w:vAlign w:val="center"/>
          </w:tcPr>
          <w:p w14:paraId="1EA077E9" w14:textId="77777777" w:rsidR="0022154D" w:rsidRPr="00DF2377" w:rsidRDefault="0022154D" w:rsidP="00A34421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4EA4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Mothers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C8E5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Fathers</w:t>
            </w:r>
          </w:p>
        </w:tc>
        <w:tc>
          <w:tcPr>
            <w:tcW w:w="28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CA22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Both parents</w:t>
            </w:r>
          </w:p>
        </w:tc>
      </w:tr>
      <w:tr w:rsidR="0022154D" w:rsidRPr="00DF2377" w14:paraId="53BD9AA3" w14:textId="77777777" w:rsidTr="00A34421">
        <w:trPr>
          <w:cantSplit/>
          <w:trHeight w:val="20"/>
        </w:trPr>
        <w:tc>
          <w:tcPr>
            <w:tcW w:w="3529" w:type="dxa"/>
            <w:tcBorders>
              <w:bottom w:val="single" w:sz="4" w:space="0" w:color="auto"/>
            </w:tcBorders>
            <w:noWrap/>
            <w:vAlign w:val="center"/>
          </w:tcPr>
          <w:p w14:paraId="3805B182" w14:textId="77777777" w:rsidR="0022154D" w:rsidRPr="00DF2377" w:rsidRDefault="0022154D" w:rsidP="00A34421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77944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Negative (-)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804FA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Null (0)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7C3D5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Positive (+)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4A08B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3C89A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78ADB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AD499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(-)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C958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(0)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30F89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(+)</w:t>
            </w:r>
          </w:p>
        </w:tc>
      </w:tr>
      <w:tr w:rsidR="0022154D" w:rsidRPr="00DF2377" w14:paraId="38BC2014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2BE23AA1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Family context</w:t>
            </w:r>
          </w:p>
        </w:tc>
        <w:tc>
          <w:tcPr>
            <w:tcW w:w="1770" w:type="dxa"/>
            <w:vAlign w:val="center"/>
            <w:hideMark/>
          </w:tcPr>
          <w:p w14:paraId="20EFFD0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14:paraId="31CB5E9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61F7DD2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7CEB2FD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65988C0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283FBDE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30663CD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5D37B9D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3DE296B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6CEDA17D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24276AF2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Number of children </w:t>
            </w:r>
          </w:p>
        </w:tc>
        <w:tc>
          <w:tcPr>
            <w:tcW w:w="1770" w:type="dxa"/>
            <w:vAlign w:val="center"/>
            <w:hideMark/>
          </w:tcPr>
          <w:p w14:paraId="173E8AE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#50</w:t>
            </w:r>
          </w:p>
        </w:tc>
        <w:tc>
          <w:tcPr>
            <w:tcW w:w="1485" w:type="dxa"/>
            <w:vAlign w:val="center"/>
            <w:hideMark/>
          </w:tcPr>
          <w:p w14:paraId="556464B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#107</w:t>
            </w:r>
          </w:p>
        </w:tc>
        <w:tc>
          <w:tcPr>
            <w:tcW w:w="1588" w:type="dxa"/>
            <w:vAlign w:val="center"/>
            <w:hideMark/>
          </w:tcPr>
          <w:p w14:paraId="07797AC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#1, #62, #98</w:t>
            </w:r>
          </w:p>
        </w:tc>
        <w:tc>
          <w:tcPr>
            <w:tcW w:w="918" w:type="dxa"/>
            <w:vAlign w:val="center"/>
            <w:hideMark/>
          </w:tcPr>
          <w:p w14:paraId="5A690A0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#37, #74</w:t>
            </w:r>
          </w:p>
        </w:tc>
        <w:tc>
          <w:tcPr>
            <w:tcW w:w="918" w:type="dxa"/>
            <w:vAlign w:val="center"/>
            <w:hideMark/>
          </w:tcPr>
          <w:p w14:paraId="0AB181B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921" w:type="dxa"/>
            <w:vAlign w:val="center"/>
            <w:hideMark/>
          </w:tcPr>
          <w:p w14:paraId="56C8EEB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#49</w:t>
            </w:r>
          </w:p>
        </w:tc>
        <w:tc>
          <w:tcPr>
            <w:tcW w:w="916" w:type="dxa"/>
            <w:vAlign w:val="center"/>
            <w:hideMark/>
          </w:tcPr>
          <w:p w14:paraId="7579C72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5BDA0E9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#13</w:t>
            </w:r>
          </w:p>
        </w:tc>
        <w:tc>
          <w:tcPr>
            <w:tcW w:w="955" w:type="dxa"/>
            <w:vAlign w:val="center"/>
            <w:hideMark/>
          </w:tcPr>
          <w:p w14:paraId="576F892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#29, #41, #103</w:t>
            </w:r>
          </w:p>
        </w:tc>
      </w:tr>
      <w:tr w:rsidR="0022154D" w:rsidRPr="00DF2377" w14:paraId="7C8B99CD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73593011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Reproductive pathways</w:t>
            </w:r>
          </w:p>
        </w:tc>
        <w:tc>
          <w:tcPr>
            <w:tcW w:w="1770" w:type="dxa"/>
            <w:vAlign w:val="center"/>
            <w:hideMark/>
          </w:tcPr>
          <w:p w14:paraId="3F95FF8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14:paraId="7878A18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46DA915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4A0583E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50A2069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72E3A83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22BA471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sz w:val="20"/>
                <w:szCs w:val="20"/>
              </w:rPr>
              <w:t>#12</w:t>
            </w:r>
          </w:p>
        </w:tc>
        <w:tc>
          <w:tcPr>
            <w:tcW w:w="958" w:type="dxa"/>
            <w:vAlign w:val="center"/>
            <w:hideMark/>
          </w:tcPr>
          <w:p w14:paraId="5F46EF4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#10, #15, #43, #80</w:t>
            </w:r>
          </w:p>
        </w:tc>
        <w:tc>
          <w:tcPr>
            <w:tcW w:w="955" w:type="dxa"/>
            <w:vAlign w:val="center"/>
            <w:hideMark/>
          </w:tcPr>
          <w:p w14:paraId="3F56B5D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#8</w:t>
            </w:r>
          </w:p>
        </w:tc>
      </w:tr>
      <w:tr w:rsidR="0022154D" w:rsidRPr="00DF2377" w14:paraId="0F700835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1298485C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Support from friends and family  </w:t>
            </w:r>
          </w:p>
        </w:tc>
        <w:tc>
          <w:tcPr>
            <w:tcW w:w="1770" w:type="dxa"/>
            <w:vAlign w:val="center"/>
            <w:hideMark/>
          </w:tcPr>
          <w:p w14:paraId="771CA0B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 xml:space="preserve">#6, #14, #27, #33, #50, #65, #69, #70, #76, #86, #87, #89, #98, #100, #101, #107 </w:t>
            </w:r>
          </w:p>
        </w:tc>
        <w:tc>
          <w:tcPr>
            <w:tcW w:w="1485" w:type="dxa"/>
            <w:vAlign w:val="center"/>
            <w:hideMark/>
          </w:tcPr>
          <w:p w14:paraId="204DE47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#34, #104</w:t>
            </w:r>
          </w:p>
        </w:tc>
        <w:tc>
          <w:tcPr>
            <w:tcW w:w="1588" w:type="dxa"/>
            <w:vAlign w:val="center"/>
            <w:hideMark/>
          </w:tcPr>
          <w:p w14:paraId="6742A9B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0376587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#89</w:t>
            </w:r>
          </w:p>
        </w:tc>
        <w:tc>
          <w:tcPr>
            <w:tcW w:w="918" w:type="dxa"/>
            <w:vAlign w:val="center"/>
            <w:hideMark/>
          </w:tcPr>
          <w:p w14:paraId="6E2D2F9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5687839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27CFA8C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#41</w:t>
            </w:r>
          </w:p>
        </w:tc>
        <w:tc>
          <w:tcPr>
            <w:tcW w:w="958" w:type="dxa"/>
            <w:vAlign w:val="center"/>
            <w:hideMark/>
          </w:tcPr>
          <w:p w14:paraId="648B606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51FDC4B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22154D" w:rsidRPr="00DF2377" w14:paraId="58499FBD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57F7926C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External support  </w:t>
            </w:r>
          </w:p>
        </w:tc>
        <w:tc>
          <w:tcPr>
            <w:tcW w:w="1770" w:type="dxa"/>
            <w:vAlign w:val="center"/>
          </w:tcPr>
          <w:p w14:paraId="4FB929C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 xml:space="preserve">#48, #68, #95, #97 </w:t>
            </w:r>
          </w:p>
        </w:tc>
        <w:tc>
          <w:tcPr>
            <w:tcW w:w="1485" w:type="dxa"/>
            <w:vAlign w:val="center"/>
          </w:tcPr>
          <w:p w14:paraId="0D848A6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#36</w:t>
            </w:r>
          </w:p>
        </w:tc>
        <w:tc>
          <w:tcPr>
            <w:tcW w:w="1588" w:type="dxa"/>
            <w:vAlign w:val="center"/>
          </w:tcPr>
          <w:p w14:paraId="30BDE2A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7FAD606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vAlign w:val="center"/>
          </w:tcPr>
          <w:p w14:paraId="39586F0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vAlign w:val="center"/>
          </w:tcPr>
          <w:p w14:paraId="10A7C26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vAlign w:val="center"/>
          </w:tcPr>
          <w:p w14:paraId="0ED983A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#41</w:t>
            </w:r>
          </w:p>
        </w:tc>
        <w:tc>
          <w:tcPr>
            <w:tcW w:w="958" w:type="dxa"/>
            <w:vAlign w:val="center"/>
          </w:tcPr>
          <w:p w14:paraId="499C1A7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#40</w:t>
            </w:r>
          </w:p>
        </w:tc>
        <w:tc>
          <w:tcPr>
            <w:tcW w:w="955" w:type="dxa"/>
            <w:vAlign w:val="center"/>
          </w:tcPr>
          <w:p w14:paraId="04AF688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2377">
              <w:rPr>
                <w:rFonts w:cs="Times New Roman"/>
                <w:color w:val="000000"/>
                <w:sz w:val="20"/>
                <w:szCs w:val="20"/>
              </w:rPr>
              <w:t>#29, #103 </w:t>
            </w:r>
          </w:p>
        </w:tc>
      </w:tr>
      <w:tr w:rsidR="0022154D" w:rsidRPr="00DF2377" w14:paraId="3EA33320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1B82054E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sz w:val="20"/>
                <w:szCs w:val="20"/>
                <w:lang w:eastAsia="pt-PT"/>
              </w:rPr>
              <w:t>Work-related factors</w:t>
            </w:r>
          </w:p>
        </w:tc>
        <w:tc>
          <w:tcPr>
            <w:tcW w:w="1770" w:type="dxa"/>
            <w:vAlign w:val="center"/>
            <w:hideMark/>
          </w:tcPr>
          <w:p w14:paraId="66124D8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#76</w:t>
            </w:r>
          </w:p>
        </w:tc>
        <w:tc>
          <w:tcPr>
            <w:tcW w:w="1485" w:type="dxa"/>
            <w:vAlign w:val="center"/>
            <w:hideMark/>
          </w:tcPr>
          <w:p w14:paraId="6735768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0912141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#9, #16, #42, #62</w:t>
            </w:r>
          </w:p>
        </w:tc>
        <w:tc>
          <w:tcPr>
            <w:tcW w:w="918" w:type="dxa"/>
            <w:vAlign w:val="center"/>
            <w:hideMark/>
          </w:tcPr>
          <w:p w14:paraId="159A269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55C6BC4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921" w:type="dxa"/>
            <w:vAlign w:val="center"/>
            <w:hideMark/>
          </w:tcPr>
          <w:p w14:paraId="4431D8B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#62</w:t>
            </w:r>
          </w:p>
        </w:tc>
        <w:tc>
          <w:tcPr>
            <w:tcW w:w="916" w:type="dxa"/>
            <w:vAlign w:val="center"/>
            <w:hideMark/>
          </w:tcPr>
          <w:p w14:paraId="4752E38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51EF9B1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701DB48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01D9BDE2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15ED202E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Child’s characteristics</w:t>
            </w:r>
          </w:p>
        </w:tc>
        <w:tc>
          <w:tcPr>
            <w:tcW w:w="1770" w:type="dxa"/>
            <w:vAlign w:val="center"/>
          </w:tcPr>
          <w:p w14:paraId="44F8381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</w:tcPr>
          <w:p w14:paraId="018D7B3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</w:tcPr>
          <w:p w14:paraId="2BBDB0A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272F845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64F4B20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</w:tcPr>
          <w:p w14:paraId="1A5E32B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</w:tcPr>
          <w:p w14:paraId="2ACB430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</w:tcPr>
          <w:p w14:paraId="52D7737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</w:tcPr>
          <w:p w14:paraId="2E760CE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5AD70F5B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195630EA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Child's age </w:t>
            </w:r>
          </w:p>
        </w:tc>
        <w:tc>
          <w:tcPr>
            <w:tcW w:w="1770" w:type="dxa"/>
            <w:vAlign w:val="center"/>
          </w:tcPr>
          <w:p w14:paraId="1A9F422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</w:tcPr>
          <w:p w14:paraId="6AB88A2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</w:t>
            </w:r>
          </w:p>
        </w:tc>
        <w:tc>
          <w:tcPr>
            <w:tcW w:w="1588" w:type="dxa"/>
            <w:vAlign w:val="center"/>
          </w:tcPr>
          <w:p w14:paraId="449A0EA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#9, #19, #33</w:t>
            </w:r>
          </w:p>
        </w:tc>
        <w:tc>
          <w:tcPr>
            <w:tcW w:w="918" w:type="dxa"/>
            <w:vAlign w:val="center"/>
          </w:tcPr>
          <w:p w14:paraId="6530235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02C9575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#19</w:t>
            </w:r>
          </w:p>
        </w:tc>
        <w:tc>
          <w:tcPr>
            <w:tcW w:w="921" w:type="dxa"/>
            <w:vAlign w:val="center"/>
          </w:tcPr>
          <w:p w14:paraId="0128730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</w:t>
            </w:r>
          </w:p>
        </w:tc>
        <w:tc>
          <w:tcPr>
            <w:tcW w:w="916" w:type="dxa"/>
            <w:vAlign w:val="center"/>
          </w:tcPr>
          <w:p w14:paraId="07D2C0C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#32</w:t>
            </w:r>
          </w:p>
        </w:tc>
        <w:tc>
          <w:tcPr>
            <w:tcW w:w="958" w:type="dxa"/>
            <w:vAlign w:val="center"/>
          </w:tcPr>
          <w:p w14:paraId="3B39360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#108</w:t>
            </w:r>
          </w:p>
        </w:tc>
        <w:tc>
          <w:tcPr>
            <w:tcW w:w="955" w:type="dxa"/>
            <w:vAlign w:val="center"/>
          </w:tcPr>
          <w:p w14:paraId="1CD963D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#13, #29, #103</w:t>
            </w:r>
          </w:p>
        </w:tc>
      </w:tr>
      <w:tr w:rsidR="0022154D" w:rsidRPr="00DF2377" w14:paraId="76192081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07750C60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Child’s gender (ref, boy)</w:t>
            </w:r>
          </w:p>
        </w:tc>
        <w:tc>
          <w:tcPr>
            <w:tcW w:w="1770" w:type="dxa"/>
            <w:vAlign w:val="center"/>
          </w:tcPr>
          <w:p w14:paraId="30686B1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</w:tcPr>
          <w:p w14:paraId="30E0E4E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</w:t>
            </w:r>
          </w:p>
        </w:tc>
        <w:tc>
          <w:tcPr>
            <w:tcW w:w="1588" w:type="dxa"/>
            <w:vAlign w:val="center"/>
          </w:tcPr>
          <w:p w14:paraId="3EBAA82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</w:t>
            </w:r>
          </w:p>
        </w:tc>
        <w:tc>
          <w:tcPr>
            <w:tcW w:w="918" w:type="dxa"/>
            <w:vAlign w:val="center"/>
          </w:tcPr>
          <w:p w14:paraId="19D163B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10EA456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#39</w:t>
            </w:r>
          </w:p>
        </w:tc>
        <w:tc>
          <w:tcPr>
            <w:tcW w:w="921" w:type="dxa"/>
            <w:vAlign w:val="center"/>
          </w:tcPr>
          <w:p w14:paraId="0674906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</w:t>
            </w:r>
          </w:p>
        </w:tc>
        <w:tc>
          <w:tcPr>
            <w:tcW w:w="916" w:type="dxa"/>
            <w:vAlign w:val="center"/>
          </w:tcPr>
          <w:p w14:paraId="40D4840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</w:tcPr>
          <w:p w14:paraId="33DACF4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</w:tcPr>
          <w:p w14:paraId="6C4D8CA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609D9474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3D00E63B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Child's emotional/behavioral problems</w:t>
            </w:r>
          </w:p>
        </w:tc>
        <w:tc>
          <w:tcPr>
            <w:tcW w:w="1770" w:type="dxa"/>
            <w:vAlign w:val="center"/>
          </w:tcPr>
          <w:p w14:paraId="668D388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</w:tcPr>
          <w:p w14:paraId="52BE7DB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</w:tcPr>
          <w:p w14:paraId="70EAAEA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#6, #9, #24, #33, #34, #64, #70, #73, #86, #88, #89, #98</w:t>
            </w:r>
          </w:p>
        </w:tc>
        <w:tc>
          <w:tcPr>
            <w:tcW w:w="918" w:type="dxa"/>
            <w:vAlign w:val="center"/>
          </w:tcPr>
          <w:p w14:paraId="763BF5B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754E69C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</w:tcPr>
          <w:p w14:paraId="5C3D2B0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#71, #89</w:t>
            </w:r>
          </w:p>
        </w:tc>
        <w:tc>
          <w:tcPr>
            <w:tcW w:w="916" w:type="dxa"/>
            <w:vAlign w:val="center"/>
          </w:tcPr>
          <w:p w14:paraId="31A93BE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</w:tcPr>
          <w:p w14:paraId="446C173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</w:tcPr>
          <w:p w14:paraId="01C43E7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</w:t>
            </w:r>
          </w:p>
        </w:tc>
      </w:tr>
      <w:tr w:rsidR="0022154D" w:rsidRPr="00DF2377" w14:paraId="2AB487CA" w14:textId="77777777" w:rsidTr="00A34421">
        <w:trPr>
          <w:cantSplit/>
          <w:trHeight w:val="20"/>
        </w:trPr>
        <w:tc>
          <w:tcPr>
            <w:tcW w:w="3529" w:type="dxa"/>
            <w:vAlign w:val="center"/>
          </w:tcPr>
          <w:p w14:paraId="18550096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Child's developmental/cognitive problems</w:t>
            </w:r>
          </w:p>
        </w:tc>
        <w:tc>
          <w:tcPr>
            <w:tcW w:w="1770" w:type="dxa"/>
            <w:vAlign w:val="center"/>
          </w:tcPr>
          <w:p w14:paraId="100427D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</w:tcPr>
          <w:p w14:paraId="0A789F6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</w:tcPr>
          <w:p w14:paraId="5086D18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#33, #58</w:t>
            </w:r>
          </w:p>
        </w:tc>
        <w:tc>
          <w:tcPr>
            <w:tcW w:w="918" w:type="dxa"/>
            <w:vAlign w:val="center"/>
          </w:tcPr>
          <w:p w14:paraId="5F2230D1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</w:tcPr>
          <w:p w14:paraId="3DB7A1E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</w:tcPr>
          <w:p w14:paraId="48CB354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#58, #89</w:t>
            </w:r>
          </w:p>
        </w:tc>
        <w:tc>
          <w:tcPr>
            <w:tcW w:w="916" w:type="dxa"/>
            <w:vAlign w:val="center"/>
          </w:tcPr>
          <w:p w14:paraId="36C778C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</w:tcPr>
          <w:p w14:paraId="1D72170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#103, #108</w:t>
            </w:r>
          </w:p>
        </w:tc>
        <w:tc>
          <w:tcPr>
            <w:tcW w:w="955" w:type="dxa"/>
            <w:vAlign w:val="center"/>
          </w:tcPr>
          <w:p w14:paraId="3CEB51F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#29, #103</w:t>
            </w:r>
          </w:p>
        </w:tc>
      </w:tr>
      <w:tr w:rsidR="0022154D" w:rsidRPr="00DF2377" w14:paraId="34EE62C1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5FBC3EFF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Sociocultural factors</w:t>
            </w:r>
          </w:p>
        </w:tc>
        <w:tc>
          <w:tcPr>
            <w:tcW w:w="1770" w:type="dxa"/>
            <w:vAlign w:val="center"/>
            <w:hideMark/>
          </w:tcPr>
          <w:p w14:paraId="53C9A5A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14:paraId="79E61DB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0C0FBC7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52BE152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613E063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2380E9F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239C398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3B574AC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1EDD901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4995DFBE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384F6520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Societal challenges</w:t>
            </w:r>
          </w:p>
        </w:tc>
        <w:tc>
          <w:tcPr>
            <w:tcW w:w="1770" w:type="dxa"/>
            <w:vAlign w:val="center"/>
            <w:hideMark/>
          </w:tcPr>
          <w:p w14:paraId="58E73C6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14:paraId="3A0491E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5C5E595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2A96DD5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78B7027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1FE571B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4048F444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49CFACA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3F1FFF6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#103</w:t>
            </w:r>
          </w:p>
        </w:tc>
      </w:tr>
      <w:tr w:rsidR="0022154D" w:rsidRPr="00DF2377" w14:paraId="2C549FD5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15B56740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Social policies on parenting</w:t>
            </w:r>
          </w:p>
        </w:tc>
        <w:tc>
          <w:tcPr>
            <w:tcW w:w="1770" w:type="dxa"/>
            <w:vAlign w:val="center"/>
            <w:hideMark/>
          </w:tcPr>
          <w:p w14:paraId="6B46B2F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#66</w:t>
            </w:r>
          </w:p>
        </w:tc>
        <w:tc>
          <w:tcPr>
            <w:tcW w:w="1485" w:type="dxa"/>
            <w:vAlign w:val="center"/>
            <w:hideMark/>
          </w:tcPr>
          <w:p w14:paraId="124C170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#35, #51</w:t>
            </w:r>
          </w:p>
        </w:tc>
        <w:tc>
          <w:tcPr>
            <w:tcW w:w="1588" w:type="dxa"/>
            <w:vAlign w:val="center"/>
            <w:hideMark/>
          </w:tcPr>
          <w:p w14:paraId="0C1C400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32D1609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#51</w:t>
            </w:r>
          </w:p>
        </w:tc>
        <w:tc>
          <w:tcPr>
            <w:tcW w:w="918" w:type="dxa"/>
            <w:vAlign w:val="center"/>
            <w:hideMark/>
          </w:tcPr>
          <w:p w14:paraId="2573CAC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66376EDD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77A4F91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0EF3C06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3829880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44D1BC97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45846AB2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Covid-19 lockdown   </w:t>
            </w:r>
          </w:p>
        </w:tc>
        <w:tc>
          <w:tcPr>
            <w:tcW w:w="1770" w:type="dxa"/>
            <w:vAlign w:val="center"/>
            <w:hideMark/>
          </w:tcPr>
          <w:p w14:paraId="03FE10F9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14:paraId="44DDDFE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#30</w:t>
            </w:r>
          </w:p>
        </w:tc>
        <w:tc>
          <w:tcPr>
            <w:tcW w:w="1588" w:type="dxa"/>
            <w:vAlign w:val="center"/>
            <w:hideMark/>
          </w:tcPr>
          <w:p w14:paraId="0EE434C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#1</w:t>
            </w:r>
          </w:p>
        </w:tc>
        <w:tc>
          <w:tcPr>
            <w:tcW w:w="918" w:type="dxa"/>
            <w:vAlign w:val="center"/>
            <w:hideMark/>
          </w:tcPr>
          <w:p w14:paraId="63CA9508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vAlign w:val="center"/>
            <w:hideMark/>
          </w:tcPr>
          <w:p w14:paraId="6DC437B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1B9A18D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01B87E6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#29</w:t>
            </w:r>
          </w:p>
        </w:tc>
        <w:tc>
          <w:tcPr>
            <w:tcW w:w="958" w:type="dxa"/>
            <w:vAlign w:val="center"/>
            <w:hideMark/>
          </w:tcPr>
          <w:p w14:paraId="1DD4E32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55" w:type="dxa"/>
            <w:vAlign w:val="center"/>
            <w:hideMark/>
          </w:tcPr>
          <w:p w14:paraId="0B1BCE9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#77</w:t>
            </w:r>
          </w:p>
        </w:tc>
      </w:tr>
      <w:tr w:rsidR="0022154D" w:rsidRPr="00DF2377" w14:paraId="5C8F81C1" w14:textId="77777777" w:rsidTr="00A34421">
        <w:trPr>
          <w:cantSplit/>
          <w:trHeight w:val="20"/>
        </w:trPr>
        <w:tc>
          <w:tcPr>
            <w:tcW w:w="3529" w:type="dxa"/>
            <w:vAlign w:val="center"/>
            <w:hideMark/>
          </w:tcPr>
          <w:p w14:paraId="3D3CD41B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Adherence to familism beliefs</w:t>
            </w:r>
          </w:p>
        </w:tc>
        <w:tc>
          <w:tcPr>
            <w:tcW w:w="1770" w:type="dxa"/>
            <w:vAlign w:val="center"/>
            <w:hideMark/>
          </w:tcPr>
          <w:p w14:paraId="61A1F52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#52</w:t>
            </w:r>
          </w:p>
        </w:tc>
        <w:tc>
          <w:tcPr>
            <w:tcW w:w="1485" w:type="dxa"/>
            <w:vAlign w:val="center"/>
            <w:hideMark/>
          </w:tcPr>
          <w:p w14:paraId="1D480310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vAlign w:val="center"/>
            <w:hideMark/>
          </w:tcPr>
          <w:p w14:paraId="6EAA415F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#6</w:t>
            </w:r>
          </w:p>
        </w:tc>
        <w:tc>
          <w:tcPr>
            <w:tcW w:w="918" w:type="dxa"/>
            <w:vAlign w:val="center"/>
            <w:hideMark/>
          </w:tcPr>
          <w:p w14:paraId="149ABB1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#52</w:t>
            </w:r>
          </w:p>
        </w:tc>
        <w:tc>
          <w:tcPr>
            <w:tcW w:w="918" w:type="dxa"/>
            <w:vAlign w:val="center"/>
            <w:hideMark/>
          </w:tcPr>
          <w:p w14:paraId="0F076833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vAlign w:val="center"/>
            <w:hideMark/>
          </w:tcPr>
          <w:p w14:paraId="2A352B05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6" w:type="dxa"/>
            <w:vAlign w:val="center"/>
            <w:hideMark/>
          </w:tcPr>
          <w:p w14:paraId="54C0250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vAlign w:val="center"/>
            <w:hideMark/>
          </w:tcPr>
          <w:p w14:paraId="6A59389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vAlign w:val="center"/>
            <w:hideMark/>
          </w:tcPr>
          <w:p w14:paraId="7BDCB16C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22154D" w:rsidRPr="00DF2377" w14:paraId="44671F14" w14:textId="77777777" w:rsidTr="00A34421">
        <w:trPr>
          <w:cantSplit/>
          <w:trHeight w:val="20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  <w:hideMark/>
          </w:tcPr>
          <w:p w14:paraId="0871BD55" w14:textId="77777777" w:rsidR="0022154D" w:rsidRPr="00DF2377" w:rsidRDefault="0022154D" w:rsidP="00A3442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Adherence to maternal essentialism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  <w:hideMark/>
          </w:tcPr>
          <w:p w14:paraId="0E790ECB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  <w:hideMark/>
          </w:tcPr>
          <w:p w14:paraId="55393BF7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  <w:hideMark/>
          </w:tcPr>
          <w:p w14:paraId="0FBE51BE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#24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  <w:hideMark/>
          </w:tcPr>
          <w:p w14:paraId="1352A5C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  <w:hideMark/>
          </w:tcPr>
          <w:p w14:paraId="64AEFFF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  <w:hideMark/>
          </w:tcPr>
          <w:p w14:paraId="289E6872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#71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  <w:hideMark/>
          </w:tcPr>
          <w:p w14:paraId="60199C5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  <w:hideMark/>
          </w:tcPr>
          <w:p w14:paraId="519018B6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  <w:hideMark/>
          </w:tcPr>
          <w:p w14:paraId="2010ED2A" w14:textId="77777777" w:rsidR="0022154D" w:rsidRPr="00DF2377" w:rsidRDefault="0022154D" w:rsidP="00A344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F2377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14:paraId="3B1FA101" w14:textId="77777777" w:rsidR="005927F7" w:rsidRDefault="005927F7" w:rsidP="00B744C4">
      <w:pPr>
        <w:tabs>
          <w:tab w:val="left" w:pos="6156"/>
        </w:tabs>
        <w:jc w:val="center"/>
        <w:rPr>
          <w:b/>
          <w:bCs/>
        </w:rPr>
      </w:pPr>
    </w:p>
    <w:p w14:paraId="42BC3756" w14:textId="77777777" w:rsidR="005927F7" w:rsidRDefault="005927F7" w:rsidP="00B744C4">
      <w:pPr>
        <w:tabs>
          <w:tab w:val="left" w:pos="6156"/>
        </w:tabs>
        <w:jc w:val="center"/>
        <w:rPr>
          <w:b/>
          <w:bCs/>
        </w:rPr>
      </w:pPr>
    </w:p>
    <w:p w14:paraId="29D6C3EC" w14:textId="77777777" w:rsidR="005927F7" w:rsidRDefault="005927F7" w:rsidP="00B744C4">
      <w:pPr>
        <w:tabs>
          <w:tab w:val="left" w:pos="6156"/>
        </w:tabs>
        <w:jc w:val="center"/>
        <w:rPr>
          <w:b/>
          <w:bCs/>
        </w:rPr>
      </w:pPr>
    </w:p>
    <w:p w14:paraId="05BACDDC" w14:textId="77777777" w:rsidR="005927F7" w:rsidRDefault="005927F7" w:rsidP="00B744C4">
      <w:pPr>
        <w:tabs>
          <w:tab w:val="left" w:pos="6156"/>
        </w:tabs>
        <w:jc w:val="center"/>
        <w:rPr>
          <w:b/>
          <w:bCs/>
        </w:rPr>
      </w:pPr>
    </w:p>
    <w:p w14:paraId="1B89CC37" w14:textId="77777777" w:rsidR="005927F7" w:rsidRDefault="005927F7" w:rsidP="00B744C4">
      <w:pPr>
        <w:tabs>
          <w:tab w:val="left" w:pos="6156"/>
        </w:tabs>
        <w:jc w:val="center"/>
        <w:rPr>
          <w:b/>
          <w:bCs/>
        </w:rPr>
      </w:pPr>
    </w:p>
    <w:tbl>
      <w:tblPr>
        <w:tblStyle w:val="TabelacomGrelha"/>
        <w:tblW w:w="14395" w:type="dxa"/>
        <w:tblLook w:val="04A0" w:firstRow="1" w:lastRow="0" w:firstColumn="1" w:lastColumn="0" w:noHBand="0" w:noVBand="1"/>
      </w:tblPr>
      <w:tblGrid>
        <w:gridCol w:w="4649"/>
        <w:gridCol w:w="9746"/>
      </w:tblGrid>
      <w:tr w:rsidR="00B744C4" w:rsidRPr="00047DFE" w14:paraId="714AF52B" w14:textId="77777777" w:rsidTr="00035FB7">
        <w:tc>
          <w:tcPr>
            <w:tcW w:w="1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18AEA" w14:textId="075F35A1" w:rsidR="00B744C4" w:rsidRPr="00047DFE" w:rsidRDefault="00035FB7" w:rsidP="00035FB7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Table 6. </w:t>
            </w:r>
            <w:r w:rsidR="00B744C4" w:rsidRPr="00035FB7">
              <w:rPr>
                <w:rFonts w:cs="Times New Roman"/>
                <w:i/>
                <w:iCs/>
                <w:sz w:val="20"/>
                <w:szCs w:val="20"/>
              </w:rPr>
              <w:t>Standard Quality Assessment Criteria for Evaluating Primary Research Papers from various fields (QualSyst) for quantitative studies (Kmet et al., 2004)</w:t>
            </w:r>
          </w:p>
        </w:tc>
      </w:tr>
      <w:tr w:rsidR="00B744C4" w:rsidRPr="00047DFE" w14:paraId="6EF9175D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63AC5B5E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 xml:space="preserve">Question or objective </w:t>
            </w:r>
            <w:r>
              <w:rPr>
                <w:rFonts w:cs="Times New Roman"/>
                <w:sz w:val="20"/>
                <w:szCs w:val="20"/>
              </w:rPr>
              <w:t>sufficiently</w:t>
            </w:r>
            <w:r w:rsidRPr="00047DFE">
              <w:rPr>
                <w:rFonts w:cs="Times New Roman"/>
                <w:sz w:val="20"/>
                <w:szCs w:val="20"/>
              </w:rPr>
              <w:t xml:space="preserve"> described?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663A22F3" w14:textId="77777777" w:rsidR="00B744C4" w:rsidRPr="00125666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125666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125666">
              <w:rPr>
                <w:rFonts w:cs="Times New Roman"/>
                <w:sz w:val="20"/>
                <w:szCs w:val="20"/>
              </w:rPr>
              <w:t xml:space="preserve">: Is easily </w:t>
            </w:r>
            <w:r>
              <w:rPr>
                <w:rFonts w:cs="Times New Roman"/>
                <w:sz w:val="20"/>
                <w:szCs w:val="20"/>
              </w:rPr>
              <w:t>identified</w:t>
            </w:r>
            <w:r w:rsidRPr="00125666">
              <w:rPr>
                <w:rFonts w:cs="Times New Roman"/>
                <w:sz w:val="20"/>
                <w:szCs w:val="20"/>
              </w:rPr>
              <w:t xml:space="preserve"> in the introductory section (or </w:t>
            </w:r>
            <w:r>
              <w:rPr>
                <w:rFonts w:cs="Times New Roman"/>
                <w:sz w:val="20"/>
                <w:szCs w:val="20"/>
              </w:rPr>
              <w:t>first</w:t>
            </w:r>
            <w:r w:rsidRPr="00125666">
              <w:rPr>
                <w:rFonts w:cs="Times New Roman"/>
                <w:sz w:val="20"/>
                <w:szCs w:val="20"/>
              </w:rPr>
              <w:t xml:space="preserve"> paragraph of methods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 xml:space="preserve">section). </w:t>
            </w:r>
            <w:r>
              <w:rPr>
                <w:rFonts w:cs="Times New Roman"/>
                <w:sz w:val="20"/>
                <w:szCs w:val="20"/>
              </w:rPr>
              <w:t>Specifically</w:t>
            </w:r>
            <w:r w:rsidRPr="00125666">
              <w:rPr>
                <w:rFonts w:cs="Times New Roman"/>
                <w:sz w:val="20"/>
                <w:szCs w:val="20"/>
              </w:rPr>
              <w:t xml:space="preserve"> (where applicable, depending on study design) all of the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 xml:space="preserve">following: purpose, subjects/target population, and the </w:t>
            </w:r>
            <w:r>
              <w:rPr>
                <w:rFonts w:cs="Times New Roman"/>
                <w:sz w:val="20"/>
                <w:szCs w:val="20"/>
              </w:rPr>
              <w:t>specific</w:t>
            </w:r>
            <w:r w:rsidRPr="00125666">
              <w:rPr>
                <w:rFonts w:cs="Times New Roman"/>
                <w:sz w:val="20"/>
                <w:szCs w:val="20"/>
              </w:rPr>
              <w:t xml:space="preserve"> intervention(s)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>/association(s)/descriptive parameter(s) under investigation. A study purpose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>that only becomes apparent after studying other parts of the paper is not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 xml:space="preserve">considered </w:t>
            </w:r>
            <w:r>
              <w:rPr>
                <w:rFonts w:cs="Times New Roman"/>
                <w:sz w:val="20"/>
                <w:szCs w:val="20"/>
              </w:rPr>
              <w:t>sufficiently</w:t>
            </w:r>
            <w:r w:rsidRPr="00125666">
              <w:rPr>
                <w:rFonts w:cs="Times New Roman"/>
                <w:sz w:val="20"/>
                <w:szCs w:val="20"/>
              </w:rPr>
              <w:t xml:space="preserve"> described.</w:t>
            </w:r>
          </w:p>
          <w:p w14:paraId="5F5BC381" w14:textId="77777777" w:rsidR="00B744C4" w:rsidRPr="00125666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125666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125666">
              <w:rPr>
                <w:rFonts w:cs="Times New Roman"/>
                <w:sz w:val="20"/>
                <w:szCs w:val="20"/>
              </w:rPr>
              <w:t>: Vaguely/incompletely reported (e.g. “describe the effect of” or “examine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>the role of” or “assess opinion on many issues” or “explore the general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25666">
              <w:rPr>
                <w:rFonts w:cs="Times New Roman"/>
                <w:sz w:val="20"/>
                <w:szCs w:val="20"/>
              </w:rPr>
              <w:t>attitudes”...); or some information has to be gathered from parts of the paper</w:t>
            </w:r>
          </w:p>
          <w:p w14:paraId="5E681609" w14:textId="77777777" w:rsidR="00B744C4" w:rsidRPr="00125666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125666">
              <w:rPr>
                <w:rFonts w:cs="Times New Roman"/>
                <w:sz w:val="20"/>
                <w:szCs w:val="20"/>
              </w:rPr>
              <w:t>other than the introduction/background/objective section.</w:t>
            </w:r>
          </w:p>
          <w:p w14:paraId="5A223FDE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125666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125666">
              <w:rPr>
                <w:rFonts w:cs="Times New Roman"/>
                <w:sz w:val="20"/>
                <w:szCs w:val="20"/>
              </w:rPr>
              <w:t>: Question or objective is not reported, or is incomprehensible.</w:t>
            </w:r>
          </w:p>
        </w:tc>
      </w:tr>
      <w:tr w:rsidR="00B744C4" w:rsidRPr="00047DFE" w14:paraId="522D12D0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65024451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Design evident and appropriate to answer study question?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(If the study question is not given, infer from the conclusions).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2303C93E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56636D">
              <w:rPr>
                <w:rFonts w:cs="Times New Roman"/>
                <w:sz w:val="20"/>
                <w:szCs w:val="20"/>
              </w:rPr>
              <w:t xml:space="preserve">: Design is easily </w:t>
            </w:r>
            <w:r>
              <w:rPr>
                <w:rFonts w:cs="Times New Roman"/>
                <w:sz w:val="20"/>
                <w:szCs w:val="20"/>
              </w:rPr>
              <w:t>identified</w:t>
            </w:r>
            <w:r w:rsidRPr="0056636D">
              <w:rPr>
                <w:rFonts w:cs="Times New Roman"/>
                <w:sz w:val="20"/>
                <w:szCs w:val="20"/>
              </w:rPr>
              <w:t xml:space="preserve"> and is appropriate to address the study question /objective.</w:t>
            </w:r>
          </w:p>
          <w:p w14:paraId="634C25FD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56636D">
              <w:rPr>
                <w:rFonts w:cs="Times New Roman"/>
                <w:sz w:val="20"/>
                <w:szCs w:val="20"/>
              </w:rPr>
              <w:t>: Design and /or study question not clearly identif</w:t>
            </w:r>
            <w:r>
              <w:rPr>
                <w:rFonts w:cs="Times New Roman"/>
                <w:sz w:val="20"/>
                <w:szCs w:val="20"/>
              </w:rPr>
              <w:t>i</w:t>
            </w:r>
            <w:r w:rsidRPr="0056636D">
              <w:rPr>
                <w:rFonts w:cs="Times New Roman"/>
                <w:sz w:val="20"/>
                <w:szCs w:val="20"/>
              </w:rPr>
              <w:t>ed, but gross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 xml:space="preserve">inappropriateness is not evident; or design is easily </w:t>
            </w:r>
            <w:r>
              <w:rPr>
                <w:rFonts w:cs="Times New Roman"/>
                <w:sz w:val="20"/>
                <w:szCs w:val="20"/>
              </w:rPr>
              <w:t>identified</w:t>
            </w:r>
            <w:r w:rsidRPr="0056636D">
              <w:rPr>
                <w:rFonts w:cs="Times New Roman"/>
                <w:sz w:val="20"/>
                <w:szCs w:val="20"/>
              </w:rPr>
              <w:t xml:space="preserve"> but only partially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addresses the study question.</w:t>
            </w:r>
          </w:p>
          <w:p w14:paraId="7B5A4C46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56636D">
              <w:rPr>
                <w:rFonts w:cs="Times New Roman"/>
                <w:sz w:val="20"/>
                <w:szCs w:val="20"/>
              </w:rPr>
              <w:t>: Design used does not answer study question (e.g., a comparison group is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required to answer the study question, but none was used); or design cannot be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identified.</w:t>
            </w:r>
          </w:p>
        </w:tc>
      </w:tr>
      <w:tr w:rsidR="00B744C4" w:rsidRPr="00047DFE" w14:paraId="3BB33963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2637994B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Method of subject selection (and comparison group selection, if applicable)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or source of information/input variables (e.g., for decision analysis) is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described and appropriate.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3E00A305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56636D">
              <w:rPr>
                <w:rFonts w:cs="Times New Roman"/>
                <w:sz w:val="20"/>
                <w:szCs w:val="20"/>
              </w:rPr>
              <w:t>: Described and appropriate. Selection strategy designed (i.e., consider sampling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frame and strategy) to obtain an unbiased sample of the relevant target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population or the entire target population of interest (e.g., consecutive patients</w:t>
            </w:r>
          </w:p>
          <w:p w14:paraId="397AC950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for clinical trials, population-based random sample for case-control studies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or surveys). Where applicable, inclusion/exclusion criteria are described and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defined (e.g., “cancer” -- ICD code or equivalent should be provided). Studies of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volunteers: methods and setting of recruitment reported. Surveys: sampling frame/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strategy clearly described and appropriate.</w:t>
            </w:r>
          </w:p>
          <w:p w14:paraId="3689DB61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56636D">
              <w:rPr>
                <w:rFonts w:cs="Times New Roman"/>
                <w:sz w:val="20"/>
                <w:szCs w:val="20"/>
              </w:rPr>
              <w:t>: Selection methods (and inclusion/exclusion criteria, where applicable)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are not completely described, but no obvious inappropriateness. Or selection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strategy is not ideal (i.e., likely introduced bias) but did not likely seriously</w:t>
            </w:r>
          </w:p>
          <w:p w14:paraId="61B1DF7E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distort the results (e.g., telephone survey sampled from listed phone numbers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only; hospital based case-control study identified all cases admitted during the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study period, but recruited controls admitted during the day/evening only). Any</w:t>
            </w:r>
          </w:p>
          <w:p w14:paraId="7FD7DB02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study describing participants only as “volunteers” or “healthy volunteers”.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Surveys: target population mentioned but sampling strategy unclear.</w:t>
            </w:r>
          </w:p>
          <w:p w14:paraId="16F9CDB2" w14:textId="77777777" w:rsidR="00B744C4" w:rsidRPr="0056636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56636D">
              <w:rPr>
                <w:rFonts w:cs="Times New Roman"/>
                <w:sz w:val="20"/>
                <w:szCs w:val="20"/>
              </w:rPr>
              <w:t>: No information provided. Or obviously inappropriate selection procedures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(e.g., inappropriate comparison group if intervention in women is compared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to intervention in men). Or presence of selection bias which likely seriously</w:t>
            </w:r>
          </w:p>
          <w:p w14:paraId="0854E3C9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>distorted the results (e.g., obvious selection on “exposure” in a case-control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6636D">
              <w:rPr>
                <w:rFonts w:cs="Times New Roman"/>
                <w:sz w:val="20"/>
                <w:szCs w:val="20"/>
              </w:rPr>
              <w:t>study).</w:t>
            </w:r>
          </w:p>
        </w:tc>
      </w:tr>
      <w:tr w:rsidR="00B744C4" w:rsidRPr="00047DFE" w14:paraId="31C012B2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65AD5A9D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56636D">
              <w:rPr>
                <w:rFonts w:cs="Times New Roman"/>
                <w:sz w:val="20"/>
                <w:szCs w:val="20"/>
              </w:rPr>
              <w:t xml:space="preserve">Subject (and comparison group, if applicable) </w:t>
            </w:r>
            <w:r>
              <w:rPr>
                <w:rFonts w:cs="Times New Roman"/>
                <w:sz w:val="20"/>
                <w:szCs w:val="20"/>
              </w:rPr>
              <w:t>c</w:t>
            </w:r>
            <w:r w:rsidRPr="0056636D">
              <w:rPr>
                <w:rFonts w:cs="Times New Roman"/>
                <w:sz w:val="20"/>
                <w:szCs w:val="20"/>
              </w:rPr>
              <w:t>haracteristics or input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 xml:space="preserve">variables/information (e.g., for decision analyses) </w:t>
            </w:r>
            <w:r>
              <w:rPr>
                <w:rFonts w:cs="Times New Roman"/>
                <w:sz w:val="20"/>
                <w:szCs w:val="20"/>
              </w:rPr>
              <w:t>sufficiently</w:t>
            </w:r>
            <w:r w:rsidRPr="00047DFE">
              <w:rPr>
                <w:rFonts w:cs="Times New Roman"/>
                <w:sz w:val="20"/>
                <w:szCs w:val="20"/>
              </w:rPr>
              <w:t xml:space="preserve"> described?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467A1619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82294B">
              <w:rPr>
                <w:rFonts w:cs="Times New Roman"/>
                <w:sz w:val="20"/>
                <w:szCs w:val="20"/>
              </w:rPr>
              <w:t xml:space="preserve">: </w:t>
            </w:r>
            <w:r>
              <w:rPr>
                <w:rFonts w:cs="Times New Roman"/>
                <w:sz w:val="20"/>
                <w:szCs w:val="20"/>
              </w:rPr>
              <w:t>Sufficient</w:t>
            </w:r>
            <w:r w:rsidRPr="0082294B">
              <w:rPr>
                <w:rFonts w:cs="Times New Roman"/>
                <w:sz w:val="20"/>
                <w:szCs w:val="20"/>
              </w:rPr>
              <w:t xml:space="preserve"> relevant baseline/demographic information clearly characterizing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the participants is provided (or reference to previously published baseline data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 xml:space="preserve">is provided). Where applicable, reproducible criteria used to </w:t>
            </w:r>
            <w:r>
              <w:rPr>
                <w:rFonts w:cs="Times New Roman"/>
                <w:sz w:val="20"/>
                <w:szCs w:val="20"/>
              </w:rPr>
              <w:t xml:space="preserve"> d</w:t>
            </w:r>
            <w:r w:rsidRPr="0082294B">
              <w:rPr>
                <w:rFonts w:cs="Times New Roman"/>
                <w:sz w:val="20"/>
                <w:szCs w:val="20"/>
              </w:rPr>
              <w:t>escribe/categorize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the participants are clearly defined (e.g., ever-smokers, depression scores,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systolic blood pressure &gt; 140). If “healthy volunteers” are used, age and sex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must be reported (at minimum). Decision analyses: baseline estimates for input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variables are clearly specified.</w:t>
            </w:r>
          </w:p>
          <w:p w14:paraId="54AE877C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82294B">
              <w:rPr>
                <w:rFonts w:cs="Times New Roman"/>
                <w:sz w:val="20"/>
                <w:szCs w:val="20"/>
              </w:rPr>
              <w:t>: Poorly defined criteria (e.g. “hypertension”, “healthy volunteers”,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“smoking”). Or incomplete relevant baseline / demographic information (e.g.,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information on likely confounders not reported). Decision analyses: incomplete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reporting of baseline estimates for input variables.</w:t>
            </w:r>
          </w:p>
          <w:p w14:paraId="4690880C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82294B">
              <w:rPr>
                <w:rFonts w:cs="Times New Roman"/>
                <w:sz w:val="20"/>
                <w:szCs w:val="20"/>
              </w:rPr>
              <w:t>: No baseline / demographic information provided.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Decision analyses: baseline estimates of input variables not given.</w:t>
            </w:r>
          </w:p>
        </w:tc>
      </w:tr>
      <w:tr w:rsidR="00B744C4" w:rsidRPr="00047DFE" w14:paraId="164F965F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309A0471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sz w:val="20"/>
                <w:szCs w:val="20"/>
              </w:rPr>
              <w:lastRenderedPageBreak/>
              <w:t>Outcome and (if applicable) exposure measure(s) well defined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and robust to measurement / misclassification bias?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8274F">
              <w:rPr>
                <w:rFonts w:cs="Times New Roman"/>
                <w:sz w:val="20"/>
                <w:szCs w:val="20"/>
              </w:rPr>
              <w:t>Means of assessment reported?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1FA92B5C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82294B">
              <w:rPr>
                <w:rFonts w:cs="Times New Roman"/>
                <w:sz w:val="20"/>
                <w:szCs w:val="20"/>
              </w:rPr>
              <w:t>: Defined (or reference to complete definitions is provided) and measured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according to reproducible, “objective” criteria (e.g., death, test completion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– yes/no, clinical scores). Little or minimal potential for measurement /</w:t>
            </w:r>
          </w:p>
          <w:p w14:paraId="37F126C3" w14:textId="0848966B" w:rsidR="00B744C4" w:rsidRDefault="00B744C4" w:rsidP="00035FB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misclassification</w:t>
            </w:r>
            <w:r w:rsidRPr="0082294B">
              <w:rPr>
                <w:rFonts w:cs="Times New Roman"/>
                <w:sz w:val="20"/>
                <w:szCs w:val="20"/>
              </w:rPr>
              <w:t xml:space="preserve"> errors. Surveys: clear description (or reference to clear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description) of questionnaire/interview content and response options.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Decision analyses: sources of uncertainty are defined for all input variables.</w:t>
            </w:r>
          </w:p>
          <w:p w14:paraId="3968E57A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82294B">
              <w:rPr>
                <w:rFonts w:cs="Times New Roman"/>
                <w:sz w:val="20"/>
                <w:szCs w:val="20"/>
              </w:rPr>
              <w:t>: Definition of measures leaves room for subjectivity, or not sure (i.e.,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not reported in detail, but probably acceptable). Or precise definition(s) are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missing, but no evidence or problems in the paper that would lead one to</w:t>
            </w:r>
          </w:p>
          <w:p w14:paraId="08383C9C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sz w:val="20"/>
                <w:szCs w:val="20"/>
              </w:rPr>
              <w:t>assume major problems. Or instrument/mode of assessment(s) not reported.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 xml:space="preserve">Or </w:t>
            </w:r>
            <w:r>
              <w:rPr>
                <w:rFonts w:cs="Times New Roman"/>
                <w:sz w:val="20"/>
                <w:szCs w:val="20"/>
              </w:rPr>
              <w:t>misclassification</w:t>
            </w:r>
            <w:r w:rsidRPr="0082294B">
              <w:rPr>
                <w:rFonts w:cs="Times New Roman"/>
                <w:sz w:val="20"/>
                <w:szCs w:val="20"/>
              </w:rPr>
              <w:t xml:space="preserve"> errors may have occurred, but they did not likely seriously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 xml:space="preserve">distort the results (e.g., slight </w:t>
            </w:r>
            <w:r>
              <w:rPr>
                <w:rFonts w:cs="Times New Roman"/>
                <w:sz w:val="20"/>
                <w:szCs w:val="20"/>
              </w:rPr>
              <w:t>difficulty</w:t>
            </w:r>
            <w:r w:rsidRPr="0082294B">
              <w:rPr>
                <w:rFonts w:cs="Times New Roman"/>
                <w:sz w:val="20"/>
                <w:szCs w:val="20"/>
              </w:rPr>
              <w:t xml:space="preserve"> with recall of long-ago events; exposure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is measured only at baseline in a long cohort study). Surveys: description of questionnaire/interview content incomplete; response options unclear. Decision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analyses: sources of uncertainty are defined only for some input variables.</w:t>
            </w:r>
          </w:p>
          <w:p w14:paraId="7079E47E" w14:textId="77777777" w:rsidR="00B744C4" w:rsidRPr="0082294B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82294B">
              <w:rPr>
                <w:rFonts w:cs="Times New Roman"/>
                <w:sz w:val="20"/>
                <w:szCs w:val="20"/>
              </w:rPr>
              <w:t>: Measures not defined, or are inconsistent throughout the paper. Or measures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employ only ill-defined, subjective assessments, e.g. “anxiety” or “pain.” Or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obvious misclassifi</w:t>
            </w:r>
            <w:r>
              <w:rPr>
                <w:rFonts w:cs="Times New Roman"/>
                <w:sz w:val="20"/>
                <w:szCs w:val="20"/>
              </w:rPr>
              <w:t>c</w:t>
            </w:r>
            <w:r w:rsidRPr="0082294B">
              <w:rPr>
                <w:rFonts w:cs="Times New Roman"/>
                <w:sz w:val="20"/>
                <w:szCs w:val="20"/>
              </w:rPr>
              <w:t>ation errors/measurement bias likely seriously distorted</w:t>
            </w:r>
          </w:p>
          <w:p w14:paraId="0F3F9BFB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82294B">
              <w:rPr>
                <w:rFonts w:cs="Times New Roman"/>
                <w:sz w:val="20"/>
                <w:szCs w:val="20"/>
              </w:rPr>
              <w:t>the results (e.g., a prospective cohort relies on self-reported outcomes among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the “unexposed” but requires clinical assessment of the “exposed”). Surveys: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2294B">
              <w:rPr>
                <w:rFonts w:cs="Times New Roman"/>
                <w:sz w:val="20"/>
                <w:szCs w:val="20"/>
              </w:rPr>
              <w:t>no description of questionnaire/interview content or response options. Decision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analyses: sources of uncertainty are not defined for input variables.</w:t>
            </w:r>
          </w:p>
        </w:tc>
      </w:tr>
      <w:tr w:rsidR="00B744C4" w:rsidRPr="00047DFE" w14:paraId="0C12DC9A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0648781B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  <w:lang w:val="pt-PT"/>
              </w:rPr>
              <w:t>Sample size appropriate?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25346320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DE6C3D">
              <w:rPr>
                <w:rFonts w:cs="Times New Roman"/>
                <w:sz w:val="20"/>
                <w:szCs w:val="20"/>
              </w:rPr>
              <w:t>: Seems reasonable with respect to the outcome under study and the study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 xml:space="preserve">design. When statistically </w:t>
            </w:r>
            <w:r>
              <w:rPr>
                <w:rFonts w:cs="Times New Roman"/>
                <w:sz w:val="20"/>
                <w:szCs w:val="20"/>
              </w:rPr>
              <w:t>significant</w:t>
            </w:r>
            <w:r w:rsidRPr="00DE6C3D">
              <w:rPr>
                <w:rFonts w:cs="Times New Roman"/>
                <w:sz w:val="20"/>
                <w:szCs w:val="20"/>
              </w:rPr>
              <w:t xml:space="preserve"> results are achieved for major outcomes,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appropriate sample size can usually be assumed, unless large standard errors</w:t>
            </w:r>
          </w:p>
          <w:p w14:paraId="65CB88C2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(SE &gt; ½ effect size) and/or problems with multiple testing are evident. Decision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 xml:space="preserve">analyses: size of modeled cohort / number of iterations </w:t>
            </w:r>
            <w:r>
              <w:rPr>
                <w:rFonts w:cs="Times New Roman"/>
                <w:sz w:val="20"/>
                <w:szCs w:val="20"/>
              </w:rPr>
              <w:t>specified</w:t>
            </w:r>
            <w:r w:rsidRPr="00DE6C3D">
              <w:rPr>
                <w:rFonts w:cs="Times New Roman"/>
                <w:sz w:val="20"/>
                <w:szCs w:val="20"/>
              </w:rPr>
              <w:t xml:space="preserve"> and justified.</w:t>
            </w:r>
          </w:p>
          <w:p w14:paraId="4C4A54EA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DE6C3D">
              <w:rPr>
                <w:rFonts w:cs="Times New Roman"/>
                <w:sz w:val="20"/>
                <w:szCs w:val="20"/>
              </w:rPr>
              <w:t>: Insufficient data to assess sample size (e.g., sample seems “small” and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there is no mention of power/sample size/effect size of interest and/or variance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estimates aren’t provided). Or some statistically significant results with standard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errors &gt; ½ effect size (i.e., imprecise results). Or some statistically significant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results in the absence of variance estimates. Decision analyses: incomplete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 xml:space="preserve">description or justification of size of modeled </w:t>
            </w:r>
            <w:r>
              <w:rPr>
                <w:rFonts w:cs="Times New Roman"/>
                <w:sz w:val="20"/>
                <w:szCs w:val="20"/>
              </w:rPr>
              <w:t>cohort/number</w:t>
            </w:r>
            <w:r w:rsidRPr="00DE6C3D">
              <w:rPr>
                <w:rFonts w:cs="Times New Roman"/>
                <w:sz w:val="20"/>
                <w:szCs w:val="20"/>
              </w:rPr>
              <w:t xml:space="preserve"> of iterations.</w:t>
            </w:r>
          </w:p>
          <w:p w14:paraId="5AA87810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DE6C3D">
              <w:rPr>
                <w:rFonts w:cs="Times New Roman"/>
                <w:sz w:val="20"/>
                <w:szCs w:val="20"/>
              </w:rPr>
              <w:t xml:space="preserve">: Obviously inadequate (e.g., statistically </w:t>
            </w:r>
            <w:r>
              <w:rPr>
                <w:rFonts w:cs="Times New Roman"/>
                <w:sz w:val="20"/>
                <w:szCs w:val="20"/>
              </w:rPr>
              <w:t>non-significant</w:t>
            </w:r>
            <w:r w:rsidRPr="00DE6C3D">
              <w:rPr>
                <w:rFonts w:cs="Times New Roman"/>
                <w:sz w:val="20"/>
                <w:szCs w:val="20"/>
              </w:rPr>
              <w:t xml:space="preserve"> results and standard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errors &gt; ½ effect size; or standard deviations &gt; _ of effect size; or statistically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non-significant results with no variance estimates and obviously inadequate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sample size). Decision analyses: size of modeled cohort / number of iterations not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specified.</w:t>
            </w:r>
          </w:p>
        </w:tc>
      </w:tr>
      <w:tr w:rsidR="00B744C4" w:rsidRPr="00047DFE" w14:paraId="1492FC08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4AA5AACE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  <w:lang w:val="pt-PT"/>
              </w:rPr>
              <w:t>Analysis described and appropriate?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509676C7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DE6C3D">
              <w:rPr>
                <w:rFonts w:cs="Times New Roman"/>
                <w:sz w:val="20"/>
                <w:szCs w:val="20"/>
              </w:rPr>
              <w:t>: Analytic methods are described (e.g. “chi square”/ “t-tests”/“Kaplan-Meier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with log rank tests”, etc.) and appropriate.</w:t>
            </w:r>
          </w:p>
          <w:p w14:paraId="3757973F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Partial: Analytic methods are not reported and have to be guessed at, but are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probably appropriate. Or minor flaws or some tests appropriate, some not (e.g.,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parametric tests used, but unsure whether appropriate; control group exists but</w:t>
            </w:r>
          </w:p>
          <w:p w14:paraId="36521564" w14:textId="77777777" w:rsidR="00B744C4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is not used for statistical analysis). Or multiple testing problems not addressed.</w:t>
            </w:r>
          </w:p>
          <w:p w14:paraId="060B7E70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DE6C3D">
              <w:rPr>
                <w:rFonts w:cs="Times New Roman"/>
                <w:sz w:val="20"/>
                <w:szCs w:val="20"/>
              </w:rPr>
              <w:t>: Analysis methods not described and cannot be determined. Or obviously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inappropriate analysis methods (e.g., chi-square tests for continuous data, SE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given where normality is highly unlikely, etc.). Or a study with a descriptive goal</w:t>
            </w:r>
          </w:p>
          <w:p w14:paraId="01FE51C1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B744C4">
              <w:rPr>
                <w:rFonts w:cs="Times New Roman"/>
                <w:sz w:val="20"/>
                <w:szCs w:val="20"/>
              </w:rPr>
              <w:t>/ objective is over-analyzed.</w:t>
            </w:r>
          </w:p>
        </w:tc>
      </w:tr>
      <w:tr w:rsidR="00B744C4" w:rsidRPr="00047DFE" w14:paraId="6B7CC310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65DB8B1C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Some estimate of variance (e.g., confidence intervals, standard errors) is reported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 xml:space="preserve">for the main results/outcomes (i.e., those directly addressing the </w:t>
            </w:r>
            <w:r w:rsidRPr="00DE6C3D">
              <w:rPr>
                <w:rFonts w:cs="Times New Roman"/>
                <w:sz w:val="20"/>
                <w:szCs w:val="20"/>
              </w:rPr>
              <w:lastRenderedPageBreak/>
              <w:t>study question/</w:t>
            </w:r>
            <w:r w:rsidRPr="00047DFE">
              <w:rPr>
                <w:rFonts w:cs="Times New Roman"/>
                <w:sz w:val="20"/>
                <w:szCs w:val="20"/>
              </w:rPr>
              <w:t>objective upon which the conclusions are based)?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3274979A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lastRenderedPageBreak/>
              <w:t>Yes</w:t>
            </w:r>
            <w:r w:rsidRPr="00DE6C3D">
              <w:rPr>
                <w:rFonts w:cs="Times New Roman"/>
                <w:sz w:val="20"/>
                <w:szCs w:val="20"/>
              </w:rPr>
              <w:t>: Appropriate variances estimate(s) is/are provided (e.g., range, distribution,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confidence intervals, etc.). Decision analyses: sensitivity analysis includes all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variables in the model.</w:t>
            </w:r>
          </w:p>
          <w:p w14:paraId="3DE8AE09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lastRenderedPageBreak/>
              <w:t>Partial</w:t>
            </w:r>
            <w:r w:rsidRPr="00DE6C3D">
              <w:rPr>
                <w:rFonts w:cs="Times New Roman"/>
                <w:sz w:val="20"/>
                <w:szCs w:val="20"/>
              </w:rPr>
              <w:t>: Undefined “+/-“ expressions. Or no specific data given, but insufficien</w:t>
            </w:r>
            <w:r>
              <w:rPr>
                <w:rFonts w:cs="Times New Roman"/>
                <w:sz w:val="20"/>
                <w:szCs w:val="20"/>
              </w:rPr>
              <w:t xml:space="preserve">t </w:t>
            </w:r>
            <w:r w:rsidRPr="00DE6C3D">
              <w:rPr>
                <w:rFonts w:cs="Times New Roman"/>
                <w:sz w:val="20"/>
                <w:szCs w:val="20"/>
              </w:rPr>
              <w:t>power acknowledged as a problem. Or variance estimates not provided for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all main results/outcomes. Or inappropriate variance estimates (e.g., a study</w:t>
            </w:r>
          </w:p>
          <w:p w14:paraId="226966DD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examining change over time provides a variance around the parameter of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interest at “time 1” or “time 2”, but does not provide an estimate of the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E6C3D">
              <w:rPr>
                <w:rFonts w:cs="Times New Roman"/>
                <w:sz w:val="20"/>
                <w:szCs w:val="20"/>
              </w:rPr>
              <w:t>variance around the difference). Decision analyses: sensitivity analysis is limited,</w:t>
            </w:r>
          </w:p>
          <w:p w14:paraId="409BECB9" w14:textId="77777777" w:rsidR="00B744C4" w:rsidRPr="00DE6C3D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sz w:val="20"/>
                <w:szCs w:val="20"/>
              </w:rPr>
              <w:t>including only some variables in the model.</w:t>
            </w:r>
          </w:p>
          <w:p w14:paraId="38D55724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DE6C3D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DE6C3D">
              <w:rPr>
                <w:rFonts w:cs="Times New Roman"/>
                <w:sz w:val="20"/>
                <w:szCs w:val="20"/>
              </w:rPr>
              <w:t>: No information regarding uncertainty of the estimates. Decision analyses: No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sensitivity analysis.</w:t>
            </w:r>
          </w:p>
        </w:tc>
      </w:tr>
      <w:tr w:rsidR="00B744C4" w:rsidRPr="00047DFE" w14:paraId="25A6D00C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2C54257D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  <w:lang w:val="pt-PT"/>
              </w:rPr>
              <w:lastRenderedPageBreak/>
              <w:t>Controlled for confounding?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332EFCCF" w14:textId="77777777" w:rsidR="00B744C4" w:rsidRPr="003A6485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3A6485">
              <w:rPr>
                <w:rFonts w:cs="Times New Roman"/>
                <w:sz w:val="20"/>
                <w:szCs w:val="20"/>
              </w:rPr>
              <w:t>: Randomized study, with comparability of baseline characteristics reported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(or non-comparability controlled for in the analysis). Or appropriate control at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the design or analysis stage (e.g., matching, subgroup analysis, multivariate</w:t>
            </w:r>
          </w:p>
          <w:p w14:paraId="2CA56738" w14:textId="77777777" w:rsidR="00B744C4" w:rsidRPr="003A6485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sz w:val="20"/>
                <w:szCs w:val="20"/>
              </w:rPr>
              <w:t>models, etc). Decision analyses: dependencies between variables fully accounted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for (e.g., joint variables are considered).</w:t>
            </w:r>
          </w:p>
          <w:p w14:paraId="607596E6" w14:textId="77777777" w:rsidR="00B744C4" w:rsidRPr="003A6485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3A6485">
              <w:rPr>
                <w:rFonts w:cs="Times New Roman"/>
                <w:sz w:val="20"/>
                <w:szCs w:val="20"/>
              </w:rPr>
              <w:t>: Incomplete control of confounding. Or control of confounding reportedly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done but not completely described. Or randomized study without report of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comparability of baseline characteristics. Or confounding not considered, but</w:t>
            </w:r>
          </w:p>
          <w:p w14:paraId="1A2AE14E" w14:textId="77777777" w:rsidR="00B744C4" w:rsidRPr="003A6485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sz w:val="20"/>
                <w:szCs w:val="20"/>
              </w:rPr>
              <w:t>not likely to have seriously distorted the results. Decision analyses: incomplete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consideration of dependencies between variables.</w:t>
            </w:r>
          </w:p>
          <w:p w14:paraId="7A122873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3A6485">
              <w:rPr>
                <w:rFonts w:cs="Times New Roman"/>
                <w:sz w:val="20"/>
                <w:szCs w:val="20"/>
              </w:rPr>
              <w:t>: Confounding not considered, and may have seriously distorted the results.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Decision analyses: dependencies between variables not considered.</w:t>
            </w:r>
          </w:p>
        </w:tc>
      </w:tr>
      <w:tr w:rsidR="00B744C4" w:rsidRPr="00047DFE" w14:paraId="4FC0C6D1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0B88110A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Results reported in sufficient detail?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7E025457" w14:textId="77777777" w:rsidR="00B744C4" w:rsidRPr="003A6485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3A6485">
              <w:rPr>
                <w:rFonts w:cs="Times New Roman"/>
                <w:sz w:val="20"/>
                <w:szCs w:val="20"/>
              </w:rPr>
              <w:t>: Results include major outcomes and all mentioned secondary outcomes.</w:t>
            </w:r>
          </w:p>
          <w:p w14:paraId="3A6A9826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3A6485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3A6485">
              <w:rPr>
                <w:rFonts w:cs="Times New Roman"/>
                <w:sz w:val="20"/>
                <w:szCs w:val="20"/>
              </w:rPr>
              <w:t>: Quantitative results reported only for some outcomes. Or difficult to assess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A6485">
              <w:rPr>
                <w:rFonts w:cs="Times New Roman"/>
                <w:sz w:val="20"/>
                <w:szCs w:val="20"/>
              </w:rPr>
              <w:t>as study question/objective not fully described (and is not made clear in the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methods section), but results seem appropriate.</w:t>
            </w:r>
          </w:p>
          <w:p w14:paraId="265BBE1A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047DFE">
              <w:rPr>
                <w:rFonts w:cs="Times New Roman"/>
                <w:sz w:val="20"/>
                <w:szCs w:val="20"/>
              </w:rPr>
              <w:t>: Quantitative results are reported for a subsample only, or “n” changes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continually across the denominator (e.g., reported proportions do not account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for the entire study sample, but are reported only for those with complete data</w:t>
            </w:r>
          </w:p>
          <w:p w14:paraId="2898AC2F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-- i.e., the category of “unknown” is not used where needed). Or results for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some major or mentioned secondary outcomes are only qualitatively reported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when quantitative reporting would have been possible (e.g., results include</w:t>
            </w:r>
          </w:p>
          <w:p w14:paraId="04125E85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vague comments such as “more likely” without quantitative report of actual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8274F">
              <w:rPr>
                <w:rFonts w:cs="Times New Roman"/>
                <w:sz w:val="20"/>
                <w:szCs w:val="20"/>
              </w:rPr>
              <w:t>numbers).</w:t>
            </w:r>
          </w:p>
        </w:tc>
      </w:tr>
      <w:tr w:rsidR="00B744C4" w:rsidRPr="00047DFE" w14:paraId="64B008C4" w14:textId="77777777" w:rsidTr="00035FB7">
        <w:tc>
          <w:tcPr>
            <w:tcW w:w="4649" w:type="dxa"/>
            <w:tcBorders>
              <w:left w:val="nil"/>
              <w:right w:val="nil"/>
            </w:tcBorders>
            <w:vAlign w:val="center"/>
          </w:tcPr>
          <w:p w14:paraId="31982A1A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Do the results support the conclusions?</w:t>
            </w:r>
          </w:p>
        </w:tc>
        <w:tc>
          <w:tcPr>
            <w:tcW w:w="9746" w:type="dxa"/>
            <w:tcBorders>
              <w:left w:val="nil"/>
              <w:right w:val="nil"/>
            </w:tcBorders>
            <w:vAlign w:val="center"/>
          </w:tcPr>
          <w:p w14:paraId="3593E9AF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b/>
                <w:bCs/>
                <w:sz w:val="20"/>
                <w:szCs w:val="20"/>
              </w:rPr>
              <w:t>Yes</w:t>
            </w:r>
            <w:r w:rsidRPr="00047DFE">
              <w:rPr>
                <w:rFonts w:cs="Times New Roman"/>
                <w:sz w:val="20"/>
                <w:szCs w:val="20"/>
              </w:rPr>
              <w:t>: All the conclusions are supported by the data (even if analysis was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inappropriate). Conclusions are based on all results relevant to the study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question, negative as well as positive ones (e.g., they aren’t based on the sole</w:t>
            </w:r>
          </w:p>
          <w:p w14:paraId="0678A7EF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significant finding</w:t>
            </w:r>
            <w:r w:rsidRPr="00047DFE">
              <w:rPr>
                <w:rFonts w:cs="Times New Roman"/>
                <w:sz w:val="20"/>
                <w:szCs w:val="20"/>
              </w:rPr>
              <w:t xml:space="preserve"> while ignoring the negative results). Part of the conclusions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may expand beyond the results, if made in addition to rather than instead of those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strictly supported by data, and if including indicators of their interpretative</w:t>
            </w:r>
          </w:p>
          <w:p w14:paraId="5DCF28A1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nature (e.g., “suggesting,” “possibly”).</w:t>
            </w:r>
          </w:p>
          <w:p w14:paraId="6F569A27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b/>
                <w:bCs/>
                <w:sz w:val="20"/>
                <w:szCs w:val="20"/>
              </w:rPr>
              <w:t>Partial</w:t>
            </w:r>
            <w:r w:rsidRPr="00047DFE">
              <w:rPr>
                <w:rFonts w:cs="Times New Roman"/>
                <w:sz w:val="20"/>
                <w:szCs w:val="20"/>
              </w:rPr>
              <w:t>: Some of the major conclusions are supported by the data, some are not.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Or speculative interpretations are not indicated as such. Or low (or unreported)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response rates call into question the validity of generalizing the results to the</w:t>
            </w:r>
          </w:p>
          <w:p w14:paraId="6864B90F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target population of interest (i.e., the population defined by the sampling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frame/strategy).</w:t>
            </w:r>
          </w:p>
          <w:p w14:paraId="7B1C6E0E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b/>
                <w:bCs/>
                <w:sz w:val="20"/>
                <w:szCs w:val="20"/>
              </w:rPr>
              <w:t>No</w:t>
            </w:r>
            <w:r w:rsidRPr="00047DFE">
              <w:rPr>
                <w:rFonts w:cs="Times New Roman"/>
                <w:sz w:val="20"/>
                <w:szCs w:val="20"/>
              </w:rPr>
              <w:t>: None or a very small minority of the major conclusions are supported by the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 xml:space="preserve">data. Or negative </w:t>
            </w:r>
            <w:r>
              <w:rPr>
                <w:rFonts w:cs="Times New Roman"/>
                <w:sz w:val="20"/>
                <w:szCs w:val="20"/>
              </w:rPr>
              <w:t>findings</w:t>
            </w:r>
            <w:r w:rsidRPr="00047DFE">
              <w:rPr>
                <w:rFonts w:cs="Times New Roman"/>
                <w:sz w:val="20"/>
                <w:szCs w:val="20"/>
              </w:rPr>
              <w:t xml:space="preserve"> clearly due to low power are reported as </w:t>
            </w:r>
            <w:r>
              <w:rPr>
                <w:rFonts w:cs="Times New Roman"/>
                <w:sz w:val="20"/>
                <w:szCs w:val="20"/>
              </w:rPr>
              <w:t xml:space="preserve">definitive </w:t>
            </w:r>
            <w:r w:rsidRPr="00047DFE">
              <w:rPr>
                <w:rFonts w:cs="Times New Roman"/>
                <w:sz w:val="20"/>
                <w:szCs w:val="20"/>
              </w:rPr>
              <w:t xml:space="preserve">evidence against the </w:t>
            </w:r>
            <w:r>
              <w:rPr>
                <w:rFonts w:cs="Times New Roman"/>
                <w:sz w:val="20"/>
                <w:szCs w:val="20"/>
              </w:rPr>
              <w:t>alternative</w:t>
            </w:r>
            <w:r w:rsidRPr="00047DFE">
              <w:rPr>
                <w:rFonts w:cs="Times New Roman"/>
                <w:sz w:val="20"/>
                <w:szCs w:val="20"/>
              </w:rPr>
              <w:t xml:space="preserve"> hypothesis. Or conclusions are missing. Or</w:t>
            </w:r>
          </w:p>
          <w:p w14:paraId="0CB707B9" w14:textId="77777777" w:rsidR="00B744C4" w:rsidRPr="00047DFE" w:rsidRDefault="00B744C4" w:rsidP="00035FB7">
            <w:pPr>
              <w:rPr>
                <w:rFonts w:cs="Times New Roman"/>
                <w:sz w:val="20"/>
                <w:szCs w:val="20"/>
              </w:rPr>
            </w:pPr>
            <w:r w:rsidRPr="00047DFE">
              <w:rPr>
                <w:rFonts w:cs="Times New Roman"/>
                <w:sz w:val="20"/>
                <w:szCs w:val="20"/>
              </w:rPr>
              <w:t>extremely low response rates invalidate generalizing the results to the target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7DFE">
              <w:rPr>
                <w:rFonts w:cs="Times New Roman"/>
                <w:sz w:val="20"/>
                <w:szCs w:val="20"/>
              </w:rPr>
              <w:t>population of interest (i.e., the population defined by the sampling frame/</w:t>
            </w:r>
            <w:r w:rsidRPr="00F8274F">
              <w:rPr>
                <w:rFonts w:cs="Times New Roman"/>
                <w:sz w:val="20"/>
                <w:szCs w:val="20"/>
              </w:rPr>
              <w:t>strategy).</w:t>
            </w:r>
          </w:p>
        </w:tc>
      </w:tr>
    </w:tbl>
    <w:p w14:paraId="41640CF3" w14:textId="77777777" w:rsidR="00B744C4" w:rsidRDefault="00B744C4" w:rsidP="00A34421">
      <w:pPr>
        <w:tabs>
          <w:tab w:val="left" w:pos="6156"/>
        </w:tabs>
      </w:pPr>
    </w:p>
    <w:sectPr w:rsidR="00B744C4" w:rsidSect="0022154D">
      <w:headerReference w:type="default" r:id="rId8"/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C101" w14:textId="77777777" w:rsidR="006A3CF2" w:rsidRDefault="006A3CF2">
      <w:pPr>
        <w:spacing w:after="0" w:line="240" w:lineRule="auto"/>
      </w:pPr>
      <w:r>
        <w:separator/>
      </w:r>
    </w:p>
  </w:endnote>
  <w:endnote w:type="continuationSeparator" w:id="0">
    <w:p w14:paraId="739C873F" w14:textId="77777777" w:rsidR="006A3CF2" w:rsidRDefault="006A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E2DB" w14:textId="77777777" w:rsidR="006A3CF2" w:rsidRDefault="006A3CF2">
      <w:pPr>
        <w:spacing w:after="0" w:line="240" w:lineRule="auto"/>
      </w:pPr>
      <w:r>
        <w:separator/>
      </w:r>
    </w:p>
  </w:footnote>
  <w:footnote w:type="continuationSeparator" w:id="0">
    <w:p w14:paraId="39559C44" w14:textId="77777777" w:rsidR="006A3CF2" w:rsidRDefault="006A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934245"/>
      <w:docPartObj>
        <w:docPartGallery w:val="Page Numbers (Top of Page)"/>
        <w:docPartUnique/>
      </w:docPartObj>
    </w:sdtPr>
    <w:sdtEndPr/>
    <w:sdtContent>
      <w:p w14:paraId="721DC557" w14:textId="77777777" w:rsidR="0022154D" w:rsidRDefault="0022154D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7B289AE1" w14:textId="77777777" w:rsidR="0022154D" w:rsidRPr="00C37E2C" w:rsidRDefault="0022154D" w:rsidP="009A59F0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4D"/>
    <w:rsid w:val="00035FB7"/>
    <w:rsid w:val="00047DFE"/>
    <w:rsid w:val="00082384"/>
    <w:rsid w:val="000A4B26"/>
    <w:rsid w:val="00125666"/>
    <w:rsid w:val="00192336"/>
    <w:rsid w:val="001B627B"/>
    <w:rsid w:val="001C79EC"/>
    <w:rsid w:val="00210472"/>
    <w:rsid w:val="0022154D"/>
    <w:rsid w:val="00255BF1"/>
    <w:rsid w:val="002F1952"/>
    <w:rsid w:val="00366057"/>
    <w:rsid w:val="003A6485"/>
    <w:rsid w:val="003B1DC1"/>
    <w:rsid w:val="004F446C"/>
    <w:rsid w:val="0056636D"/>
    <w:rsid w:val="005927F7"/>
    <w:rsid w:val="005B74F8"/>
    <w:rsid w:val="006851AB"/>
    <w:rsid w:val="006A3CF2"/>
    <w:rsid w:val="006F7B93"/>
    <w:rsid w:val="00754CF8"/>
    <w:rsid w:val="00807CA1"/>
    <w:rsid w:val="0082294B"/>
    <w:rsid w:val="008315DA"/>
    <w:rsid w:val="0089234E"/>
    <w:rsid w:val="008A1D72"/>
    <w:rsid w:val="00A34421"/>
    <w:rsid w:val="00A404AB"/>
    <w:rsid w:val="00B34ACD"/>
    <w:rsid w:val="00B44379"/>
    <w:rsid w:val="00B7396E"/>
    <w:rsid w:val="00B744C4"/>
    <w:rsid w:val="00D016E2"/>
    <w:rsid w:val="00D75385"/>
    <w:rsid w:val="00D91310"/>
    <w:rsid w:val="00DE6C3D"/>
    <w:rsid w:val="00EA6D01"/>
    <w:rsid w:val="00EC1A9C"/>
    <w:rsid w:val="00F8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595"/>
  <w15:chartTrackingRefBased/>
  <w15:docId w15:val="{3F2BAB5B-DFD2-45AB-8436-9C567FFF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54D"/>
    <w:rPr>
      <w:rFonts w:ascii="Times New Roman" w:hAnsi="Times New Roman"/>
      <w:sz w:val="24"/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0A4B26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0A4B26"/>
    <w:pPr>
      <w:keepNext/>
      <w:keepLines/>
      <w:spacing w:before="640" w:after="560"/>
      <w:outlineLvl w:val="1"/>
    </w:pPr>
    <w:rPr>
      <w:rFonts w:eastAsiaTheme="majorEastAsia" w:cstheme="majorBidi"/>
      <w:b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215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PT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215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val="pt-PT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215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val="pt-PT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215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pt-PT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215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pt-PT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215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pt-PT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215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0A4B26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A4B26"/>
    <w:rPr>
      <w:rFonts w:ascii="Times New Roman" w:eastAsiaTheme="majorEastAsia" w:hAnsi="Times New Roman" w:cstheme="majorBidi"/>
      <w:b/>
      <w:sz w:val="24"/>
      <w:szCs w:val="40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21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215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2154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215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2154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215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215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2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2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215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2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2154D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2"/>
      <w:lang w:val="pt-PT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215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154D"/>
    <w:pPr>
      <w:ind w:left="720"/>
      <w:contextualSpacing/>
    </w:pPr>
    <w:rPr>
      <w:rFonts w:asciiTheme="minorHAnsi" w:hAnsiTheme="minorHAnsi"/>
      <w:sz w:val="22"/>
      <w:lang w:val="pt-PT"/>
    </w:rPr>
  </w:style>
  <w:style w:type="character" w:styleId="nfaseIntensa">
    <w:name w:val="Intense Emphasis"/>
    <w:basedOn w:val="Tipodeletrapredefinidodopargrafo"/>
    <w:uiPriority w:val="21"/>
    <w:qFormat/>
    <w:rsid w:val="002215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21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lang w:val="pt-PT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2154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2154D"/>
    <w:rPr>
      <w:b/>
      <w:bCs/>
      <w:smallCaps/>
      <w:color w:val="0F4761" w:themeColor="accent1" w:themeShade="BF"/>
      <w:spacing w:val="5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2154D"/>
    <w:pPr>
      <w:spacing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2154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styleId="Cabealho">
    <w:name w:val="header"/>
    <w:basedOn w:val="Normal"/>
    <w:link w:val="CabealhoCarter"/>
    <w:uiPriority w:val="99"/>
    <w:unhideWhenUsed/>
    <w:rsid w:val="00221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2154D"/>
    <w:rPr>
      <w:rFonts w:ascii="Times New Roman" w:hAnsi="Times New Roman"/>
      <w:sz w:val="24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2154D"/>
    <w:rPr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2154D"/>
    <w:rPr>
      <w:color w:val="467886" w:themeColor="hyperlink"/>
      <w:u w:val="single"/>
    </w:rPr>
  </w:style>
  <w:style w:type="table" w:styleId="TabelacomGrelha">
    <w:name w:val="Table Grid"/>
    <w:basedOn w:val="Tabelanormal"/>
    <w:uiPriority w:val="39"/>
    <w:rsid w:val="00B34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unhideWhenUsed/>
    <w:rsid w:val="00035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35FB7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ra.duarte@ispa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F6D1-4841-4840-AF2E-67D16AF9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2775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D'Orsi Duarte</dc:creator>
  <cp:keywords/>
  <dc:description/>
  <cp:lastModifiedBy>Dora D'Orsi Duarte</cp:lastModifiedBy>
  <cp:revision>22</cp:revision>
  <dcterms:created xsi:type="dcterms:W3CDTF">2025-12-17T17:16:00Z</dcterms:created>
  <dcterms:modified xsi:type="dcterms:W3CDTF">2026-03-04T23:02:00Z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e8d7876b-d4d1-4abd-8bc8-c929b08bdc2c</vt:lpwstr>
  </property>
</Properties>
</file>