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D9F" w:rsidRDefault="00E87D9F" w:rsidP="00E87D9F">
      <w:pPr>
        <w:pStyle w:val="names"/>
        <w:spacing w:line="480" w:lineRule="auto"/>
        <w:jc w:val="both"/>
        <w:rPr>
          <w:rFonts w:ascii="Arial" w:hAnsi="Arial" w:cs="Arial"/>
          <w:b/>
          <w:sz w:val="30"/>
          <w:szCs w:val="30"/>
        </w:rPr>
      </w:pPr>
      <w:r>
        <w:rPr>
          <w:rFonts w:ascii="Arial" w:hAnsi="Arial" w:cs="Arial"/>
          <w:b/>
          <w:sz w:val="30"/>
          <w:szCs w:val="30"/>
        </w:rPr>
        <w:t>Surface properties and porosity of highly porous, nanostructured cellulose II particles</w:t>
      </w:r>
    </w:p>
    <w:p w:rsidR="00E87D9F" w:rsidRPr="009C2C26" w:rsidRDefault="00E87D9F" w:rsidP="00E87D9F">
      <w:pPr>
        <w:pStyle w:val="names"/>
        <w:spacing w:line="480" w:lineRule="auto"/>
        <w:jc w:val="both"/>
        <w:rPr>
          <w:rFonts w:ascii="Arial" w:hAnsi="Arial" w:cs="Arial"/>
          <w:b/>
          <w:sz w:val="30"/>
          <w:szCs w:val="30"/>
        </w:rPr>
      </w:pPr>
    </w:p>
    <w:p w:rsidR="00E87D9F" w:rsidRPr="00E87D9F" w:rsidRDefault="00E87D9F" w:rsidP="00E87D9F">
      <w:pPr>
        <w:pStyle w:val="names"/>
        <w:spacing w:line="480" w:lineRule="auto"/>
        <w:rPr>
          <w:rFonts w:ascii="Arial" w:hAnsi="Arial" w:cs="Arial"/>
          <w:b/>
          <w:sz w:val="30"/>
          <w:szCs w:val="30"/>
        </w:rPr>
      </w:pPr>
      <w:r w:rsidRPr="00E87D9F">
        <w:rPr>
          <w:rFonts w:ascii="Arial" w:hAnsi="Arial" w:cs="Arial"/>
          <w:b/>
          <w:sz w:val="30"/>
          <w:szCs w:val="30"/>
        </w:rPr>
        <w:t>Supporting Information</w:t>
      </w:r>
    </w:p>
    <w:p w:rsidR="00E87D9F" w:rsidRPr="00952BF3" w:rsidRDefault="00E87D9F" w:rsidP="00E87D9F">
      <w:pPr>
        <w:pStyle w:val="names"/>
        <w:spacing w:line="480" w:lineRule="auto"/>
        <w:jc w:val="both"/>
        <w:rPr>
          <w:rFonts w:ascii="Arial" w:hAnsi="Arial" w:cs="Arial"/>
          <w:szCs w:val="24"/>
        </w:rPr>
      </w:pPr>
      <w:r>
        <w:rPr>
          <w:rFonts w:ascii="Arial" w:hAnsi="Arial" w:cs="Arial"/>
          <w:szCs w:val="24"/>
        </w:rPr>
        <w:t xml:space="preserve">Marco </w:t>
      </w:r>
      <w:proofErr w:type="spellStart"/>
      <w:r>
        <w:rPr>
          <w:rFonts w:ascii="Arial" w:hAnsi="Arial" w:cs="Arial"/>
          <w:szCs w:val="24"/>
        </w:rPr>
        <w:t>Beaumont</w:t>
      </w:r>
      <w:r w:rsidRPr="009C2C26">
        <w:rPr>
          <w:rFonts w:ascii="Arial" w:hAnsi="Arial" w:cs="Arial"/>
          <w:szCs w:val="24"/>
          <w:vertAlign w:val="superscript"/>
        </w:rPr>
        <w:t>a</w:t>
      </w:r>
      <w:proofErr w:type="spellEnd"/>
      <w:r w:rsidRPr="009C2C26">
        <w:rPr>
          <w:rFonts w:ascii="Arial" w:hAnsi="Arial" w:cs="Arial"/>
          <w:szCs w:val="24"/>
        </w:rPr>
        <w:t xml:space="preserve">, </w:t>
      </w:r>
      <w:proofErr w:type="spellStart"/>
      <w:r>
        <w:rPr>
          <w:rFonts w:ascii="Arial" w:hAnsi="Arial" w:cs="Arial"/>
          <w:szCs w:val="24"/>
        </w:rPr>
        <w:t>Anett</w:t>
      </w:r>
      <w:proofErr w:type="spellEnd"/>
      <w:r>
        <w:rPr>
          <w:rFonts w:ascii="Arial" w:hAnsi="Arial" w:cs="Arial"/>
          <w:szCs w:val="24"/>
        </w:rPr>
        <w:t xml:space="preserve"> </w:t>
      </w:r>
      <w:proofErr w:type="spellStart"/>
      <w:r>
        <w:rPr>
          <w:rFonts w:ascii="Arial" w:hAnsi="Arial" w:cs="Arial"/>
          <w:szCs w:val="24"/>
        </w:rPr>
        <w:t>Kondor</w:t>
      </w:r>
      <w:r>
        <w:rPr>
          <w:rFonts w:ascii="Arial" w:hAnsi="Arial" w:cs="Arial"/>
          <w:szCs w:val="24"/>
          <w:vertAlign w:val="superscript"/>
        </w:rPr>
        <w:t>b</w:t>
      </w:r>
      <w:proofErr w:type="spellEnd"/>
      <w:r>
        <w:rPr>
          <w:rFonts w:ascii="Arial" w:hAnsi="Arial" w:cs="Arial"/>
          <w:szCs w:val="24"/>
        </w:rPr>
        <w:t xml:space="preserve">, </w:t>
      </w:r>
      <w:r w:rsidR="005802F0">
        <w:rPr>
          <w:rFonts w:ascii="Arial" w:hAnsi="Arial" w:cs="Arial"/>
          <w:szCs w:val="24"/>
        </w:rPr>
        <w:t xml:space="preserve">Sven </w:t>
      </w:r>
      <w:proofErr w:type="spellStart"/>
      <w:r w:rsidR="005802F0">
        <w:rPr>
          <w:rFonts w:ascii="Arial" w:hAnsi="Arial" w:cs="Arial"/>
          <w:szCs w:val="24"/>
        </w:rPr>
        <w:t>Plappert</w:t>
      </w:r>
      <w:r w:rsidR="005802F0" w:rsidRPr="009C2C26">
        <w:rPr>
          <w:rFonts w:ascii="Arial" w:hAnsi="Arial" w:cs="Arial"/>
          <w:szCs w:val="24"/>
          <w:vertAlign w:val="superscript"/>
        </w:rPr>
        <w:t>a</w:t>
      </w:r>
      <w:proofErr w:type="spellEnd"/>
      <w:r w:rsidR="005802F0">
        <w:rPr>
          <w:rFonts w:ascii="Arial" w:hAnsi="Arial" w:cs="Arial"/>
          <w:szCs w:val="24"/>
        </w:rPr>
        <w:t xml:space="preserve">, </w:t>
      </w:r>
      <w:r>
        <w:rPr>
          <w:rFonts w:ascii="Arial" w:hAnsi="Arial" w:cs="Arial"/>
          <w:szCs w:val="24"/>
        </w:rPr>
        <w:t xml:space="preserve">Claudia </w:t>
      </w:r>
      <w:proofErr w:type="spellStart"/>
      <w:r>
        <w:rPr>
          <w:rFonts w:ascii="Arial" w:hAnsi="Arial" w:cs="Arial"/>
          <w:szCs w:val="24"/>
        </w:rPr>
        <w:t>Mitterer</w:t>
      </w:r>
      <w:r>
        <w:rPr>
          <w:rFonts w:ascii="Arial" w:hAnsi="Arial" w:cs="Arial"/>
          <w:szCs w:val="24"/>
          <w:vertAlign w:val="superscript"/>
        </w:rPr>
        <w:t>c</w:t>
      </w:r>
      <w:proofErr w:type="spellEnd"/>
      <w:r>
        <w:rPr>
          <w:rFonts w:ascii="Arial" w:hAnsi="Arial" w:cs="Arial"/>
          <w:szCs w:val="24"/>
        </w:rPr>
        <w:t xml:space="preserve">, Martina Opietnik, </w:t>
      </w:r>
      <w:r w:rsidRPr="00952BF3">
        <w:rPr>
          <w:rFonts w:ascii="Arial" w:hAnsi="Arial" w:cs="Arial"/>
          <w:szCs w:val="24"/>
        </w:rPr>
        <w:t xml:space="preserve">Antje </w:t>
      </w:r>
      <w:proofErr w:type="spellStart"/>
      <w:r w:rsidRPr="00952BF3">
        <w:rPr>
          <w:rFonts w:ascii="Arial" w:hAnsi="Arial" w:cs="Arial"/>
          <w:szCs w:val="24"/>
        </w:rPr>
        <w:t>Potthast</w:t>
      </w:r>
      <w:r w:rsidRPr="00952BF3">
        <w:rPr>
          <w:rFonts w:ascii="Arial" w:hAnsi="Arial" w:cs="Arial"/>
          <w:szCs w:val="24"/>
          <w:vertAlign w:val="superscript"/>
        </w:rPr>
        <w:t>a</w:t>
      </w:r>
      <w:proofErr w:type="spellEnd"/>
      <w:r w:rsidRPr="00952BF3">
        <w:rPr>
          <w:rFonts w:ascii="Arial" w:hAnsi="Arial" w:cs="Arial"/>
          <w:szCs w:val="24"/>
        </w:rPr>
        <w:t xml:space="preserve">, Thomas </w:t>
      </w:r>
      <w:proofErr w:type="spellStart"/>
      <w:r w:rsidRPr="00952BF3">
        <w:rPr>
          <w:rFonts w:ascii="Arial" w:hAnsi="Arial" w:cs="Arial"/>
          <w:szCs w:val="24"/>
        </w:rPr>
        <w:t>Rosenau</w:t>
      </w:r>
      <w:r w:rsidRPr="00952BF3">
        <w:rPr>
          <w:rFonts w:ascii="Arial" w:hAnsi="Arial" w:cs="Arial"/>
          <w:szCs w:val="24"/>
          <w:vertAlign w:val="superscript"/>
        </w:rPr>
        <w:t>a</w:t>
      </w:r>
      <w:proofErr w:type="spellEnd"/>
      <w:r w:rsidRPr="00952BF3">
        <w:rPr>
          <w:rFonts w:ascii="Arial" w:hAnsi="Arial" w:cs="Arial"/>
          <w:szCs w:val="24"/>
          <w:vertAlign w:val="superscript"/>
        </w:rPr>
        <w:t>*</w:t>
      </w:r>
    </w:p>
    <w:p w:rsidR="00E87D9F" w:rsidRPr="009F1616" w:rsidRDefault="00E87D9F" w:rsidP="00E87D9F">
      <w:pPr>
        <w:pStyle w:val="address"/>
        <w:spacing w:line="480" w:lineRule="auto"/>
        <w:jc w:val="both"/>
        <w:rPr>
          <w:rFonts w:ascii="Arial" w:hAnsi="Arial" w:cs="Arial"/>
          <w:szCs w:val="24"/>
        </w:rPr>
      </w:pPr>
    </w:p>
    <w:p w:rsidR="00E87D9F" w:rsidRPr="00952BF3" w:rsidRDefault="00E87D9F" w:rsidP="00E87D9F">
      <w:pPr>
        <w:pStyle w:val="address"/>
        <w:spacing w:after="0" w:line="480" w:lineRule="auto"/>
        <w:jc w:val="both"/>
        <w:rPr>
          <w:rFonts w:ascii="Arial" w:hAnsi="Arial" w:cs="Arial"/>
          <w:szCs w:val="24"/>
        </w:rPr>
      </w:pPr>
      <w:r w:rsidRPr="00952BF3">
        <w:rPr>
          <w:rFonts w:ascii="Arial" w:hAnsi="Arial" w:cs="Arial"/>
          <w:szCs w:val="24"/>
        </w:rPr>
        <w:t>*</w:t>
      </w:r>
      <w:r w:rsidRPr="00952BF3">
        <w:rPr>
          <w:rFonts w:ascii="Arial" w:hAnsi="Arial" w:cs="Arial"/>
          <w:b/>
          <w:szCs w:val="24"/>
        </w:rPr>
        <w:t>Corresponding author:</w:t>
      </w:r>
    </w:p>
    <w:p w:rsidR="00E87D9F" w:rsidRPr="00952BF3" w:rsidRDefault="00E87D9F" w:rsidP="00E87D9F">
      <w:pPr>
        <w:spacing w:line="480" w:lineRule="auto"/>
        <w:rPr>
          <w:rFonts w:ascii="Arial" w:hAnsi="Arial" w:cs="Arial"/>
          <w:sz w:val="24"/>
          <w:szCs w:val="24"/>
          <w:lang w:val="en-US" w:eastAsia="de-AT"/>
        </w:rPr>
      </w:pPr>
      <w:proofErr w:type="spellStart"/>
      <w:r w:rsidRPr="00952BF3">
        <w:rPr>
          <w:rFonts w:ascii="Arial" w:hAnsi="Arial" w:cs="Arial"/>
          <w:sz w:val="24"/>
          <w:szCs w:val="24"/>
          <w:lang w:val="en-US"/>
        </w:rPr>
        <w:t>Univ.Prof</w:t>
      </w:r>
      <w:proofErr w:type="spellEnd"/>
      <w:r w:rsidRPr="00952BF3">
        <w:rPr>
          <w:rFonts w:ascii="Arial" w:hAnsi="Arial" w:cs="Arial"/>
          <w:sz w:val="24"/>
          <w:szCs w:val="24"/>
          <w:lang w:val="en-US"/>
        </w:rPr>
        <w:t xml:space="preserve">. </w:t>
      </w:r>
      <w:proofErr w:type="spellStart"/>
      <w:r w:rsidR="00585CA3">
        <w:rPr>
          <w:rFonts w:ascii="Arial" w:hAnsi="Arial" w:cs="Arial"/>
          <w:sz w:val="24"/>
          <w:szCs w:val="24"/>
          <w:lang w:val="en-US"/>
        </w:rPr>
        <w:t>Dipl.Chem</w:t>
      </w:r>
      <w:proofErr w:type="spellEnd"/>
      <w:r w:rsidR="00585CA3">
        <w:rPr>
          <w:rFonts w:ascii="Arial" w:hAnsi="Arial" w:cs="Arial"/>
          <w:sz w:val="24"/>
          <w:szCs w:val="24"/>
          <w:lang w:val="en-US"/>
        </w:rPr>
        <w:t xml:space="preserve">. </w:t>
      </w:r>
      <w:r w:rsidRPr="00952BF3">
        <w:rPr>
          <w:rFonts w:ascii="Arial" w:hAnsi="Arial" w:cs="Arial"/>
          <w:sz w:val="24"/>
          <w:szCs w:val="24"/>
          <w:lang w:val="en-US"/>
        </w:rPr>
        <w:t>Dr.</w:t>
      </w:r>
      <w:r w:rsidRPr="00952BF3">
        <w:rPr>
          <w:rFonts w:ascii="Arial" w:hAnsi="Arial" w:cs="Arial"/>
          <w:sz w:val="24"/>
          <w:szCs w:val="24"/>
          <w:lang w:val="en-US" w:eastAsia="de-AT"/>
        </w:rPr>
        <w:t xml:space="preserve"> Thomas Rosenau </w:t>
      </w:r>
    </w:p>
    <w:p w:rsidR="007A7CE4" w:rsidRDefault="007A7CE4" w:rsidP="00E87D9F">
      <w:pPr>
        <w:spacing w:line="480" w:lineRule="auto"/>
        <w:rPr>
          <w:rFonts w:ascii="Arial" w:hAnsi="Arial" w:cs="Arial"/>
          <w:sz w:val="24"/>
          <w:szCs w:val="24"/>
          <w:lang w:val="en-US" w:eastAsia="de-AT"/>
        </w:rPr>
      </w:pPr>
      <w:r>
        <w:rPr>
          <w:rFonts w:ascii="Arial" w:hAnsi="Arial" w:cs="Arial"/>
          <w:sz w:val="24"/>
          <w:szCs w:val="24"/>
          <w:lang w:val="en-US" w:eastAsia="de-AT"/>
        </w:rPr>
        <w:t xml:space="preserve">Department of Chemistry, BOKU University, </w:t>
      </w:r>
      <w:proofErr w:type="spellStart"/>
      <w:r>
        <w:rPr>
          <w:rFonts w:ascii="Arial" w:hAnsi="Arial" w:cs="Arial"/>
          <w:sz w:val="24"/>
          <w:szCs w:val="24"/>
          <w:lang w:val="en-US" w:eastAsia="de-AT"/>
        </w:rPr>
        <w:t>Muthgasse</w:t>
      </w:r>
      <w:proofErr w:type="spellEnd"/>
      <w:r>
        <w:rPr>
          <w:rFonts w:ascii="Arial" w:hAnsi="Arial" w:cs="Arial"/>
          <w:sz w:val="24"/>
          <w:szCs w:val="24"/>
          <w:lang w:val="en-US" w:eastAsia="de-AT"/>
        </w:rPr>
        <w:t xml:space="preserve"> 18, </w:t>
      </w:r>
    </w:p>
    <w:p w:rsidR="00E87D9F" w:rsidRPr="00492E32" w:rsidRDefault="00E87D9F" w:rsidP="00E87D9F">
      <w:pPr>
        <w:spacing w:line="480" w:lineRule="auto"/>
        <w:rPr>
          <w:rFonts w:ascii="Arial" w:hAnsi="Arial" w:cs="Arial"/>
          <w:sz w:val="24"/>
          <w:szCs w:val="24"/>
          <w:lang w:val="it-IT" w:eastAsia="de-AT"/>
        </w:rPr>
      </w:pPr>
      <w:r w:rsidRPr="00492E32">
        <w:rPr>
          <w:rFonts w:ascii="Arial" w:hAnsi="Arial" w:cs="Arial"/>
          <w:sz w:val="24"/>
          <w:szCs w:val="24"/>
          <w:lang w:val="it-IT" w:eastAsia="de-AT"/>
        </w:rPr>
        <w:t>A-1190 Vienna, AUSTRIA</w:t>
      </w:r>
    </w:p>
    <w:p w:rsidR="00E87D9F" w:rsidRPr="00492E32" w:rsidRDefault="00E87D9F" w:rsidP="00E87D9F">
      <w:pPr>
        <w:spacing w:line="480" w:lineRule="auto"/>
        <w:rPr>
          <w:rFonts w:ascii="Arial" w:hAnsi="Arial" w:cs="Arial"/>
          <w:sz w:val="24"/>
          <w:szCs w:val="24"/>
          <w:lang w:val="it-IT" w:eastAsia="de-AT"/>
        </w:rPr>
      </w:pPr>
      <w:r w:rsidRPr="00492E32">
        <w:rPr>
          <w:rFonts w:ascii="Arial" w:hAnsi="Arial" w:cs="Arial"/>
          <w:sz w:val="24"/>
          <w:szCs w:val="24"/>
          <w:lang w:val="it-IT" w:eastAsia="de-AT"/>
        </w:rPr>
        <w:t>Tel.: +43 1 47654-</w:t>
      </w:r>
      <w:r w:rsidR="007A7CE4" w:rsidRPr="00492E32">
        <w:rPr>
          <w:rFonts w:ascii="Arial" w:hAnsi="Arial" w:cs="Arial"/>
          <w:sz w:val="24"/>
          <w:szCs w:val="24"/>
          <w:lang w:val="it-IT" w:eastAsia="de-AT"/>
        </w:rPr>
        <w:t>77471</w:t>
      </w:r>
      <w:r w:rsidRPr="00492E32">
        <w:rPr>
          <w:rFonts w:ascii="Arial" w:hAnsi="Arial" w:cs="Arial"/>
          <w:sz w:val="24"/>
          <w:szCs w:val="24"/>
          <w:lang w:val="it-IT" w:eastAsia="de-AT"/>
        </w:rPr>
        <w:t xml:space="preserve"> </w:t>
      </w:r>
    </w:p>
    <w:p w:rsidR="00E87D9F" w:rsidRPr="00492E32" w:rsidRDefault="00E87D9F" w:rsidP="00E87D9F">
      <w:pPr>
        <w:spacing w:line="480" w:lineRule="auto"/>
        <w:rPr>
          <w:rFonts w:ascii="Arial" w:hAnsi="Arial" w:cs="Arial"/>
          <w:sz w:val="24"/>
          <w:szCs w:val="24"/>
          <w:lang w:val="it-IT" w:eastAsia="de-AT"/>
        </w:rPr>
      </w:pPr>
      <w:r w:rsidRPr="00492E32">
        <w:rPr>
          <w:rFonts w:ascii="Arial" w:hAnsi="Arial" w:cs="Arial"/>
          <w:sz w:val="24"/>
          <w:szCs w:val="24"/>
          <w:lang w:val="it-IT" w:eastAsia="de-AT"/>
        </w:rPr>
        <w:t>Fax: +43 1 47654-</w:t>
      </w:r>
      <w:r w:rsidR="007A7CE4" w:rsidRPr="00492E32">
        <w:rPr>
          <w:rFonts w:ascii="Arial" w:hAnsi="Arial" w:cs="Arial"/>
          <w:sz w:val="24"/>
          <w:szCs w:val="24"/>
          <w:lang w:val="it-IT" w:eastAsia="de-AT"/>
        </w:rPr>
        <w:t>77059</w:t>
      </w:r>
    </w:p>
    <w:p w:rsidR="00E87D9F" w:rsidRPr="00492E32" w:rsidRDefault="00FF7141" w:rsidP="00E87D9F">
      <w:pPr>
        <w:pStyle w:val="address"/>
        <w:spacing w:after="0" w:line="480" w:lineRule="auto"/>
        <w:jc w:val="both"/>
        <w:rPr>
          <w:rFonts w:ascii="Arial" w:hAnsi="Arial" w:cs="Arial"/>
          <w:szCs w:val="24"/>
          <w:lang w:val="it-IT"/>
        </w:rPr>
      </w:pPr>
      <w:hyperlink r:id="rId8" w:history="1">
        <w:r w:rsidR="00E87D9F" w:rsidRPr="00492E32">
          <w:rPr>
            <w:rStyle w:val="Hyperlink"/>
            <w:rFonts w:ascii="Arial" w:hAnsi="Arial" w:cs="Arial"/>
            <w:szCs w:val="24"/>
            <w:lang w:val="it-IT"/>
          </w:rPr>
          <w:t>thomas.rosenau@boku.ac.at</w:t>
        </w:r>
      </w:hyperlink>
      <w:r w:rsidR="00E87D9F" w:rsidRPr="00492E32">
        <w:rPr>
          <w:rFonts w:ascii="Arial" w:hAnsi="Arial" w:cs="Arial"/>
          <w:szCs w:val="24"/>
          <w:lang w:val="it-IT"/>
        </w:rPr>
        <w:t xml:space="preserve"> </w:t>
      </w:r>
    </w:p>
    <w:p w:rsidR="00D01A28" w:rsidRPr="00492E32" w:rsidRDefault="00D01A28" w:rsidP="00E87D9F">
      <w:pPr>
        <w:pStyle w:val="bodytext"/>
        <w:rPr>
          <w:lang w:val="it-IT"/>
        </w:rPr>
      </w:pPr>
    </w:p>
    <w:p w:rsidR="00E87D9F" w:rsidRPr="00492E32" w:rsidRDefault="00D01A28" w:rsidP="00E87D9F">
      <w:pPr>
        <w:pStyle w:val="bodytext"/>
        <w:rPr>
          <w:b/>
          <w:lang w:val="it-IT"/>
        </w:rPr>
      </w:pPr>
      <w:r w:rsidRPr="00492E32">
        <w:rPr>
          <w:b/>
          <w:lang w:val="it-IT"/>
        </w:rPr>
        <w:t>Content</w:t>
      </w:r>
      <w:r w:rsidR="00E87D9F" w:rsidRPr="00492E32">
        <w:rPr>
          <w:b/>
          <w:lang w:val="it-IT"/>
        </w:rPr>
        <w:t>:</w:t>
      </w:r>
    </w:p>
    <w:p w:rsidR="00D01A28" w:rsidRPr="00D01A28" w:rsidRDefault="00E87D9F" w:rsidP="00D01A28">
      <w:pPr>
        <w:pStyle w:val="bodytext"/>
      </w:pPr>
      <w:r>
        <w:t xml:space="preserve">Experimental </w:t>
      </w:r>
      <w:r w:rsidR="00D01A28">
        <w:t>part (p. 2-</w:t>
      </w:r>
      <w:r w:rsidR="00E34880">
        <w:t>6</w:t>
      </w:r>
      <w:r w:rsidR="00D01A28">
        <w:t xml:space="preserve">), </w:t>
      </w:r>
      <w:r w:rsidR="00B75C99">
        <w:t xml:space="preserve">overview of published values for cellulose surface energetics (Table S1), </w:t>
      </w:r>
      <w:r w:rsidR="00D01A28">
        <w:t xml:space="preserve">particle size distributions (Figure S1), </w:t>
      </w:r>
      <w:r w:rsidR="005918CF">
        <w:t xml:space="preserve">SEM micrographs (Figure S2), </w:t>
      </w:r>
      <w:r w:rsidR="00E34880">
        <w:t xml:space="preserve">thermogram of FD / </w:t>
      </w:r>
      <w:r w:rsidR="00E34880">
        <w:rPr>
          <w:i/>
        </w:rPr>
        <w:t>t</w:t>
      </w:r>
      <w:r w:rsidR="00E34880">
        <w:t>BuOH sample (Figure S</w:t>
      </w:r>
      <w:r w:rsidR="00BC09F3">
        <w:t>3</w:t>
      </w:r>
      <w:r w:rsidR="00E34880">
        <w:t>) and</w:t>
      </w:r>
      <w:r w:rsidR="00E34880" w:rsidRPr="00E34880">
        <w:t xml:space="preserve"> </w:t>
      </w:r>
      <w:proofErr w:type="spellStart"/>
      <w:r w:rsidR="00E34880">
        <w:t>thermogram</w:t>
      </w:r>
      <w:proofErr w:type="spellEnd"/>
      <w:r w:rsidR="00E34880">
        <w:t xml:space="preserve"> of scCO</w:t>
      </w:r>
      <w:r w:rsidR="00E34880">
        <w:rPr>
          <w:vertAlign w:val="subscript"/>
        </w:rPr>
        <w:t>2</w:t>
      </w:r>
      <w:r w:rsidR="00E34880">
        <w:t xml:space="preserve"> / EtOH sample (Figure S</w:t>
      </w:r>
      <w:r w:rsidR="00BC09F3">
        <w:t>4</w:t>
      </w:r>
      <w:r w:rsidR="00E34880">
        <w:t>).</w:t>
      </w:r>
    </w:p>
    <w:p w:rsidR="00E34880" w:rsidRDefault="00E34880" w:rsidP="00F85C81">
      <w:pPr>
        <w:pStyle w:val="heading2"/>
      </w:pPr>
    </w:p>
    <w:p w:rsidR="00E87D9F" w:rsidRPr="00C74D48" w:rsidRDefault="00E87D9F" w:rsidP="00F85C81">
      <w:pPr>
        <w:pStyle w:val="heading2"/>
      </w:pPr>
      <w:r w:rsidRPr="00F85C81">
        <w:lastRenderedPageBreak/>
        <w:t>Experimental</w:t>
      </w:r>
    </w:p>
    <w:p w:rsidR="00D01A28" w:rsidRDefault="00E87D9F" w:rsidP="00D01A28">
      <w:pPr>
        <w:pStyle w:val="bodytext"/>
      </w:pPr>
      <w:r w:rsidRPr="00BE7EEE">
        <w:t>TENCEL</w:t>
      </w:r>
      <w:r w:rsidRPr="009F1616">
        <w:rPr>
          <w:vertAlign w:val="superscript"/>
        </w:rPr>
        <w:t>®</w:t>
      </w:r>
      <w:r w:rsidR="001867AA">
        <w:rPr>
          <w:rStyle w:val="FootnoteReference"/>
        </w:rPr>
        <w:footnoteReference w:id="1"/>
      </w:r>
      <w:r w:rsidRPr="00BE7EEE">
        <w:t xml:space="preserve"> gel was provided as purified suspension </w:t>
      </w:r>
      <w:r w:rsidR="007A7CE4">
        <w:t xml:space="preserve">in water </w:t>
      </w:r>
      <w:r w:rsidRPr="00BE7EEE">
        <w:t>by Lenzing AG</w:t>
      </w:r>
      <w:r w:rsidR="007A7CE4">
        <w:t xml:space="preserve"> (</w:t>
      </w:r>
      <w:r w:rsidRPr="00BE7EEE">
        <w:t xml:space="preserve">solid content of </w:t>
      </w:r>
      <w:r>
        <w:t xml:space="preserve">approx. </w:t>
      </w:r>
      <w:r w:rsidRPr="00BE7EEE">
        <w:t>4%</w:t>
      </w:r>
      <w:r w:rsidR="007A7CE4">
        <w:t>)</w:t>
      </w:r>
      <w:r w:rsidRPr="00BE7EEE">
        <w:t xml:space="preserve"> and </w:t>
      </w:r>
      <w:r w:rsidR="007A7CE4">
        <w:t xml:space="preserve">was </w:t>
      </w:r>
      <w:r w:rsidRPr="00BE7EEE">
        <w:t xml:space="preserve">stored at 8°C. </w:t>
      </w:r>
      <w:r>
        <w:rPr>
          <w:i/>
        </w:rPr>
        <w:t>t</w:t>
      </w:r>
      <w:r w:rsidRPr="00BE7EEE">
        <w:t xml:space="preserve">BuOH </w:t>
      </w:r>
      <w:r>
        <w:t>(p.a.) was obtained</w:t>
      </w:r>
      <w:r>
        <w:rPr>
          <w:i/>
        </w:rPr>
        <w:t xml:space="preserve"> </w:t>
      </w:r>
      <w:r>
        <w:t>from Carl Roth</w:t>
      </w:r>
      <w:r w:rsidR="007A7CE4">
        <w:t>,</w:t>
      </w:r>
      <w:r>
        <w:t xml:space="preserve"> and absolute </w:t>
      </w:r>
      <w:proofErr w:type="spellStart"/>
      <w:r>
        <w:t>EtOH</w:t>
      </w:r>
      <w:proofErr w:type="spellEnd"/>
      <w:r>
        <w:t xml:space="preserve"> (</w:t>
      </w:r>
      <w:proofErr w:type="spellStart"/>
      <w:r>
        <w:t>denaturated</w:t>
      </w:r>
      <w:proofErr w:type="spellEnd"/>
      <w:r w:rsidR="007A7CE4">
        <w:t>,</w:t>
      </w:r>
      <w:r>
        <w:t xml:space="preserve"> ≥98%) was purchased from Sigma-Aldrich. </w:t>
      </w:r>
    </w:p>
    <w:p w:rsidR="007A7CE4" w:rsidRDefault="007A7CE4" w:rsidP="00F85C81">
      <w:pPr>
        <w:pStyle w:val="heading2"/>
      </w:pPr>
    </w:p>
    <w:p w:rsidR="00E87D9F" w:rsidRPr="00D01A28" w:rsidRDefault="00E87D9F" w:rsidP="00F85C81">
      <w:pPr>
        <w:pStyle w:val="heading2"/>
      </w:pPr>
      <w:r w:rsidRPr="00D01A28">
        <w:t>Materials and Methods</w:t>
      </w:r>
    </w:p>
    <w:p w:rsidR="00E87D9F" w:rsidRPr="00D01A28" w:rsidRDefault="00E87D9F" w:rsidP="00E87D9F">
      <w:pPr>
        <w:pStyle w:val="bodytext"/>
        <w:rPr>
          <w:b/>
        </w:rPr>
      </w:pPr>
      <w:r w:rsidRPr="00D01A28">
        <w:rPr>
          <w:b/>
        </w:rPr>
        <w:t>Solvent-exchange and freeze-drying of TENCEL</w:t>
      </w:r>
      <w:r w:rsidRPr="00D01A28">
        <w:rPr>
          <w:b/>
          <w:vertAlign w:val="superscript"/>
        </w:rPr>
        <w:t>®</w:t>
      </w:r>
      <w:r w:rsidRPr="00D01A28">
        <w:rPr>
          <w:b/>
        </w:rPr>
        <w:t xml:space="preserve"> gel (FD</w:t>
      </w:r>
      <w:r w:rsidR="00736876">
        <w:rPr>
          <w:b/>
        </w:rPr>
        <w:t xml:space="preserve"> /</w:t>
      </w:r>
      <w:r w:rsidRPr="00D01A28">
        <w:rPr>
          <w:b/>
        </w:rPr>
        <w:t xml:space="preserve"> </w:t>
      </w:r>
      <w:r w:rsidRPr="00D01A28">
        <w:rPr>
          <w:b/>
          <w:i/>
        </w:rPr>
        <w:t>t</w:t>
      </w:r>
      <w:r w:rsidRPr="00D01A28">
        <w:rPr>
          <w:b/>
        </w:rPr>
        <w:t>BuOH)</w:t>
      </w:r>
    </w:p>
    <w:p w:rsidR="00E87D9F" w:rsidRPr="007D4F4F" w:rsidRDefault="00E87D9F" w:rsidP="00E87D9F">
      <w:pPr>
        <w:pStyle w:val="bodytext"/>
      </w:pPr>
      <w:r>
        <w:t>TENCEL</w:t>
      </w:r>
      <w:r w:rsidRPr="007D4F4F">
        <w:rPr>
          <w:vertAlign w:val="superscript"/>
        </w:rPr>
        <w:t>®</w:t>
      </w:r>
      <w:r>
        <w:t xml:space="preserve"> gel (4 </w:t>
      </w:r>
      <w:proofErr w:type="gramStart"/>
      <w:r>
        <w:t>wt%</w:t>
      </w:r>
      <w:proofErr w:type="gramEnd"/>
      <w:r>
        <w:t xml:space="preserve">) was concentrated by centrifugation at 4000 </w:t>
      </w:r>
      <w:r w:rsidR="0053614F">
        <w:t>RCF</w:t>
      </w:r>
      <w:r>
        <w:t xml:space="preserve"> for 5min. The supernatant was removed and </w:t>
      </w:r>
      <w:r w:rsidRPr="006C32B9">
        <w:t xml:space="preserve">a 10-fold volume of </w:t>
      </w:r>
      <w:r>
        <w:rPr>
          <w:i/>
        </w:rPr>
        <w:t>t</w:t>
      </w:r>
      <w:r>
        <w:t>BuOH was added. The mixture was shaken overnight at room temperature. This procedure was repeated once</w:t>
      </w:r>
      <w:r w:rsidR="00B00BD7">
        <w:t>. T</w:t>
      </w:r>
      <w:r>
        <w:t xml:space="preserve">he </w:t>
      </w:r>
      <w:proofErr w:type="spellStart"/>
      <w:r w:rsidR="005802F0">
        <w:t>lyogel</w:t>
      </w:r>
      <w:proofErr w:type="spellEnd"/>
      <w:r w:rsidR="005802F0">
        <w:t xml:space="preserve"> </w:t>
      </w:r>
      <w:r>
        <w:t xml:space="preserve">was stored at 30°C to prevent freezing of </w:t>
      </w:r>
      <w:r>
        <w:rPr>
          <w:i/>
        </w:rPr>
        <w:t>t</w:t>
      </w:r>
      <w:r>
        <w:t>BuOH</w:t>
      </w:r>
      <w:r w:rsidR="00B00BD7">
        <w:t xml:space="preserve"> and </w:t>
      </w:r>
      <w:r>
        <w:t>was added dropwise into liquid N</w:t>
      </w:r>
      <w:r>
        <w:rPr>
          <w:vertAlign w:val="subscript"/>
        </w:rPr>
        <w:t>2</w:t>
      </w:r>
      <w:r w:rsidR="00B00BD7">
        <w:t>.</w:t>
      </w:r>
      <w:r>
        <w:t xml:space="preserve"> </w:t>
      </w:r>
      <w:r w:rsidR="00B00BD7">
        <w:t>T</w:t>
      </w:r>
      <w:r>
        <w:t xml:space="preserve">he frozen gel was transferred into the lyophilizer (Christ Beta 1-8 LDplus, T = </w:t>
      </w:r>
      <w:r>
        <w:noBreakHyphen/>
      </w:r>
      <w:r w:rsidRPr="007D4F4F">
        <w:t xml:space="preserve">56°C, p = 0.01 mbar) </w:t>
      </w:r>
      <w:r>
        <w:t>and freeze-dried for 3 days.</w:t>
      </w:r>
    </w:p>
    <w:p w:rsidR="00E87D9F" w:rsidRPr="00924313" w:rsidRDefault="00E87D9F" w:rsidP="00E87D9F">
      <w:pPr>
        <w:pStyle w:val="bodytext"/>
        <w:rPr>
          <w:b/>
        </w:rPr>
      </w:pPr>
      <w:r w:rsidRPr="00924313">
        <w:rPr>
          <w:b/>
        </w:rPr>
        <w:t>Solvent-exchange and supercritical drying of TENCEL</w:t>
      </w:r>
      <w:r w:rsidRPr="00924313">
        <w:rPr>
          <w:b/>
          <w:vertAlign w:val="superscript"/>
        </w:rPr>
        <w:t>®</w:t>
      </w:r>
      <w:r w:rsidRPr="00924313">
        <w:rPr>
          <w:b/>
        </w:rPr>
        <w:t xml:space="preserve"> gel (scCO</w:t>
      </w:r>
      <w:r w:rsidRPr="00924313">
        <w:rPr>
          <w:b/>
          <w:vertAlign w:val="subscript"/>
        </w:rPr>
        <w:t>2</w:t>
      </w:r>
      <w:r w:rsidRPr="00924313">
        <w:rPr>
          <w:b/>
        </w:rPr>
        <w:t xml:space="preserve"> </w:t>
      </w:r>
      <w:r w:rsidR="00736876">
        <w:rPr>
          <w:b/>
        </w:rPr>
        <w:t xml:space="preserve">/ </w:t>
      </w:r>
      <w:r w:rsidRPr="00924313">
        <w:rPr>
          <w:b/>
        </w:rPr>
        <w:t>EtOH)</w:t>
      </w:r>
    </w:p>
    <w:p w:rsidR="00E87D9F" w:rsidRPr="00502A61" w:rsidRDefault="00E87D9F" w:rsidP="00E87D9F">
      <w:pPr>
        <w:pStyle w:val="bodytext"/>
      </w:pPr>
      <w:r>
        <w:t xml:space="preserve">A similar procedure as described above </w:t>
      </w:r>
      <w:r w:rsidRPr="006C32B9">
        <w:t>was applied fo</w:t>
      </w:r>
      <w:r>
        <w:t xml:space="preserve">r the solvent-exchange to EtOH with the difference than in case of EtOH the procedure was repeated twice. The resulting alcogel was concentrated by centrifugation (5 min at 4000 </w:t>
      </w:r>
      <w:r w:rsidR="0053614F">
        <w:t>RCF</w:t>
      </w:r>
      <w:r>
        <w:t>) and transferred into a small filter bag (</w:t>
      </w:r>
      <w:proofErr w:type="spellStart"/>
      <w:r>
        <w:t>Melitta</w:t>
      </w:r>
      <w:proofErr w:type="spellEnd"/>
      <w:r w:rsidRPr="008772C4">
        <w:rPr>
          <w:vertAlign w:val="superscript"/>
        </w:rPr>
        <w:t>®</w:t>
      </w:r>
      <w:r>
        <w:t xml:space="preserve"> </w:t>
      </w:r>
      <w:proofErr w:type="spellStart"/>
      <w:r>
        <w:t>Filtertüten</w:t>
      </w:r>
      <w:proofErr w:type="spellEnd"/>
      <w:r>
        <w:t xml:space="preserve"> Original, 1x2). The upper site of the bag was closed with a stapler and placed into a 300 mL autoclave equipped with a separator for CO</w:t>
      </w:r>
      <w:r>
        <w:rPr>
          <w:vertAlign w:val="subscript"/>
        </w:rPr>
        <w:t>2</w:t>
      </w:r>
      <w:r>
        <w:t xml:space="preserve"> recycling (SF-1, </w:t>
      </w:r>
      <w:proofErr w:type="spellStart"/>
      <w:r>
        <w:t>Separex</w:t>
      </w:r>
      <w:proofErr w:type="spellEnd"/>
      <w:r>
        <w:t>, France). A constant flow of supercritical CO</w:t>
      </w:r>
      <w:r>
        <w:rPr>
          <w:vertAlign w:val="subscript"/>
        </w:rPr>
        <w:t>2</w:t>
      </w:r>
      <w:r>
        <w:t xml:space="preserve"> (40 g/min) at 10 MPa and 40°C was applied and after 2.5 h, the system was depressurized at a rate of &lt;0.1 MPa/min.</w:t>
      </w:r>
    </w:p>
    <w:p w:rsidR="00D01A28" w:rsidRDefault="00D01A28" w:rsidP="00E87D9F">
      <w:pPr>
        <w:pStyle w:val="bodytext"/>
        <w:rPr>
          <w:b/>
        </w:rPr>
      </w:pPr>
    </w:p>
    <w:p w:rsidR="00E87D9F" w:rsidRPr="00924313" w:rsidRDefault="00924313" w:rsidP="00E87D9F">
      <w:pPr>
        <w:pStyle w:val="bodytext"/>
        <w:rPr>
          <w:b/>
        </w:rPr>
      </w:pPr>
      <w:r>
        <w:rPr>
          <w:b/>
        </w:rPr>
        <w:t>Nitrogen sorption experiments</w:t>
      </w:r>
    </w:p>
    <w:p w:rsidR="00E87D9F" w:rsidRDefault="00E87D9F" w:rsidP="00E87D9F">
      <w:pPr>
        <w:pStyle w:val="bodytext"/>
      </w:pPr>
      <w:r w:rsidRPr="003B0FBE">
        <w:t xml:space="preserve">Nitrogen sorption measurements were performed at 77 K on Micromeritics ASAP 2020 </w:t>
      </w:r>
      <w:r>
        <w:t xml:space="preserve">and TriStar II 3020 </w:t>
      </w:r>
      <w:r w:rsidRPr="003B0FBE">
        <w:t xml:space="preserve">instruments. The surface area was calculated according to </w:t>
      </w:r>
      <w:proofErr w:type="spellStart"/>
      <w:r w:rsidRPr="003B0FBE">
        <w:t>Brunauer</w:t>
      </w:r>
      <w:proofErr w:type="spellEnd"/>
      <w:r w:rsidRPr="003B0FBE">
        <w:t xml:space="preserve">, Emmett and Teller (BET) theory, and the pore size distribution according to Barrett, Joyner and </w:t>
      </w:r>
      <w:proofErr w:type="spellStart"/>
      <w:r w:rsidRPr="003B0FBE">
        <w:t>Halenda</w:t>
      </w:r>
      <w:proofErr w:type="spellEnd"/>
      <w:r w:rsidRPr="003B0FBE">
        <w:t xml:space="preserve"> (BJH), applied on adsorption and desorption branches of the BET isotherm. The samples were degassed under vacuum </w:t>
      </w:r>
      <w:r w:rsidR="005802F0">
        <w:t xml:space="preserve">at 60°C </w:t>
      </w:r>
      <w:r>
        <w:t>overnight</w:t>
      </w:r>
      <w:r w:rsidRPr="003B0FBE">
        <w:t>.</w:t>
      </w:r>
    </w:p>
    <w:p w:rsidR="004035A4" w:rsidRDefault="004035A4" w:rsidP="00E87D9F">
      <w:pPr>
        <w:pStyle w:val="bodytext"/>
        <w:rPr>
          <w:b/>
        </w:rPr>
      </w:pPr>
    </w:p>
    <w:p w:rsidR="00E87D9F" w:rsidRDefault="00E87D9F" w:rsidP="00E87D9F">
      <w:pPr>
        <w:pStyle w:val="bodytext"/>
        <w:rPr>
          <w:b/>
        </w:rPr>
      </w:pPr>
      <w:r w:rsidRPr="00924313">
        <w:rPr>
          <w:b/>
        </w:rPr>
        <w:t>Thermoporosimetry</w:t>
      </w:r>
    </w:p>
    <w:p w:rsidR="0053614F" w:rsidRDefault="0053614F" w:rsidP="0053614F">
      <w:pPr>
        <w:pStyle w:val="bodytext"/>
      </w:pPr>
      <w:r>
        <w:t>Thermoporosimetry which is based on the Gibbs–Thomson equation</w:t>
      </w:r>
      <w:r w:rsidR="008D2965">
        <w:t xml:space="preserve"> </w:t>
      </w:r>
      <w:r>
        <w:fldChar w:fldCharType="begin"/>
      </w:r>
      <w:r>
        <w:instrText xml:space="preserve"> ADDIN ZOTERO_ITEM CSL_CITATION {"citationID":"2k68t1p44q","properties":{"formattedCitation":"(Thomson 1871; Gibbs 1928)","plainCitation":"(Thomson 1871; Gibbs 1928)"},"citationItems":[{"id":2917,"uris":["http://zotero.org/users/1099718/items/BESF86MJ"],"uri":["http://zotero.org/users/1099718/items/BESF86MJ"],"itemData":{"id":2917,"type":"article-journal","title":"LX. On the Equilibrium of Vapour at a Curved Suface of Liquid","container-title":"Philosophical Magazine Series 4","page":"448-452","volume":"42","author":[{"family":"Thomson","given":"W"}],"issued":{"date-parts":[["1871"]]}}},{"id":2922,"uris":["http://zotero.org/users/1099718/items/RH6SUIDJ"],"uri":["http://zotero.org/users/1099718/items/RH6SUIDJ"],"itemData":{"id":2922,"type":"book","title":"The Collected Works of J. Willard Gibbs","publisher":"Longmans, Green","publisher-place":"New York","event-place":"New York","author":[{"family":"Gibbs","given":"J. Willard"}],"issued":{"date-parts":[["1928"]]}}}],"schema":"https://github.com/citation-style-language/schema/raw/master/csl-citation.json"} </w:instrText>
      </w:r>
      <w:r>
        <w:fldChar w:fldCharType="separate"/>
      </w:r>
      <w:r w:rsidRPr="0053614F">
        <w:t>(Thomson 1871; Gibbs 1928)</w:t>
      </w:r>
      <w:r>
        <w:fldChar w:fldCharType="end"/>
      </w:r>
      <w:r>
        <w:t xml:space="preserve"> and quantifies the shift of melting points of a liquid confined within a porous structure was applied to determine the pore size distribution. Crystallization curves of </w:t>
      </w:r>
      <w:r w:rsidRPr="005802F0">
        <w:rPr>
          <w:i/>
        </w:rPr>
        <w:t>o</w:t>
      </w:r>
      <w:r>
        <w:t xml:space="preserve">-xylene resembling the probe liquid filing the samples pores were recorded by DSC measurements. About 50 mg of respective dried powdery cellulose sample was placed in an aluminum DSC pan and </w:t>
      </w:r>
      <w:r w:rsidRPr="005802F0">
        <w:rPr>
          <w:i/>
        </w:rPr>
        <w:t>o</w:t>
      </w:r>
      <w:r>
        <w:t xml:space="preserve">-xylene was added in excess. A </w:t>
      </w:r>
      <w:proofErr w:type="spellStart"/>
      <w:r>
        <w:t>Mettler</w:t>
      </w:r>
      <w:proofErr w:type="spellEnd"/>
      <w:r>
        <w:t xml:space="preserve">-Toledo DSC 823e apparatus equipped with and </w:t>
      </w:r>
      <w:proofErr w:type="spellStart"/>
      <w:r>
        <w:t>intracooler</w:t>
      </w:r>
      <w:proofErr w:type="spellEnd"/>
      <w:r>
        <w:t xml:space="preserve"> was then used to </w:t>
      </w:r>
      <w:r w:rsidRPr="004035A4">
        <w:t xml:space="preserve">record the </w:t>
      </w:r>
      <w:proofErr w:type="spellStart"/>
      <w:r w:rsidRPr="004035A4">
        <w:t>thermograms</w:t>
      </w:r>
      <w:proofErr w:type="spellEnd"/>
      <w:r w:rsidR="001E4EB9" w:rsidRPr="004035A4">
        <w:t xml:space="preserve"> (see Figure S</w:t>
      </w:r>
      <w:r w:rsidR="00D35287" w:rsidRPr="004035A4">
        <w:t>3</w:t>
      </w:r>
      <w:r w:rsidR="001E4EB9" w:rsidRPr="004035A4">
        <w:t xml:space="preserve"> and S</w:t>
      </w:r>
      <w:r w:rsidR="00D35287" w:rsidRPr="004035A4">
        <w:t>4</w:t>
      </w:r>
      <w:r w:rsidR="001E4EB9" w:rsidRPr="004035A4">
        <w:t>)</w:t>
      </w:r>
      <w:r w:rsidRPr="004035A4">
        <w:t>. Following temperature program was</w:t>
      </w:r>
      <w:r>
        <w:t xml:space="preserve"> applied:</w:t>
      </w:r>
    </w:p>
    <w:p w:rsidR="0053614F" w:rsidRDefault="0053614F" w:rsidP="0053614F">
      <w:pPr>
        <w:pStyle w:val="bodytext"/>
        <w:numPr>
          <w:ilvl w:val="0"/>
          <w:numId w:val="11"/>
        </w:numPr>
      </w:pPr>
      <w:r>
        <w:t>Cooling for 25 °C to -85 °C at 1 K min</w:t>
      </w:r>
      <w:r w:rsidRPr="0053614F">
        <w:rPr>
          <w:vertAlign w:val="superscript"/>
        </w:rPr>
        <w:t>-1</w:t>
      </w:r>
      <w:r>
        <w:t xml:space="preserve"> followed by a isothermal step for 5 minutes at -85 °C</w:t>
      </w:r>
    </w:p>
    <w:p w:rsidR="0053614F" w:rsidRDefault="0053614F" w:rsidP="0053614F">
      <w:pPr>
        <w:pStyle w:val="bodytext"/>
        <w:numPr>
          <w:ilvl w:val="0"/>
          <w:numId w:val="11"/>
        </w:numPr>
      </w:pPr>
      <w:r>
        <w:t>Heating from -85 °C to -25.5 °C at 1 K min</w:t>
      </w:r>
      <w:r w:rsidRPr="0053614F">
        <w:rPr>
          <w:vertAlign w:val="superscript"/>
        </w:rPr>
        <w:t>-1</w:t>
      </w:r>
      <w:r>
        <w:t xml:space="preserve"> followed by a is</w:t>
      </w:r>
      <w:r w:rsidR="001867AA">
        <w:t>othermal step for 10 minutes at</w:t>
      </w:r>
      <w:r>
        <w:t xml:space="preserve"> </w:t>
      </w:r>
      <w:r w:rsidR="001867AA">
        <w:t>-</w:t>
      </w:r>
      <w:r>
        <w:t>25.5 °C</w:t>
      </w:r>
    </w:p>
    <w:p w:rsidR="0053614F" w:rsidRDefault="0053614F" w:rsidP="0053614F">
      <w:pPr>
        <w:pStyle w:val="bodytext"/>
        <w:numPr>
          <w:ilvl w:val="0"/>
          <w:numId w:val="11"/>
        </w:numPr>
      </w:pPr>
      <w:r>
        <w:t>Cooling for -25.5 °C to -85 °C at 1 K min</w:t>
      </w:r>
      <w:r w:rsidRPr="0053614F">
        <w:rPr>
          <w:vertAlign w:val="superscript"/>
        </w:rPr>
        <w:t>-1</w:t>
      </w:r>
    </w:p>
    <w:p w:rsidR="0053614F" w:rsidRDefault="0053614F" w:rsidP="0053614F">
      <w:pPr>
        <w:pStyle w:val="bodytext"/>
      </w:pPr>
      <w:r>
        <w:t xml:space="preserve">The first cooling cycle </w:t>
      </w:r>
      <w:r w:rsidR="00E703D7">
        <w:t>presenting</w:t>
      </w:r>
      <w:r>
        <w:t xml:space="preserve"> super cooling is used to crystalize the entire </w:t>
      </w:r>
      <w:r w:rsidRPr="005802F0">
        <w:rPr>
          <w:i/>
        </w:rPr>
        <w:t>o</w:t>
      </w:r>
      <w:r>
        <w:t xml:space="preserve">-xylene. The heating to </w:t>
      </w:r>
      <w:r w:rsidR="001867AA">
        <w:t>-</w:t>
      </w:r>
      <w:r>
        <w:t>25.5 °C</w:t>
      </w:r>
      <w:r w:rsidR="00E703D7">
        <w:t xml:space="preserve"> afterwards</w:t>
      </w:r>
      <w:r>
        <w:t xml:space="preserve"> melts the solvent confined in the pores while the </w:t>
      </w:r>
      <w:r>
        <w:lastRenderedPageBreak/>
        <w:t xml:space="preserve">bulk solvent remains solid. The second cooling cycle yields crystallization at depressed temperatures for the confined solvent and was used to calculate the pore size distribution. </w:t>
      </w:r>
      <w:r w:rsidRPr="005802F0">
        <w:rPr>
          <w:i/>
        </w:rPr>
        <w:t>O</w:t>
      </w:r>
      <w:r w:rsidR="00E703D7">
        <w:t>-xylene as probe solvent was ch</w:t>
      </w:r>
      <w:r>
        <w:t>ose</w:t>
      </w:r>
      <w:r w:rsidR="00E703D7">
        <w:t>n</w:t>
      </w:r>
      <w:r>
        <w:t xml:space="preserve"> due to its good calibration over a wide range of pore sizes by employing </w:t>
      </w:r>
      <w:r w:rsidR="006B36D6">
        <w:t>both mesoporous and macroporous</w:t>
      </w:r>
      <w:bookmarkStart w:id="0" w:name="_GoBack"/>
      <w:bookmarkEnd w:id="0"/>
      <w:r>
        <w:t xml:space="preserve"> silica gels by </w:t>
      </w:r>
      <w:proofErr w:type="spellStart"/>
      <w:r>
        <w:t>Dessources</w:t>
      </w:r>
      <w:proofErr w:type="spellEnd"/>
      <w:r>
        <w:t xml:space="preserve"> et al.</w:t>
      </w:r>
      <w:r>
        <w:fldChar w:fldCharType="begin"/>
      </w:r>
      <w:r>
        <w:instrText xml:space="preserve"> ADDIN ZOTERO_ITEM CSL_CITATION {"citationID":"1k2tn0cqjc","properties":{"formattedCitation":"(Dessources et al. 2012)","plainCitation":"(Dessources et al. 2012)"},"citationItems":[{"id":2919,"uris":["http://zotero.org/users/1099718/items/NBVKC67A"],"uri":["http://zotero.org/users/1099718/items/NBVKC67A"],"itemData":{"id":2919,"type":"article-journal","title":"Multiscale characterization of hierarchically organized porous hybrid materials","container-title":"Journal of Materials Chemistry","page":"2713–2720","volume":"22","issue":"6","source":"Google Scholar","author":[{"family":"Dessources","given":"A. Hardy"},{"family":"Hartmann","given":"Sarah"},{"family":"Baba","given":"Mohamed"},{"family":"Huesing","given":"Nicola"},{"family":"Nedelec","given":"Jean-Marie"}],"issued":{"date-parts":[["2012"]]}}}],"schema":"https://github.com/citation-style-language/schema/raw/master/csl-citation.json"} </w:instrText>
      </w:r>
      <w:r>
        <w:fldChar w:fldCharType="separate"/>
      </w:r>
      <w:r w:rsidRPr="0053614F">
        <w:t>(Dessources et al. 2012)</w:t>
      </w:r>
      <w:r>
        <w:fldChar w:fldCharType="end"/>
      </w:r>
      <w:r>
        <w:t xml:space="preserve">. The </w:t>
      </w:r>
      <w:r w:rsidR="008772C4">
        <w:t>subsequent</w:t>
      </w:r>
      <w:r>
        <w:t xml:space="preserve"> equation describing the relationship between pore radius, thickness of solvent layer remaining adsorbed on the surface of pores and temperature shift caused by confinement was applied</w:t>
      </w:r>
      <w:r w:rsidR="008772C4">
        <w:t xml:space="preserve"> </w:t>
      </w:r>
      <w:r>
        <w:fldChar w:fldCharType="begin"/>
      </w:r>
      <w:r>
        <w:instrText xml:space="preserve"> ADDIN ZOTERO_ITEM CSL_CITATION {"citationID":"kmtrif5f0","properties":{"formattedCitation":"(Billamboz et al. 2004; Dessources et al. 2012)","plainCitation":"(Billamboz et al. 2004; Dessources et al. 2012)"},"citationItems":[{"id":2921,"uris":["http://zotero.org/users/1099718/items/E6GV29J7"],"uri":["http://zotero.org/users/1099718/items/E6GV29J7"],"itemData":{"id":2921,"type":"article-journal","title":"A General Law for Predictive Use of Thermoporosimetry as a Tool for the Determination of Textural Properties of Divided Media","container-title":"The Journal of Physical Chemistry B","page":"12032-12037","volume":"108","issue":"32","source":"CrossRef","DOI":"10.1021/jp048189e","ISSN":"1520-6106, 1520-5207","language":"en","author":[{"family":"Billamboz","given":"Nicolas"},{"family":"Baba","given":"Mohamed"},{"family":"Grivet","given":"Manuel"},{"family":"Nedelec","given":"Jean-Marie"}],"issued":{"date-parts":[["2004",8]]}}},{"id":2919,"uris":["http://zotero.org/users/1099718/items/NBVKC67A"],"uri":["http://zotero.org/users/1099718/items/NBVKC67A"],"itemData":{"id":2919,"type":"article-journal","title":"Multiscale characterization of hierarchically organized porous hybrid materials","container-title":"Journal of Materials Chemistry","page":"2713–2720","volume":"22","issue":"6","source":"Google Scholar","author":[{"family":"Dessources","given":"A. Hardy"},{"family":"Hartmann","given":"Sarah"},{"family":"Baba","given":"Mohamed"},{"family":"Huesing","given":"Nicola"},{"family":"Nedelec","given":"Jean-Marie"}],"issued":{"date-parts":[["2012"]]}}}],"schema":"https://github.com/citation-style-language/schema/raw/master/csl-citation.json"} </w:instrText>
      </w:r>
      <w:r>
        <w:fldChar w:fldCharType="separate"/>
      </w:r>
      <w:r w:rsidRPr="0053614F">
        <w:t>(Billamboz et al. 2004; Dessources et al. 2012)</w:t>
      </w:r>
      <w:r>
        <w:fldChar w:fldCharType="end"/>
      </w:r>
      <w:r>
        <w:t>.</w:t>
      </w:r>
    </w:p>
    <w:p w:rsidR="0053614F" w:rsidRPr="0053614F" w:rsidRDefault="00FF7141" w:rsidP="00E34880">
      <w:pPr>
        <w:pStyle w:val="bodytext"/>
      </w:pPr>
      <m:oMath>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=t exp</m:t>
        </m:r>
        <m:d>
          <m:dPr>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c∆T</m:t>
                </m:r>
              </m:den>
            </m:f>
          </m:e>
        </m:d>
      </m:oMath>
      <w:r w:rsidR="0053614F" w:rsidRPr="0053614F">
        <w:rPr>
          <w:rFonts w:eastAsiaTheme="minorEastAsia"/>
        </w:rPr>
        <w:t>, with t = 1.4919 nm (thickness of solvent layer remaining adsorbed on the surface of the pores)</w:t>
      </w:r>
      <w:r w:rsidR="001E4EB9">
        <w:rPr>
          <w:rFonts w:eastAsiaTheme="minorEastAsia"/>
        </w:rPr>
        <w:t xml:space="preserve"> and </w:t>
      </w:r>
      <w:r w:rsidR="0053614F" w:rsidRPr="0053614F">
        <w:rPr>
          <w:rFonts w:eastAsiaTheme="minorEastAsia"/>
        </w:rPr>
        <w:t>c = 0.03706 °C</w:t>
      </w:r>
      <w:r w:rsidR="0053614F" w:rsidRPr="0053614F">
        <w:rPr>
          <w:rFonts w:eastAsiaTheme="minorEastAsia"/>
          <w:vertAlign w:val="superscript"/>
        </w:rPr>
        <w:t>-1</w:t>
      </w:r>
      <w:r w:rsidR="0053614F">
        <w:rPr>
          <w:rFonts w:eastAsiaTheme="minorEastAsia"/>
        </w:rPr>
        <w:t>.</w:t>
      </w:r>
    </w:p>
    <w:p w:rsidR="0053614F" w:rsidRPr="0053614F" w:rsidRDefault="003D2605" w:rsidP="0053614F">
      <w:pPr>
        <w:pStyle w:val="bodytext"/>
      </w:pPr>
      <w:r w:rsidRPr="004035A4">
        <w:t xml:space="preserve">The mean pore </w:t>
      </w:r>
      <w:r w:rsidR="007F663B" w:rsidRPr="004035A4">
        <w:t>diameter (</w:t>
      </w:r>
      <w:proofErr w:type="spellStart"/>
      <w:r w:rsidR="007F663B" w:rsidRPr="004035A4">
        <w:t>D</w:t>
      </w:r>
      <w:r w:rsidR="007F663B" w:rsidRPr="004035A4">
        <w:rPr>
          <w:vertAlign w:val="subscript"/>
        </w:rPr>
        <w:t>Pore</w:t>
      </w:r>
      <w:proofErr w:type="spellEnd"/>
      <w:r w:rsidR="007F663B" w:rsidRPr="004035A4">
        <w:t>)</w:t>
      </w:r>
      <w:r w:rsidRPr="004035A4">
        <w:t xml:space="preserve"> was </w:t>
      </w:r>
      <w:r w:rsidR="00492E32" w:rsidRPr="004035A4">
        <w:t>calculated from the pore range of 0 to 200 nm using</w:t>
      </w:r>
      <w:r w:rsidRPr="004035A4">
        <w:t xml:space="preserve"> </w:t>
      </w:r>
      <w:proofErr w:type="spellStart"/>
      <w:r w:rsidRPr="004035A4">
        <w:t>OriginPro</w:t>
      </w:r>
      <w:proofErr w:type="spellEnd"/>
      <w:r w:rsidRPr="004035A4">
        <w:t xml:space="preserve"> 9.</w:t>
      </w:r>
      <w:r>
        <w:t xml:space="preserve"> </w:t>
      </w:r>
    </w:p>
    <w:p w:rsidR="004035A4" w:rsidRDefault="004035A4" w:rsidP="00E87D9F">
      <w:pPr>
        <w:pStyle w:val="bodytext"/>
        <w:rPr>
          <w:b/>
        </w:rPr>
      </w:pPr>
    </w:p>
    <w:p w:rsidR="00E87D9F" w:rsidRPr="00924313" w:rsidRDefault="00E87D9F" w:rsidP="00E87D9F">
      <w:pPr>
        <w:pStyle w:val="bodytext"/>
        <w:rPr>
          <w:b/>
        </w:rPr>
      </w:pPr>
      <w:r w:rsidRPr="00924313">
        <w:rPr>
          <w:b/>
        </w:rPr>
        <w:t>Inverse gas chromatography</w:t>
      </w:r>
    </w:p>
    <w:p w:rsidR="00E87D9F" w:rsidRPr="000A344E" w:rsidRDefault="00E87D9F" w:rsidP="00E87D9F">
      <w:pPr>
        <w:pStyle w:val="bodytext"/>
      </w:pPr>
      <w:r w:rsidRPr="000A344E">
        <w:t xml:space="preserve">All analyses were carried out </w:t>
      </w:r>
      <w:r w:rsidR="002F4C3D">
        <w:t>on a</w:t>
      </w:r>
      <w:r w:rsidR="00E703D7">
        <w:t>n</w:t>
      </w:r>
      <w:r w:rsidRPr="000A344E">
        <w:t xml:space="preserve"> iGC Surface Energ</w:t>
      </w:r>
      <w:r>
        <w:t>y Analyzer</w:t>
      </w:r>
      <w:r w:rsidR="00A80483">
        <w:t xml:space="preserve"> (Surface Measurement Systems Ltd, UK)</w:t>
      </w:r>
      <w:r>
        <w:t>. The data were analyz</w:t>
      </w:r>
      <w:r w:rsidRPr="000A344E">
        <w:t xml:space="preserve">ed </w:t>
      </w:r>
      <w:r w:rsidR="00A80483">
        <w:t>using the</w:t>
      </w:r>
      <w:r w:rsidRPr="000A344E">
        <w:t xml:space="preserve"> a</w:t>
      </w:r>
      <w:r>
        <w:t xml:space="preserve">dvanced SEA Analysis Software. </w:t>
      </w:r>
    </w:p>
    <w:p w:rsidR="00621358" w:rsidRDefault="002F4C3D" w:rsidP="00E87D9F">
      <w:pPr>
        <w:pStyle w:val="bodytext"/>
      </w:pPr>
      <w:r>
        <w:t>The samples (a</w:t>
      </w:r>
      <w:r w:rsidR="00E87D9F" w:rsidRPr="000A344E">
        <w:t>bout 5 mg</w:t>
      </w:r>
      <w:r>
        <w:t>)</w:t>
      </w:r>
      <w:r w:rsidR="00E87D9F" w:rsidRPr="000A344E">
        <w:t xml:space="preserve"> were pa</w:t>
      </w:r>
      <w:r w:rsidR="00E87D9F">
        <w:t xml:space="preserve">cked into individual </w:t>
      </w:r>
      <w:proofErr w:type="spellStart"/>
      <w:r w:rsidR="00E87D9F">
        <w:t>iGC</w:t>
      </w:r>
      <w:proofErr w:type="spellEnd"/>
      <w:r w:rsidR="00E87D9F">
        <w:t xml:space="preserve"> </w:t>
      </w:r>
      <w:proofErr w:type="spellStart"/>
      <w:r w:rsidR="00E87D9F">
        <w:t>silaniz</w:t>
      </w:r>
      <w:r w:rsidR="00E87D9F" w:rsidRPr="000A344E">
        <w:t>ed</w:t>
      </w:r>
      <w:proofErr w:type="spellEnd"/>
      <w:r w:rsidR="00E87D9F" w:rsidRPr="000A344E">
        <w:t xml:space="preserve"> glass column</w:t>
      </w:r>
      <w:r w:rsidR="00E703D7">
        <w:t>s</w:t>
      </w:r>
      <w:r w:rsidR="00E87D9F" w:rsidRPr="000A344E">
        <w:t>, and run at a series of surface coverage with alkanes and polar probe molecules to determine the dispersive surface energy (</w:t>
      </w:r>
      <m:oMath>
        <m:sSubSup>
          <m:sSubSupPr>
            <m:ctrlPr>
              <w:rPr>
                <w:rFonts w:ascii="Cambria Math" w:eastAsiaTheme="minorHAnsi" w:hAnsi="Cambria Math" w:cs="Times New Roman"/>
                <w:i/>
                <w:color w:val="000000"/>
                <w:sz w:val="22"/>
                <w:szCs w:val="22"/>
                <w:lang w:eastAsia="en-US"/>
              </w:rPr>
            </m:ctrlPr>
          </m:sSubSupPr>
          <m:e>
            <m:r>
              <w:rPr>
                <w:rFonts w:ascii="Cambria Math" w:hAnsi="Cambria Math" w:cs="Times New Roman"/>
                <w:color w:val="000000"/>
              </w:rPr>
              <m:t>γ</m:t>
            </m:r>
          </m:e>
          <m:sub>
            <m:r>
              <w:rPr>
                <w:rFonts w:ascii="Cambria Math" w:hAnsi="Cambria Math" w:cs="Times New Roman"/>
                <w:color w:val="000000"/>
              </w:rPr>
              <m:t>s</m:t>
            </m:r>
          </m:sub>
          <m:sup>
            <m:r>
              <w:rPr>
                <w:rFonts w:ascii="Cambria Math" w:hAnsi="Cambria Math" w:cs="Times New Roman"/>
                <w:color w:val="000000"/>
              </w:rPr>
              <m:t>D</m:t>
            </m:r>
          </m:sup>
        </m:sSubSup>
      </m:oMath>
      <w:r w:rsidR="00E87D9F" w:rsidRPr="000A344E">
        <w:t>) as well as the acid-base free energy of adsorption (</w:t>
      </w:r>
      <m:oMath>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SP</m:t>
            </m:r>
          </m:sub>
        </m:sSub>
      </m:oMath>
      <w:r w:rsidR="00E87D9F" w:rsidRPr="000A344E">
        <w:t xml:space="preserve">). </w:t>
      </w:r>
      <w:r>
        <w:t>T</w:t>
      </w:r>
      <w:r w:rsidR="00E87D9F" w:rsidRPr="000A344E">
        <w:t xml:space="preserve">he sample column was pre-conditioned for 2 hour at 30 °C and 0% RH with 10 ml/min helium carrier gas. </w:t>
      </w:r>
      <w:r>
        <w:t>The e</w:t>
      </w:r>
      <w:r w:rsidR="00E87D9F" w:rsidRPr="000A344E">
        <w:t xml:space="preserve">xperiment was conducted at 30 °C </w:t>
      </w:r>
      <w:r>
        <w:t>at a</w:t>
      </w:r>
      <w:r w:rsidR="00E87D9F" w:rsidRPr="000A344E">
        <w:t xml:space="preserve"> 10 ml/min total f</w:t>
      </w:r>
      <w:r w:rsidR="00A80483">
        <w:t>low rate of helium and methane was used to determine the</w:t>
      </w:r>
      <w:r w:rsidR="00E87D9F" w:rsidRPr="000A344E">
        <w:t xml:space="preserve"> dead volume </w:t>
      </w:r>
      <w:r w:rsidR="00A80483">
        <w:t>of the system</w:t>
      </w:r>
      <w:r w:rsidR="00142A3D">
        <w:t>.</w:t>
      </w:r>
      <w:r w:rsidR="00621358">
        <w:t xml:space="preserve"> </w:t>
      </w:r>
    </w:p>
    <w:p w:rsidR="00621358" w:rsidRDefault="00621358" w:rsidP="00621358">
      <w:pPr>
        <w:pStyle w:val="bodytext"/>
      </w:pPr>
      <w:r>
        <w:lastRenderedPageBreak/>
        <w:t>The dispersive surface energy (</w:t>
      </w:r>
      <w:r w:rsidRPr="00621358">
        <w:rPr>
          <w:bCs/>
          <w:position w:val="-12"/>
        </w:rPr>
        <w:object w:dxaOrig="34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18.75pt" o:ole="">
            <v:imagedata r:id="rId9" o:title=""/>
          </v:shape>
          <o:OLEObject Type="Embed" ProgID="Equation.3" ShapeID="_x0000_i1025" DrawAspect="Content" ObjectID="_1537792534" r:id="rId10"/>
        </w:object>
      </w:r>
      <w:r>
        <w:rPr>
          <w:bCs/>
          <w:iCs/>
        </w:rPr>
        <w:t xml:space="preserve">) </w:t>
      </w:r>
      <w:r>
        <w:t>analysis was performed by measuring the net retention volume V</w:t>
      </w:r>
      <w:r w:rsidRPr="00621358">
        <w:rPr>
          <w:vertAlign w:val="subscript"/>
        </w:rPr>
        <w:t>N</w:t>
      </w:r>
      <w:r>
        <w:t xml:space="preserve"> (measured retention volume minus dead vol</w:t>
      </w:r>
      <w:r w:rsidR="00E703D7">
        <w:t>ume) for a series of alkane eluents</w:t>
      </w:r>
      <w:r>
        <w:t xml:space="preserve"> (in this case</w:t>
      </w:r>
      <w:r w:rsidR="002F4C3D">
        <w:t>:</w:t>
      </w:r>
      <w:r>
        <w:t xml:space="preserve"> hexane, heptane, octane and </w:t>
      </w:r>
      <w:proofErr w:type="spellStart"/>
      <w:r>
        <w:t>nonane</w:t>
      </w:r>
      <w:proofErr w:type="spellEnd"/>
      <w:r>
        <w:t xml:space="preserve">). The </w:t>
      </w:r>
      <w:proofErr w:type="spellStart"/>
      <w:r>
        <w:t>Dorris</w:t>
      </w:r>
      <w:proofErr w:type="spellEnd"/>
      <w:r>
        <w:t xml:space="preserve"> and Gray method was applied during the analysis</w:t>
      </w:r>
      <w:r w:rsidR="002F4C3D">
        <w:t>:</w:t>
      </w:r>
      <w:r>
        <w:t xml:space="preserve"> a plot of </w:t>
      </w:r>
      <w:proofErr w:type="spellStart"/>
      <w:proofErr w:type="gramStart"/>
      <w:r>
        <w:t>RTln</w:t>
      </w:r>
      <w:proofErr w:type="spellEnd"/>
      <w:r>
        <w:t>(</w:t>
      </w:r>
      <w:proofErr w:type="gramEnd"/>
      <w:r>
        <w:t>V</w:t>
      </w:r>
      <w:r w:rsidRPr="00621358">
        <w:rPr>
          <w:vertAlign w:val="subscript"/>
        </w:rPr>
        <w:t>N</w:t>
      </w:r>
      <w:r>
        <w:t xml:space="preserve">) </w:t>
      </w:r>
      <w:r w:rsidRPr="0053614F">
        <w:rPr>
          <w:i/>
        </w:rPr>
        <w:t>versus</w:t>
      </w:r>
      <w:r>
        <w:t xml:space="preserve"> the </w:t>
      </w:r>
      <w:r w:rsidR="002F4C3D">
        <w:t xml:space="preserve">alkane </w:t>
      </w:r>
      <w:r>
        <w:t xml:space="preserve">carbon number </w:t>
      </w:r>
      <w:r w:rsidR="00A80483">
        <w:t xml:space="preserve">at a certain surface coverage </w:t>
      </w:r>
      <w:r>
        <w:t>produce</w:t>
      </w:r>
      <w:r w:rsidR="002F4C3D">
        <w:t>s</w:t>
      </w:r>
      <w:r>
        <w:t xml:space="preserve"> a linear correlation. The dispersive component of the solid sample can be determined from the slope of the </w:t>
      </w:r>
      <w:r w:rsidR="00A80483">
        <w:t>line</w:t>
      </w:r>
      <w:r w:rsidR="002F4C3D">
        <w:t xml:space="preserve"> according to the</w:t>
      </w:r>
      <w:r w:rsidR="00A80483">
        <w:t xml:space="preserve"> following</w:t>
      </w:r>
      <w:r w:rsidR="002F4C3D">
        <w:t xml:space="preserve"> equation:</w:t>
      </w:r>
    </w:p>
    <w:p w:rsidR="00621358" w:rsidRPr="00621358" w:rsidRDefault="0053614F" w:rsidP="00621358">
      <w:pPr>
        <w:spacing w:before="120" w:after="120" w:line="360" w:lineRule="auto"/>
        <w:jc w:val="center"/>
        <w:rPr>
          <w:b/>
          <w:noProof/>
          <w:lang w:val="en-US"/>
        </w:rPr>
      </w:pPr>
      <w:r w:rsidRPr="00462BFE">
        <w:rPr>
          <w:b/>
          <w:noProof/>
          <w:position w:val="-14"/>
          <w:lang w:val="en-US"/>
        </w:rPr>
        <w:object w:dxaOrig="3000" w:dyaOrig="480">
          <v:shape id="_x0000_i1026" type="#_x0000_t75" style="width:136.5pt;height:21.75pt" o:ole="">
            <v:imagedata r:id="rId11" o:title=""/>
          </v:shape>
          <o:OLEObject Type="Embed" ProgID="Equation.3" ShapeID="_x0000_i1026" DrawAspect="Content" ObjectID="_1537792535" r:id="rId12"/>
        </w:object>
      </w:r>
      <w:r w:rsidR="00621358">
        <w:rPr>
          <w:b/>
          <w:noProof/>
          <w:position w:val="-14"/>
          <w:lang w:val="en-US"/>
        </w:rPr>
        <w:t>,</w:t>
      </w:r>
    </w:p>
    <w:p w:rsidR="00621358" w:rsidRDefault="00621358" w:rsidP="00621358">
      <w:pPr>
        <w:pStyle w:val="bodytext"/>
      </w:pPr>
      <w:proofErr w:type="gramStart"/>
      <w:r>
        <w:t>where</w:t>
      </w:r>
      <w:proofErr w:type="gramEnd"/>
      <w:r>
        <w:t xml:space="preserve"> </w:t>
      </w:r>
      <w:r w:rsidRPr="00621358">
        <w:rPr>
          <w:bCs/>
          <w:position w:val="-12"/>
        </w:rPr>
        <w:object w:dxaOrig="340" w:dyaOrig="380">
          <v:shape id="_x0000_i1027" type="#_x0000_t75" style="width:17.25pt;height:18.75pt" o:ole="">
            <v:imagedata r:id="rId9" o:title=""/>
          </v:shape>
          <o:OLEObject Type="Embed" ProgID="Equation.3" ShapeID="_x0000_i1027" DrawAspect="Content" ObjectID="_1537792536" r:id="rId13"/>
        </w:object>
      </w:r>
      <w:r>
        <w:t xml:space="preserve"> is the dispersive component of the solid surface energy,</w:t>
      </w:r>
      <w:r w:rsidR="0053614F">
        <w:t xml:space="preserve"> </w:t>
      </w:r>
      <w:r w:rsidR="0053614F" w:rsidRPr="008E32E2">
        <w:rPr>
          <w:position w:val="-14"/>
        </w:rPr>
        <w:object w:dxaOrig="480" w:dyaOrig="380">
          <v:shape id="_x0000_i1028" type="#_x0000_t75" style="width:24pt;height:18.75pt" o:ole="">
            <v:imagedata r:id="rId14" o:title=""/>
          </v:shape>
          <o:OLEObject Type="Embed" ProgID="Equation.3" ShapeID="_x0000_i1028" DrawAspect="Content" ObjectID="_1537792537" r:id="rId15"/>
        </w:object>
      </w:r>
      <w:r>
        <w:t>is the cross secti</w:t>
      </w:r>
      <w:r w:rsidR="0053614F">
        <w:t>onal area of a methylene group and</w:t>
      </w:r>
      <w:r>
        <w:t xml:space="preserve"> N</w:t>
      </w:r>
      <w:r w:rsidRPr="00621358">
        <w:rPr>
          <w:vertAlign w:val="subscript"/>
        </w:rPr>
        <w:t>A</w:t>
      </w:r>
      <w:r>
        <w:t xml:space="preserve"> is Avogadro</w:t>
      </w:r>
      <w:r w:rsidR="002F4C3D">
        <w:t xml:space="preserve"> constant</w:t>
      </w:r>
      <w:r>
        <w:t>.</w:t>
      </w:r>
    </w:p>
    <w:p w:rsidR="00621358" w:rsidRDefault="00621358" w:rsidP="00621358">
      <w:pPr>
        <w:pStyle w:val="bodytext"/>
      </w:pPr>
      <w:r>
        <w:t>The specific contribution to the total surface energy</w:t>
      </w:r>
      <w:r w:rsidR="008800C6">
        <w:t xml:space="preserve"> (</w:t>
      </w:r>
      <w:r w:rsidR="008800C6" w:rsidRPr="00822F38">
        <w:rPr>
          <w:bCs/>
          <w:position w:val="-12"/>
        </w:rPr>
        <w:object w:dxaOrig="400" w:dyaOrig="380">
          <v:shape id="_x0000_i1029" type="#_x0000_t75" style="width:20.25pt;height:18.75pt" o:ole="">
            <v:imagedata r:id="rId16" o:title=""/>
          </v:shape>
          <o:OLEObject Type="Embed" ProgID="Equation.3" ShapeID="_x0000_i1029" DrawAspect="Content" ObjectID="_1537792538" r:id="rId17"/>
        </w:object>
      </w:r>
      <w:r w:rsidR="008800C6">
        <w:t>)</w:t>
      </w:r>
      <w:r>
        <w:t xml:space="preserve"> </w:t>
      </w:r>
      <w:r w:rsidR="0026774A">
        <w:t xml:space="preserve">was obtained </w:t>
      </w:r>
      <w:r>
        <w:t xml:space="preserve">by first measuring the specific free energies of </w:t>
      </w:r>
      <w:r w:rsidR="00A80483">
        <w:t>desorption</w:t>
      </w:r>
      <w:r>
        <w:t xml:space="preserve"> for different polar probe molecules, </w:t>
      </w:r>
      <w:r w:rsidR="008800C6" w:rsidRPr="00BD7FB8">
        <w:rPr>
          <w:i/>
          <w:noProof/>
        </w:rPr>
        <w:t>ΔG</w:t>
      </w:r>
      <w:r w:rsidR="008800C6" w:rsidRPr="00BD7FB8">
        <w:rPr>
          <w:i/>
          <w:noProof/>
          <w:vertAlign w:val="subscript"/>
        </w:rPr>
        <w:t>SP</w:t>
      </w:r>
      <w:r>
        <w:t xml:space="preserve">. These values were determined by measuring the retention volume of polar probe molecules (acetone, </w:t>
      </w:r>
      <w:r w:rsidR="00A80483">
        <w:t>chloroform</w:t>
      </w:r>
      <w:r>
        <w:t>, ethyl acetate</w:t>
      </w:r>
      <w:r w:rsidR="00A80483">
        <w:t>, toluene</w:t>
      </w:r>
      <w:r>
        <w:t xml:space="preserve"> and di</w:t>
      </w:r>
      <w:r w:rsidR="008800C6">
        <w:t xml:space="preserve">chloromethane) on the samples. </w:t>
      </w:r>
      <w:r w:rsidR="00A80483">
        <w:t>Polar</w:t>
      </w:r>
      <w:r>
        <w:t xml:space="preserve"> probe</w:t>
      </w:r>
      <w:r w:rsidR="00A80483">
        <w:t xml:space="preserve"> points</w:t>
      </w:r>
      <w:r>
        <w:t xml:space="preserve"> are located above the alkane straight line in the </w:t>
      </w:r>
      <w:proofErr w:type="spellStart"/>
      <w:proofErr w:type="gramStart"/>
      <w:r>
        <w:t>RTln</w:t>
      </w:r>
      <w:proofErr w:type="spellEnd"/>
      <w:r>
        <w:t>(</w:t>
      </w:r>
      <w:proofErr w:type="gramEnd"/>
      <w:r>
        <w:t>V</w:t>
      </w:r>
      <w:r w:rsidRPr="00621358">
        <w:rPr>
          <w:vertAlign w:val="subscript"/>
        </w:rPr>
        <w:t>N</w:t>
      </w:r>
      <w:r>
        <w:t xml:space="preserve">) </w:t>
      </w:r>
      <w:r w:rsidRPr="0053614F">
        <w:rPr>
          <w:i/>
        </w:rPr>
        <w:t>versus</w:t>
      </w:r>
      <w:r>
        <w:t xml:space="preserve"> P</w:t>
      </w:r>
      <w:r w:rsidRPr="00A80483">
        <w:rPr>
          <w:vertAlign w:val="subscript"/>
        </w:rPr>
        <w:t>D</w:t>
      </w:r>
      <w:r>
        <w:t xml:space="preserve"> plot. The </w:t>
      </w:r>
      <w:r w:rsidR="00A80483">
        <w:t xml:space="preserve">vertical </w:t>
      </w:r>
      <w:r>
        <w:t xml:space="preserve">distance to the straight line is equal to the specific component of the free energy of </w:t>
      </w:r>
      <w:r w:rsidR="00A80483">
        <w:t>desorption</w:t>
      </w:r>
      <w:r>
        <w:t>,</w:t>
      </w:r>
      <w:r w:rsidRPr="00621358">
        <w:rPr>
          <w:i/>
          <w:noProof/>
        </w:rPr>
        <w:t xml:space="preserve"> </w:t>
      </w:r>
      <w:r w:rsidRPr="00BD7FB8">
        <w:rPr>
          <w:i/>
          <w:noProof/>
        </w:rPr>
        <w:t>ΔG</w:t>
      </w:r>
      <w:r w:rsidRPr="00BD7FB8">
        <w:rPr>
          <w:i/>
          <w:noProof/>
          <w:vertAlign w:val="subscript"/>
        </w:rPr>
        <w:t>SP</w:t>
      </w:r>
      <w:r>
        <w:t xml:space="preserve">. From the </w:t>
      </w:r>
      <w:r w:rsidRPr="00BD7FB8">
        <w:rPr>
          <w:i/>
          <w:noProof/>
        </w:rPr>
        <w:t>ΔG</w:t>
      </w:r>
      <w:r w:rsidRPr="00BD7FB8">
        <w:rPr>
          <w:i/>
          <w:noProof/>
          <w:vertAlign w:val="subscript"/>
        </w:rPr>
        <w:t>SP</w:t>
      </w:r>
      <w:r w:rsidR="00A80483">
        <w:t xml:space="preserve"> values</w:t>
      </w:r>
      <w:r>
        <w:t xml:space="preserve"> </w:t>
      </w:r>
      <w:r w:rsidR="00A80483">
        <w:t>b</w:t>
      </w:r>
      <w:r>
        <w:t>ased on the van Oss approac</w:t>
      </w:r>
      <w:r w:rsidR="00617CBB">
        <w:t>h, the specific surface energy</w:t>
      </w:r>
      <w:r>
        <w:t xml:space="preserve"> (</w:t>
      </w:r>
      <w:r w:rsidRPr="00822F38">
        <w:rPr>
          <w:bCs/>
          <w:position w:val="-12"/>
        </w:rPr>
        <w:object w:dxaOrig="400" w:dyaOrig="380">
          <v:shape id="_x0000_i1030" type="#_x0000_t75" style="width:20.25pt;height:18.75pt" o:ole="">
            <v:imagedata r:id="rId16" o:title=""/>
          </v:shape>
          <o:OLEObject Type="Embed" ProgID="Equation.3" ShapeID="_x0000_i1030" DrawAspect="Content" ObjectID="_1537792539" r:id="rId18"/>
        </w:object>
      </w:r>
      <w:r>
        <w:t xml:space="preserve">) of the samples </w:t>
      </w:r>
      <w:r w:rsidR="008800C6">
        <w:t>were</w:t>
      </w:r>
      <w:r>
        <w:t xml:space="preserve"> calculated. The specific contribution is subdivided into an acid </w:t>
      </w:r>
      <w:r w:rsidR="0026774A" w:rsidRPr="0026774A">
        <w:rPr>
          <w:bCs/>
          <w:position w:val="-12"/>
        </w:rPr>
        <w:object w:dxaOrig="300" w:dyaOrig="380">
          <v:shape id="_x0000_i1031" type="#_x0000_t75" style="width:15pt;height:18.75pt" o:ole="">
            <v:imagedata r:id="rId19" o:title=""/>
          </v:shape>
          <o:OLEObject Type="Embed" ProgID="Equation.3" ShapeID="_x0000_i1031" DrawAspect="Content" ObjectID="_1537792540" r:id="rId20"/>
        </w:object>
      </w:r>
      <w:r>
        <w:t xml:space="preserve"> a</w:t>
      </w:r>
      <w:r w:rsidR="0026774A">
        <w:t xml:space="preserve">nd a base </w:t>
      </w:r>
      <w:r w:rsidR="0026774A" w:rsidRPr="0026774A">
        <w:rPr>
          <w:bCs/>
          <w:position w:val="-12"/>
        </w:rPr>
        <w:object w:dxaOrig="300" w:dyaOrig="380">
          <v:shape id="_x0000_i1032" type="#_x0000_t75" style="width:15pt;height:18.75pt" o:ole="">
            <v:imagedata r:id="rId21" o:title=""/>
          </v:shape>
          <o:OLEObject Type="Embed" ProgID="Equation.3" ShapeID="_x0000_i1032" DrawAspect="Content" ObjectID="_1537792541" r:id="rId22"/>
        </w:object>
      </w:r>
      <w:r>
        <w:t xml:space="preserve"> parameter of the surface </w:t>
      </w:r>
      <w:r w:rsidR="00617CBB">
        <w:t>energy</w:t>
      </w:r>
      <w:r>
        <w:t xml:space="preserve">. In this approach, the Della Volpe scale </w:t>
      </w:r>
      <w:r w:rsidR="008772C4">
        <w:t>was</w:t>
      </w:r>
      <w:r>
        <w:t xml:space="preserve"> employed, with a pair of mono-functional acidic and basic probe molecules </w:t>
      </w:r>
      <w:r w:rsidR="0026774A">
        <w:t xml:space="preserve">(dichloromethane, </w:t>
      </w:r>
      <w:r w:rsidR="0026774A" w:rsidRPr="0026774A">
        <w:rPr>
          <w:bCs/>
          <w:position w:val="-12"/>
        </w:rPr>
        <w:object w:dxaOrig="300" w:dyaOrig="380">
          <v:shape id="_x0000_i1033" type="#_x0000_t75" style="width:15pt;height:18.75pt" o:ole="">
            <v:imagedata r:id="rId23" o:title=""/>
          </v:shape>
          <o:OLEObject Type="Embed" ProgID="Equation.3" ShapeID="_x0000_i1033" DrawAspect="Content" ObjectID="_1537792542" r:id="rId24"/>
        </w:object>
      </w:r>
      <w:r w:rsidR="0026774A">
        <w:t> = </w:t>
      </w:r>
      <w:r w:rsidRPr="00142A3D">
        <w:t xml:space="preserve">124.58 </w:t>
      </w:r>
      <w:proofErr w:type="spellStart"/>
      <w:r w:rsidRPr="00142A3D">
        <w:t>mJ</w:t>
      </w:r>
      <w:proofErr w:type="spellEnd"/>
      <w:r w:rsidRPr="00142A3D">
        <w:t>/m</w:t>
      </w:r>
      <w:r w:rsidRPr="00621358">
        <w:rPr>
          <w:vertAlign w:val="superscript"/>
        </w:rPr>
        <w:t>2</w:t>
      </w:r>
      <w:r>
        <w:t xml:space="preserve"> and e</w:t>
      </w:r>
      <w:r w:rsidR="0026774A">
        <w:t xml:space="preserve">thyl acetate, </w:t>
      </w:r>
      <w:r w:rsidR="0026774A" w:rsidRPr="0026774A">
        <w:rPr>
          <w:bCs/>
          <w:position w:val="-12"/>
        </w:rPr>
        <w:object w:dxaOrig="300" w:dyaOrig="380">
          <v:shape id="_x0000_i1034" type="#_x0000_t75" style="width:15pt;height:18.75pt" o:ole="">
            <v:imagedata r:id="rId25" o:title=""/>
          </v:shape>
          <o:OLEObject Type="Embed" ProgID="Equation.3" ShapeID="_x0000_i1034" DrawAspect="Content" ObjectID="_1537792543" r:id="rId26"/>
        </w:object>
      </w:r>
      <w:r w:rsidR="0026774A">
        <w:t xml:space="preserve"> =</w:t>
      </w:r>
      <w:r w:rsidRPr="00142A3D">
        <w:t xml:space="preserve"> 475.67 </w:t>
      </w:r>
      <w:proofErr w:type="spellStart"/>
      <w:r w:rsidRPr="00142A3D">
        <w:t>mJ</w:t>
      </w:r>
      <w:proofErr w:type="spellEnd"/>
      <w:r w:rsidRPr="00142A3D">
        <w:t>/m</w:t>
      </w:r>
      <w:r w:rsidRPr="00621358">
        <w:rPr>
          <w:vertAlign w:val="superscript"/>
        </w:rPr>
        <w:t>2</w:t>
      </w:r>
      <w:r w:rsidRPr="00142A3D">
        <w:t>)</w:t>
      </w:r>
      <w:r>
        <w:t>.</w:t>
      </w:r>
      <w:r w:rsidR="008800C6" w:rsidRPr="008800C6">
        <w:t xml:space="preserve"> </w:t>
      </w:r>
      <w:r w:rsidR="008800C6" w:rsidRPr="00621358">
        <w:t>The surface chemistry of the samples was assessed using the Gutmann acid (K</w:t>
      </w:r>
      <w:r w:rsidR="008800C6">
        <w:rPr>
          <w:vertAlign w:val="subscript"/>
        </w:rPr>
        <w:t>A</w:t>
      </w:r>
      <w:r w:rsidR="008800C6" w:rsidRPr="00621358">
        <w:t>) and base (K</w:t>
      </w:r>
      <w:r w:rsidR="008800C6">
        <w:rPr>
          <w:vertAlign w:val="subscript"/>
        </w:rPr>
        <w:t>B</w:t>
      </w:r>
      <w:r w:rsidR="008800C6" w:rsidRPr="00621358">
        <w:t xml:space="preserve">) numbers, determined based on the Gutmann approach using the following polar </w:t>
      </w:r>
      <w:r w:rsidR="008800C6" w:rsidRPr="00621358">
        <w:lastRenderedPageBreak/>
        <w:t>probes: dichloromethane, ethyl acetate, acetone, chloroform. K</w:t>
      </w:r>
      <w:r w:rsidR="0026774A">
        <w:rPr>
          <w:vertAlign w:val="subscript"/>
        </w:rPr>
        <w:t>A</w:t>
      </w:r>
      <w:r w:rsidR="008800C6" w:rsidRPr="00621358">
        <w:t xml:space="preserve"> and K</w:t>
      </w:r>
      <w:r w:rsidR="0026774A">
        <w:rPr>
          <w:vertAlign w:val="subscript"/>
        </w:rPr>
        <w:t>B</w:t>
      </w:r>
      <w:r w:rsidR="008800C6" w:rsidRPr="00621358">
        <w:t xml:space="preserve"> values of the samples were calculated using the </w:t>
      </w:r>
      <w:r w:rsidR="008800C6" w:rsidRPr="00BD7FB8">
        <w:rPr>
          <w:i/>
          <w:noProof/>
        </w:rPr>
        <w:t>ΔG</w:t>
      </w:r>
      <w:r w:rsidR="008800C6" w:rsidRPr="00BD7FB8">
        <w:rPr>
          <w:i/>
          <w:noProof/>
          <w:vertAlign w:val="subscript"/>
        </w:rPr>
        <w:t>SP</w:t>
      </w:r>
      <w:r w:rsidR="008800C6" w:rsidRPr="00621358">
        <w:t xml:space="preserve"> values of polar probes at that particular surface coverage.</w:t>
      </w:r>
      <w:r w:rsidR="008800C6">
        <w:t xml:space="preserve"> </w:t>
      </w:r>
    </w:p>
    <w:p w:rsidR="00142A3D" w:rsidRPr="003C068F" w:rsidRDefault="00142A3D" w:rsidP="00E87D9F">
      <w:pPr>
        <w:pStyle w:val="bodytext"/>
      </w:pPr>
      <w:r w:rsidRPr="00783CC0">
        <w:rPr>
          <w:bCs/>
        </w:rPr>
        <w:t>In order to represent the heterogeneity of the samples in</w:t>
      </w:r>
      <w:r>
        <w:rPr>
          <w:bCs/>
        </w:rPr>
        <w:t xml:space="preserve"> </w:t>
      </w:r>
      <w:r w:rsidR="002F4C3D">
        <w:rPr>
          <w:bCs/>
        </w:rPr>
        <w:t xml:space="preserve">a </w:t>
      </w:r>
      <w:r>
        <w:rPr>
          <w:bCs/>
        </w:rPr>
        <w:t xml:space="preserve">more illustrative manner, the </w:t>
      </w:r>
      <w:r w:rsidRPr="00783CC0">
        <w:rPr>
          <w:bCs/>
        </w:rPr>
        <w:t xml:space="preserve">surface energy </w:t>
      </w:r>
      <w:r w:rsidRPr="003C068F">
        <w:rPr>
          <w:bCs/>
        </w:rPr>
        <w:t>distributions</w:t>
      </w:r>
      <w:r>
        <w:rPr>
          <w:bCs/>
        </w:rPr>
        <w:t xml:space="preserve"> </w:t>
      </w:r>
      <w:r w:rsidRPr="00783CC0">
        <w:rPr>
          <w:bCs/>
        </w:rPr>
        <w:t>are obtained by a point</w:t>
      </w:r>
      <w:r w:rsidR="002F4C3D">
        <w:rPr>
          <w:bCs/>
        </w:rPr>
        <w:t>-</w:t>
      </w:r>
      <w:r w:rsidRPr="00783CC0">
        <w:rPr>
          <w:bCs/>
        </w:rPr>
        <w:t>by</w:t>
      </w:r>
      <w:r w:rsidR="002F4C3D">
        <w:rPr>
          <w:bCs/>
        </w:rPr>
        <w:t>-</w:t>
      </w:r>
      <w:r w:rsidRPr="00783CC0">
        <w:rPr>
          <w:bCs/>
        </w:rPr>
        <w:t>point integration of the surface energy profiles, resulting in plot</w:t>
      </w:r>
      <w:r>
        <w:rPr>
          <w:bCs/>
        </w:rPr>
        <w:t>s</w:t>
      </w:r>
      <w:r w:rsidRPr="00783CC0">
        <w:rPr>
          <w:bCs/>
        </w:rPr>
        <w:t xml:space="preserve"> of</w:t>
      </w:r>
      <w:r w:rsidR="00621358" w:rsidRPr="00621358">
        <w:rPr>
          <w:bCs/>
          <w:position w:val="-12"/>
        </w:rPr>
        <w:object w:dxaOrig="340" w:dyaOrig="380">
          <v:shape id="_x0000_i1035" type="#_x0000_t75" style="width:17.25pt;height:18.75pt" o:ole="">
            <v:imagedata r:id="rId9" o:title=""/>
          </v:shape>
          <o:OLEObject Type="Embed" ProgID="Equation.3" ShapeID="_x0000_i1035" DrawAspect="Content" ObjectID="_1537792544" r:id="rId27"/>
        </w:object>
      </w:r>
      <w:r>
        <w:rPr>
          <w:bCs/>
          <w:i/>
          <w:iCs/>
        </w:rPr>
        <w:t xml:space="preserve">, </w:t>
      </w:r>
      <w:r w:rsidR="00621358" w:rsidRPr="00822F38">
        <w:rPr>
          <w:bCs/>
          <w:position w:val="-12"/>
        </w:rPr>
        <w:object w:dxaOrig="400" w:dyaOrig="380">
          <v:shape id="_x0000_i1036" type="#_x0000_t75" style="width:20.25pt;height:18.75pt" o:ole="">
            <v:imagedata r:id="rId16" o:title=""/>
          </v:shape>
          <o:OLEObject Type="Embed" ProgID="Equation.3" ShapeID="_x0000_i1036" DrawAspect="Content" ObjectID="_1537792545" r:id="rId28"/>
        </w:object>
      </w:r>
      <w:r>
        <w:rPr>
          <w:bCs/>
        </w:rPr>
        <w:t xml:space="preserve"> </w:t>
      </w:r>
      <w:r>
        <w:rPr>
          <w:bCs/>
          <w:i/>
          <w:iCs/>
        </w:rPr>
        <w:t xml:space="preserve">and </w:t>
      </w:r>
      <w:r w:rsidR="00621358" w:rsidRPr="00621358">
        <w:rPr>
          <w:bCs/>
          <w:position w:val="-12"/>
        </w:rPr>
        <w:object w:dxaOrig="300" w:dyaOrig="380">
          <v:shape id="_x0000_i1037" type="#_x0000_t75" style="width:15pt;height:18.75pt" o:ole="">
            <v:imagedata r:id="rId29" o:title=""/>
          </v:shape>
          <o:OLEObject Type="Embed" ProgID="Equation.3" ShapeID="_x0000_i1037" DrawAspect="Content" ObjectID="_1537792546" r:id="rId30"/>
        </w:object>
      </w:r>
      <w:r>
        <w:rPr>
          <w:bCs/>
        </w:rPr>
        <w:t xml:space="preserve"> </w:t>
      </w:r>
      <w:r w:rsidRPr="00142A3D">
        <w:rPr>
          <w:bCs/>
          <w:iCs/>
        </w:rPr>
        <w:t xml:space="preserve">surface energy </w:t>
      </w:r>
      <w:r w:rsidRPr="0053614F">
        <w:rPr>
          <w:bCs/>
          <w:i/>
        </w:rPr>
        <w:t>versus</w:t>
      </w:r>
      <w:r w:rsidRPr="00142A3D">
        <w:rPr>
          <w:bCs/>
        </w:rPr>
        <w:t xml:space="preserve"> </w:t>
      </w:r>
      <w:r w:rsidRPr="004035A4">
        <w:rPr>
          <w:bCs/>
          <w:iCs/>
        </w:rPr>
        <w:t>percentage of surface (area increment),</w:t>
      </w:r>
      <w:r w:rsidRPr="004035A4">
        <w:rPr>
          <w:bCs/>
          <w:i/>
          <w:iCs/>
        </w:rPr>
        <w:t xml:space="preserve"> </w:t>
      </w:r>
      <w:r w:rsidRPr="004035A4">
        <w:rPr>
          <w:bCs/>
        </w:rPr>
        <w:t>as shown in Figure</w:t>
      </w:r>
      <w:r w:rsidR="005918CF" w:rsidRPr="004035A4">
        <w:rPr>
          <w:bCs/>
        </w:rPr>
        <w:t>s</w:t>
      </w:r>
      <w:r w:rsidRPr="004035A4">
        <w:rPr>
          <w:bCs/>
        </w:rPr>
        <w:t xml:space="preserve"> 2 and </w:t>
      </w:r>
      <w:r w:rsidR="005918CF" w:rsidRPr="004035A4">
        <w:rPr>
          <w:bCs/>
        </w:rPr>
        <w:t>3</w:t>
      </w:r>
      <w:r w:rsidRPr="004035A4">
        <w:rPr>
          <w:bCs/>
        </w:rPr>
        <w:t>.</w:t>
      </w:r>
      <w:r w:rsidR="00621358" w:rsidRPr="004035A4">
        <w:rPr>
          <w:bCs/>
        </w:rPr>
        <w:t xml:space="preserve"> </w:t>
      </w:r>
      <w:r w:rsidR="003C068F" w:rsidRPr="004035A4">
        <w:t>The median</w:t>
      </w:r>
      <w:r w:rsidR="004F3CAE" w:rsidRPr="004035A4">
        <w:t>s</w:t>
      </w:r>
      <w:r w:rsidR="00C248E2" w:rsidRPr="00621358">
        <w:rPr>
          <w:bCs/>
          <w:position w:val="-12"/>
        </w:rPr>
        <w:object w:dxaOrig="520" w:dyaOrig="380">
          <v:shape id="_x0000_i1038" type="#_x0000_t75" style="width:25.5pt;height:18.75pt" o:ole="">
            <v:imagedata r:id="rId31" o:title=""/>
          </v:shape>
          <o:OLEObject Type="Embed" ProgID="Equation.3" ShapeID="_x0000_i1038" DrawAspect="Content" ObjectID="_1537792547" r:id="rId32"/>
        </w:object>
      </w:r>
      <w:r w:rsidR="004F3CAE">
        <w:rPr>
          <w:bCs/>
        </w:rPr>
        <w:t>,</w:t>
      </w:r>
      <w:r w:rsidR="004F3CAE">
        <w:rPr>
          <w:bCs/>
          <w:i/>
          <w:iCs/>
        </w:rPr>
        <w:t xml:space="preserve"> </w:t>
      </w:r>
      <w:r w:rsidR="00C248E2" w:rsidRPr="00822F38">
        <w:rPr>
          <w:bCs/>
          <w:position w:val="-12"/>
        </w:rPr>
        <w:object w:dxaOrig="600" w:dyaOrig="380">
          <v:shape id="_x0000_i1039" type="#_x0000_t75" style="width:30.75pt;height:18.75pt" o:ole="">
            <v:imagedata r:id="rId33" o:title=""/>
          </v:shape>
          <o:OLEObject Type="Embed" ProgID="Equation.3" ShapeID="_x0000_i1039" DrawAspect="Content" ObjectID="_1537792548" r:id="rId34"/>
        </w:object>
      </w:r>
      <w:r w:rsidR="004F3CAE">
        <w:rPr>
          <w:bCs/>
        </w:rPr>
        <w:t xml:space="preserve"> </w:t>
      </w:r>
      <w:r w:rsidR="004F3CAE">
        <w:rPr>
          <w:bCs/>
          <w:i/>
          <w:iCs/>
        </w:rPr>
        <w:t xml:space="preserve">and </w:t>
      </w:r>
      <w:r w:rsidR="00C248E2" w:rsidRPr="00621358">
        <w:rPr>
          <w:bCs/>
          <w:position w:val="-12"/>
        </w:rPr>
        <w:object w:dxaOrig="499" w:dyaOrig="380">
          <v:shape id="_x0000_i1040" type="#_x0000_t75" style="width:24.75pt;height:18.75pt" o:ole="">
            <v:imagedata r:id="rId35" o:title=""/>
          </v:shape>
          <o:OLEObject Type="Embed" ProgID="Equation.3" ShapeID="_x0000_i1040" DrawAspect="Content" ObjectID="_1537792549" r:id="rId36"/>
        </w:object>
      </w:r>
      <w:r w:rsidR="004F3CAE">
        <w:rPr>
          <w:bCs/>
        </w:rPr>
        <w:t xml:space="preserve"> are</w:t>
      </w:r>
      <w:r w:rsidR="003C068F">
        <w:t xml:space="preserve"> defined as the surface energy where half of the population lies below this value. </w:t>
      </w:r>
    </w:p>
    <w:p w:rsidR="00621358" w:rsidRPr="008800C6" w:rsidRDefault="00621358" w:rsidP="008800C6">
      <w:pPr>
        <w:pStyle w:val="bodytext"/>
      </w:pPr>
      <w:r>
        <w:t>T</w:t>
      </w:r>
      <w:r w:rsidRPr="00567F6C">
        <w:t>he total work of cohesion</w:t>
      </w:r>
      <w:r>
        <w:t xml:space="preserve"> was</w:t>
      </w:r>
      <w:r w:rsidRPr="00567F6C">
        <w:t xml:space="preserve"> determined according to geometric mean method</w:t>
      </w:r>
      <w:r w:rsidR="00617CBB">
        <w:t xml:space="preserve"> using the surface energy components of the samples:</w:t>
      </w:r>
    </w:p>
    <w:p w:rsidR="00621358" w:rsidRDefault="00621358" w:rsidP="0053614F">
      <w:pPr>
        <w:spacing w:after="0" w:line="340" w:lineRule="atLeast"/>
        <w:jc w:val="center"/>
        <w:rPr>
          <w:bCs/>
          <w:sz w:val="24"/>
          <w:lang w:val="en-US"/>
        </w:rPr>
      </w:pPr>
      <w:r w:rsidRPr="00483E58">
        <w:rPr>
          <w:bCs/>
          <w:sz w:val="24"/>
        </w:rPr>
        <w:t>W</w:t>
      </w:r>
      <w:proofErr w:type="spellStart"/>
      <w:r w:rsidRPr="00483E58">
        <w:rPr>
          <w:bCs/>
          <w:sz w:val="24"/>
          <w:vertAlign w:val="subscript"/>
          <w:lang w:val="en-US"/>
        </w:rPr>
        <w:t>Coh</w:t>
      </w:r>
      <w:r>
        <w:rPr>
          <w:bCs/>
          <w:sz w:val="24"/>
          <w:vertAlign w:val="subscript"/>
          <w:lang w:val="en-US"/>
        </w:rPr>
        <w:t>esion</w:t>
      </w:r>
      <w:r w:rsidRPr="00483E58">
        <w:rPr>
          <w:bCs/>
          <w:sz w:val="24"/>
          <w:vertAlign w:val="superscript"/>
          <w:lang w:val="en-US"/>
        </w:rPr>
        <w:t>total</w:t>
      </w:r>
      <w:proofErr w:type="spellEnd"/>
      <w:r w:rsidRPr="00483E58">
        <w:rPr>
          <w:bCs/>
          <w:sz w:val="24"/>
        </w:rPr>
        <w:t xml:space="preserve"> = 2[</w:t>
      </w:r>
      <w:r w:rsidRPr="00483E58">
        <w:rPr>
          <w:bCs/>
          <w:sz w:val="24"/>
          <w:lang w:val="en-US"/>
        </w:rPr>
        <w:t>(</w:t>
      </w:r>
      <w:r w:rsidRPr="00483E58">
        <w:rPr>
          <w:bCs/>
          <w:i/>
          <w:sz w:val="24"/>
          <w:szCs w:val="24"/>
        </w:rPr>
        <w:sym w:font="Symbol" w:char="F067"/>
      </w:r>
      <w:proofErr w:type="spellStart"/>
      <w:r w:rsidRPr="00483E58">
        <w:rPr>
          <w:bCs/>
          <w:i/>
          <w:sz w:val="24"/>
          <w:vertAlign w:val="subscript"/>
          <w:lang w:val="en-US"/>
        </w:rPr>
        <w:t>s</w:t>
      </w:r>
      <w:r w:rsidRPr="00483E58">
        <w:rPr>
          <w:bCs/>
          <w:i/>
          <w:sz w:val="24"/>
          <w:vertAlign w:val="superscript"/>
          <w:lang w:val="en-US"/>
        </w:rPr>
        <w:t>D</w:t>
      </w:r>
      <w:proofErr w:type="spellEnd"/>
      <w:r w:rsidRPr="00483E58">
        <w:rPr>
          <w:bCs/>
          <w:sz w:val="24"/>
          <w:lang w:val="en-US"/>
        </w:rPr>
        <w:t xml:space="preserve"> </w:t>
      </w:r>
      <w:r w:rsidRPr="00483E58">
        <w:rPr>
          <w:bCs/>
          <w:sz w:val="24"/>
          <w:vertAlign w:val="subscript"/>
          <w:lang w:val="en-US"/>
        </w:rPr>
        <w:t>*</w:t>
      </w:r>
      <w:r w:rsidRPr="00483E58">
        <w:rPr>
          <w:bCs/>
          <w:sz w:val="24"/>
          <w:lang w:val="en-US"/>
        </w:rPr>
        <w:t xml:space="preserve"> </w:t>
      </w:r>
      <w:r w:rsidRPr="00483E58">
        <w:rPr>
          <w:bCs/>
          <w:i/>
          <w:sz w:val="24"/>
          <w:szCs w:val="24"/>
        </w:rPr>
        <w:sym w:font="Symbol" w:char="F067"/>
      </w:r>
      <w:proofErr w:type="spellStart"/>
      <w:r w:rsidRPr="00483E58">
        <w:rPr>
          <w:bCs/>
          <w:i/>
          <w:sz w:val="24"/>
          <w:vertAlign w:val="subscript"/>
          <w:lang w:val="en-US"/>
        </w:rPr>
        <w:t>s</w:t>
      </w:r>
      <w:r w:rsidRPr="00483E58">
        <w:rPr>
          <w:bCs/>
          <w:i/>
          <w:sz w:val="24"/>
          <w:vertAlign w:val="superscript"/>
          <w:lang w:val="en-US"/>
        </w:rPr>
        <w:t>D</w:t>
      </w:r>
      <w:proofErr w:type="spellEnd"/>
      <w:proofErr w:type="gramStart"/>
      <w:r w:rsidRPr="00483E58">
        <w:rPr>
          <w:bCs/>
          <w:sz w:val="24"/>
          <w:lang w:val="en-US"/>
        </w:rPr>
        <w:t>)</w:t>
      </w:r>
      <w:r w:rsidRPr="00483E58">
        <w:rPr>
          <w:bCs/>
          <w:sz w:val="24"/>
          <w:vertAlign w:val="superscript"/>
          <w:lang w:val="en-US"/>
        </w:rPr>
        <w:t>½</w:t>
      </w:r>
      <w:proofErr w:type="gramEnd"/>
      <w:r w:rsidRPr="00483E58">
        <w:rPr>
          <w:bCs/>
          <w:sz w:val="24"/>
          <w:lang w:val="en-US"/>
        </w:rPr>
        <w:t xml:space="preserve"> + (</w:t>
      </w:r>
      <w:r w:rsidRPr="00483E58">
        <w:rPr>
          <w:bCs/>
          <w:i/>
          <w:sz w:val="24"/>
          <w:szCs w:val="24"/>
        </w:rPr>
        <w:sym w:font="Symbol" w:char="F067"/>
      </w:r>
      <w:r w:rsidRPr="00483E58">
        <w:rPr>
          <w:bCs/>
          <w:i/>
          <w:sz w:val="24"/>
          <w:vertAlign w:val="subscript"/>
          <w:lang w:val="en-US"/>
        </w:rPr>
        <w:t>s</w:t>
      </w:r>
      <w:r w:rsidRPr="00483E58">
        <w:rPr>
          <w:bCs/>
          <w:i/>
          <w:sz w:val="24"/>
          <w:vertAlign w:val="superscript"/>
          <w:lang w:val="en-US"/>
        </w:rPr>
        <w:t>+</w:t>
      </w:r>
      <w:r w:rsidRPr="00483E58">
        <w:rPr>
          <w:bCs/>
          <w:sz w:val="24"/>
          <w:lang w:val="en-US"/>
        </w:rPr>
        <w:t xml:space="preserve"> </w:t>
      </w:r>
      <w:r w:rsidRPr="00483E58">
        <w:rPr>
          <w:bCs/>
          <w:sz w:val="24"/>
          <w:vertAlign w:val="subscript"/>
          <w:lang w:val="en-US"/>
        </w:rPr>
        <w:t>*</w:t>
      </w:r>
      <w:r w:rsidRPr="00483E58">
        <w:rPr>
          <w:bCs/>
          <w:sz w:val="24"/>
          <w:lang w:val="en-US"/>
        </w:rPr>
        <w:t xml:space="preserve"> </w:t>
      </w:r>
      <w:r w:rsidRPr="00483E58">
        <w:rPr>
          <w:bCs/>
          <w:i/>
          <w:sz w:val="24"/>
          <w:szCs w:val="24"/>
        </w:rPr>
        <w:sym w:font="Symbol" w:char="F067"/>
      </w:r>
      <w:r w:rsidRPr="00483E58">
        <w:rPr>
          <w:bCs/>
          <w:i/>
          <w:sz w:val="24"/>
          <w:vertAlign w:val="subscript"/>
          <w:lang w:val="en-US"/>
        </w:rPr>
        <w:t>s</w:t>
      </w:r>
      <w:r w:rsidRPr="00483E58">
        <w:rPr>
          <w:bCs/>
          <w:i/>
          <w:sz w:val="24"/>
          <w:vertAlign w:val="superscript"/>
          <w:lang w:val="en-US"/>
        </w:rPr>
        <w:t>-</w:t>
      </w:r>
      <w:r w:rsidRPr="00483E58">
        <w:rPr>
          <w:bCs/>
          <w:sz w:val="24"/>
          <w:lang w:val="en-US"/>
        </w:rPr>
        <w:t>)</w:t>
      </w:r>
      <w:r w:rsidRPr="00483E58">
        <w:rPr>
          <w:bCs/>
          <w:sz w:val="24"/>
          <w:vertAlign w:val="superscript"/>
          <w:lang w:val="en-US"/>
        </w:rPr>
        <w:t>½</w:t>
      </w:r>
      <w:r w:rsidRPr="00483E58">
        <w:rPr>
          <w:bCs/>
          <w:sz w:val="24"/>
          <w:lang w:val="en-US"/>
        </w:rPr>
        <w:t xml:space="preserve"> +(</w:t>
      </w:r>
      <w:r w:rsidRPr="00483E58">
        <w:rPr>
          <w:bCs/>
          <w:i/>
          <w:sz w:val="24"/>
          <w:szCs w:val="24"/>
        </w:rPr>
        <w:sym w:font="Symbol" w:char="F067"/>
      </w:r>
      <w:r w:rsidRPr="00483E58">
        <w:rPr>
          <w:bCs/>
          <w:i/>
          <w:sz w:val="24"/>
          <w:vertAlign w:val="subscript"/>
          <w:lang w:val="en-US"/>
        </w:rPr>
        <w:t>s</w:t>
      </w:r>
      <w:r w:rsidRPr="00483E58">
        <w:rPr>
          <w:bCs/>
          <w:i/>
          <w:sz w:val="24"/>
          <w:vertAlign w:val="superscript"/>
          <w:lang w:val="en-US"/>
        </w:rPr>
        <w:t>-</w:t>
      </w:r>
      <w:r w:rsidRPr="00483E58">
        <w:rPr>
          <w:bCs/>
          <w:sz w:val="24"/>
          <w:lang w:val="en-US"/>
        </w:rPr>
        <w:t xml:space="preserve"> </w:t>
      </w:r>
      <w:r w:rsidRPr="00483E58">
        <w:rPr>
          <w:bCs/>
          <w:sz w:val="24"/>
          <w:vertAlign w:val="subscript"/>
          <w:lang w:val="en-US"/>
        </w:rPr>
        <w:t>*</w:t>
      </w:r>
      <w:r w:rsidRPr="00483E58">
        <w:rPr>
          <w:bCs/>
          <w:sz w:val="24"/>
          <w:lang w:val="en-US"/>
        </w:rPr>
        <w:t xml:space="preserve"> </w:t>
      </w:r>
      <w:r w:rsidRPr="00483E58">
        <w:rPr>
          <w:bCs/>
          <w:i/>
          <w:sz w:val="24"/>
          <w:szCs w:val="24"/>
        </w:rPr>
        <w:sym w:font="Symbol" w:char="F067"/>
      </w:r>
      <w:r w:rsidRPr="00483E58">
        <w:rPr>
          <w:bCs/>
          <w:i/>
          <w:sz w:val="24"/>
          <w:vertAlign w:val="subscript"/>
          <w:lang w:val="en-US"/>
        </w:rPr>
        <w:t>s</w:t>
      </w:r>
      <w:r w:rsidRPr="00483E58">
        <w:rPr>
          <w:bCs/>
          <w:i/>
          <w:sz w:val="24"/>
          <w:vertAlign w:val="superscript"/>
          <w:lang w:val="en-US"/>
        </w:rPr>
        <w:t>+</w:t>
      </w:r>
      <w:r w:rsidRPr="00483E58">
        <w:rPr>
          <w:bCs/>
          <w:sz w:val="24"/>
          <w:lang w:val="en-US"/>
        </w:rPr>
        <w:t>)</w:t>
      </w:r>
      <w:r w:rsidRPr="00483E58">
        <w:rPr>
          <w:bCs/>
          <w:sz w:val="24"/>
          <w:vertAlign w:val="superscript"/>
          <w:lang w:val="en-US"/>
        </w:rPr>
        <w:t>½</w:t>
      </w:r>
      <w:r w:rsidRPr="00483E58">
        <w:rPr>
          <w:bCs/>
          <w:sz w:val="24"/>
          <w:lang w:val="en-US"/>
        </w:rPr>
        <w:t>]</w:t>
      </w:r>
      <w:r w:rsidR="00617CBB">
        <w:rPr>
          <w:bCs/>
          <w:sz w:val="24"/>
          <w:lang w:val="en-US"/>
        </w:rPr>
        <w:t>.</w:t>
      </w:r>
    </w:p>
    <w:p w:rsidR="0053614F" w:rsidRPr="0053614F" w:rsidRDefault="0053614F" w:rsidP="0053614F">
      <w:pPr>
        <w:spacing w:after="0" w:line="340" w:lineRule="atLeast"/>
        <w:jc w:val="center"/>
        <w:rPr>
          <w:bCs/>
          <w:sz w:val="24"/>
        </w:rPr>
      </w:pPr>
    </w:p>
    <w:p w:rsidR="00E87D9F" w:rsidRPr="00D01A28" w:rsidRDefault="00E87D9F" w:rsidP="00E87D9F">
      <w:pPr>
        <w:pStyle w:val="bodytext"/>
        <w:rPr>
          <w:b/>
        </w:rPr>
      </w:pPr>
      <w:r w:rsidRPr="00D01A28">
        <w:rPr>
          <w:b/>
        </w:rPr>
        <w:t xml:space="preserve">Scanning electron microscopy (SEM) </w:t>
      </w:r>
    </w:p>
    <w:p w:rsidR="00D01A28" w:rsidRPr="00D01A28" w:rsidRDefault="00E87D9F" w:rsidP="00E87D9F">
      <w:pPr>
        <w:pStyle w:val="bodytext"/>
      </w:pPr>
      <w:r>
        <w:t>The samples were sputtered (</w:t>
      </w:r>
      <w:r w:rsidRPr="0051092B">
        <w:t>Leica EM SCD005 sputter coater</w:t>
      </w:r>
      <w:r>
        <w:t>) with a gold layer of 8 nm and analyzed</w:t>
      </w:r>
      <w:r w:rsidRPr="0051092B">
        <w:t xml:space="preserve"> on a FEI INSPECT S50 instrument (Hillsboro, Oregon, USA). Micrographs were obtained </w:t>
      </w:r>
      <w:r>
        <w:t>in high vacuum mode at 30 kV</w:t>
      </w:r>
      <w:r w:rsidRPr="0051092B">
        <w:t>.</w:t>
      </w:r>
      <w:r>
        <w:t xml:space="preserve"> The particle size distribution was extracted from the SEM micrographs using the software </w:t>
      </w:r>
      <w:proofErr w:type="gramStart"/>
      <w:r>
        <w:t>ImageJ</w:t>
      </w:r>
      <w:proofErr w:type="gramEnd"/>
      <w:r w:rsidR="0053614F">
        <w:fldChar w:fldCharType="begin"/>
      </w:r>
      <w:r w:rsidR="0053614F">
        <w:instrText xml:space="preserve"> ADDIN ZOTERO_TEMP </w:instrText>
      </w:r>
      <w:r w:rsidR="0053614F">
        <w:fldChar w:fldCharType="separate"/>
      </w:r>
      <w:r w:rsidR="0053614F" w:rsidRPr="0053614F">
        <w:t>(Schneider et al. 2012)</w:t>
      </w:r>
      <w:r w:rsidR="0053614F">
        <w:fldChar w:fldCharType="end"/>
      </w:r>
      <w:r w:rsidR="002F4C3D">
        <w:t xml:space="preserve"> </w:t>
      </w:r>
      <w:r>
        <w:t xml:space="preserve">by analyzing at least 300 particles of each sample. </w:t>
      </w:r>
      <w:r w:rsidRPr="004035A4">
        <w:t xml:space="preserve">The particle size histograms of </w:t>
      </w:r>
      <w:r w:rsidR="0020678C" w:rsidRPr="004035A4">
        <w:t xml:space="preserve">the </w:t>
      </w:r>
      <w:r w:rsidRPr="004035A4">
        <w:t xml:space="preserve">FD </w:t>
      </w:r>
      <w:r w:rsidR="0020678C" w:rsidRPr="004035A4">
        <w:t xml:space="preserve">/ </w:t>
      </w:r>
      <w:r w:rsidRPr="004035A4">
        <w:rPr>
          <w:i/>
        </w:rPr>
        <w:t>t</w:t>
      </w:r>
      <w:r w:rsidRPr="004035A4">
        <w:t>BuOH and scCO</w:t>
      </w:r>
      <w:r w:rsidRPr="004035A4">
        <w:rPr>
          <w:vertAlign w:val="subscript"/>
        </w:rPr>
        <w:t>2</w:t>
      </w:r>
      <w:r w:rsidRPr="004035A4">
        <w:t xml:space="preserve"> </w:t>
      </w:r>
      <w:r w:rsidR="0020678C" w:rsidRPr="004035A4">
        <w:t xml:space="preserve">/ </w:t>
      </w:r>
      <w:r w:rsidRPr="004035A4">
        <w:t xml:space="preserve">EtOH </w:t>
      </w:r>
      <w:r w:rsidR="0020678C" w:rsidRPr="004035A4">
        <w:t xml:space="preserve">samples </w:t>
      </w:r>
      <w:r w:rsidRPr="004035A4">
        <w:t>w</w:t>
      </w:r>
      <w:r w:rsidR="00DD53BB" w:rsidRPr="004035A4">
        <w:t xml:space="preserve">ere fitted with a lognormal fit </w:t>
      </w:r>
      <w:r w:rsidRPr="004035A4">
        <w:t xml:space="preserve">in </w:t>
      </w:r>
      <w:proofErr w:type="spellStart"/>
      <w:r w:rsidRPr="004035A4">
        <w:t>OriginPro</w:t>
      </w:r>
      <w:proofErr w:type="spellEnd"/>
      <w:r w:rsidRPr="004035A4">
        <w:t xml:space="preserve"> 9</w:t>
      </w:r>
      <w:r w:rsidR="00DD53BB" w:rsidRPr="004035A4">
        <w:t>.</w:t>
      </w:r>
      <w:r w:rsidRPr="004035A4">
        <w:t xml:space="preserve"> The respective fits are compared with the</w:t>
      </w:r>
      <w:r>
        <w:t xml:space="preserve"> particle size </w:t>
      </w:r>
      <w:r w:rsidRPr="00D01A28">
        <w:t>distr</w:t>
      </w:r>
      <w:r w:rsidR="0026774A" w:rsidRPr="00D01A28">
        <w:t>ibution of never-dried gel from the literature</w:t>
      </w:r>
      <w:r w:rsidR="0020678C">
        <w:t xml:space="preserve"> </w:t>
      </w:r>
      <w:r w:rsidRPr="00D01A28">
        <w:fldChar w:fldCharType="begin"/>
      </w:r>
      <w:r w:rsidR="0053614F">
        <w:instrText xml:space="preserve"> ADDIN ZOTERO_ITEM CSL_CITATION {"citationID":"16rr5t01l6","properties":{"formattedCitation":"(Beaumont et al. 2016)","plainCitation":"(Beaumont et al. 2016)"},"citationItems":[{"id":2894,"uris":["http://zotero.org/users/1099718/items/GSBPCEZQ"],"uri":["http://zotero.org/users/1099718/items/GSBPCEZQ"],"itemData":{"id":2894,"type":"article-journal","title":"Nanostructured Cellulose II Gel Consisting of Spherical Particles","container-title":"ACS Sustainable Chemistry &amp; Engineering","page":"4424-4432","volume":"4","issue":"8","source":"Google Scholar","DOI":"10.1021/acssuschemeng.6b01036","author":[{"family":"Beaumont","given":"Marco"},{"family":"Rennhofer","given":"Harald"},{"family":"Opietnik","given":"Martina"},{"family":"Lichtenegger","given":"Helga C."},{"family":"Potthast","given":"Antje"},{"family":"Rosenau","given":"Thomas"}],"issued":{"date-parts":[["2016"]]}}}],"schema":"https://github.com/citation-style-language/schema/raw/master/csl-citation.json"} </w:instrText>
      </w:r>
      <w:r w:rsidRPr="00D01A28">
        <w:fldChar w:fldCharType="separate"/>
      </w:r>
      <w:r w:rsidRPr="00D01A28">
        <w:t>(Beaumont et al. 2016)</w:t>
      </w:r>
      <w:r w:rsidRPr="00D01A28">
        <w:fldChar w:fldCharType="end"/>
      </w:r>
      <w:r w:rsidRPr="00D01A28">
        <w:t xml:space="preserve"> in Figure S</w:t>
      </w:r>
      <w:r w:rsidR="0026774A" w:rsidRPr="00D01A28">
        <w:t>1</w:t>
      </w:r>
      <w:r w:rsidRPr="00D01A28">
        <w:t>.</w:t>
      </w:r>
    </w:p>
    <w:p w:rsidR="00D01A28" w:rsidRDefault="00D01A28" w:rsidP="00F85C81">
      <w:pPr>
        <w:pStyle w:val="heading2"/>
        <w:ind w:left="360"/>
      </w:pPr>
      <w:r>
        <w:rPr>
          <w:highlight w:val="yellow"/>
        </w:rPr>
        <w:br w:type="column"/>
      </w:r>
      <w:r w:rsidR="00F85C81">
        <w:lastRenderedPageBreak/>
        <w:t xml:space="preserve">2. supporting </w:t>
      </w:r>
      <w:r>
        <w:t>Figures</w:t>
      </w:r>
      <w:r w:rsidR="00B8172C">
        <w:t xml:space="preserve"> and tables</w:t>
      </w:r>
    </w:p>
    <w:p w:rsidR="00B8172C" w:rsidRDefault="00B8172C" w:rsidP="00B8172C">
      <w:pPr>
        <w:pStyle w:val="bodytext"/>
        <w:spacing w:line="240" w:lineRule="auto"/>
      </w:pPr>
      <w:r>
        <w:t>Table S1: Overview of surface energetics and Gutmann acid and base constants of related cellulose substrates.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09"/>
        <w:gridCol w:w="708"/>
        <w:gridCol w:w="1418"/>
        <w:gridCol w:w="1134"/>
        <w:gridCol w:w="1417"/>
        <w:gridCol w:w="2263"/>
      </w:tblGrid>
      <w:tr w:rsidR="00B75C99" w:rsidRPr="00B8172C" w:rsidTr="00B75C99">
        <w:tc>
          <w:tcPr>
            <w:tcW w:w="1418" w:type="dxa"/>
            <w:tcBorders>
              <w:top w:val="single" w:sz="4" w:space="0" w:color="auto"/>
              <w:bottom w:val="single" w:sz="18" w:space="0" w:color="auto"/>
            </w:tcBorders>
          </w:tcPr>
          <w:p w:rsidR="00B8172C" w:rsidRPr="00B8172C" w:rsidRDefault="00B8172C" w:rsidP="00B75C99">
            <w:pPr>
              <w:jc w:val="center"/>
              <w:rPr>
                <w:rFonts w:ascii="Arial" w:hAnsi="Arial" w:cs="Arial"/>
                <w:color w:val="000000"/>
                <w:sz w:val="20"/>
                <w:szCs w:val="20"/>
                <w:lang w:val="en-US"/>
              </w:rPr>
            </w:pPr>
          </w:p>
        </w:tc>
        <w:tc>
          <w:tcPr>
            <w:tcW w:w="709" w:type="dxa"/>
            <w:tcBorders>
              <w:top w:val="single" w:sz="4" w:space="0" w:color="auto"/>
              <w:bottom w:val="single" w:sz="18" w:space="0" w:color="auto"/>
            </w:tcBorders>
          </w:tcPr>
          <w:p w:rsidR="00B8172C" w:rsidRPr="00B8172C" w:rsidRDefault="00FF7141" w:rsidP="00B75C99">
            <w:pPr>
              <w:jc w:val="center"/>
              <w:rPr>
                <w:rFonts w:ascii="Arial" w:hAnsi="Arial" w:cs="Arial"/>
                <w:color w:val="000000"/>
                <w:sz w:val="20"/>
                <w:szCs w:val="20"/>
                <w:lang w:val="en-US"/>
              </w:rPr>
            </w:pPr>
            <m:oMathPara>
              <m:oMath>
                <m:sSub>
                  <m:sSubPr>
                    <m:ctrlPr>
                      <w:rPr>
                        <w:rFonts w:ascii="Cambria Math" w:hAnsi="Cambria Math" w:cs="Arial"/>
                        <w:i/>
                        <w:color w:val="000000"/>
                        <w:sz w:val="20"/>
                        <w:szCs w:val="20"/>
                        <w:lang w:val="en-US"/>
                      </w:rPr>
                    </m:ctrlPr>
                  </m:sSubPr>
                  <m:e>
                    <m:r>
                      <w:rPr>
                        <w:rFonts w:ascii="Cambria Math" w:hAnsi="Cambria Math" w:cs="Arial"/>
                        <w:color w:val="000000"/>
                        <w:sz w:val="20"/>
                        <w:szCs w:val="20"/>
                        <w:lang w:val="en-US"/>
                      </w:rPr>
                      <m:t>K</m:t>
                    </m:r>
                  </m:e>
                  <m:sub>
                    <m:r>
                      <w:rPr>
                        <w:rFonts w:ascii="Cambria Math" w:hAnsi="Cambria Math" w:cs="Arial"/>
                        <w:color w:val="000000"/>
                        <w:sz w:val="20"/>
                        <w:szCs w:val="20"/>
                        <w:lang w:val="en-US"/>
                      </w:rPr>
                      <m:t>A</m:t>
                    </m:r>
                  </m:sub>
                </m:sSub>
              </m:oMath>
            </m:oMathPara>
          </w:p>
        </w:tc>
        <w:tc>
          <w:tcPr>
            <w:tcW w:w="708" w:type="dxa"/>
            <w:tcBorders>
              <w:top w:val="single" w:sz="4" w:space="0" w:color="auto"/>
              <w:bottom w:val="single" w:sz="18" w:space="0" w:color="auto"/>
            </w:tcBorders>
          </w:tcPr>
          <w:p w:rsidR="00B8172C" w:rsidRPr="00B8172C" w:rsidRDefault="00FF7141" w:rsidP="00B75C99">
            <w:pPr>
              <w:jc w:val="center"/>
              <w:rPr>
                <w:rFonts w:ascii="Arial" w:hAnsi="Arial" w:cs="Arial"/>
                <w:color w:val="000000"/>
                <w:sz w:val="20"/>
                <w:szCs w:val="20"/>
                <w:vertAlign w:val="subscript"/>
                <w:lang w:val="en-US"/>
              </w:rPr>
            </w:pPr>
            <m:oMathPara>
              <m:oMath>
                <m:sSub>
                  <m:sSubPr>
                    <m:ctrlPr>
                      <w:rPr>
                        <w:rFonts w:ascii="Cambria Math" w:hAnsi="Cambria Math" w:cs="Arial"/>
                        <w:i/>
                        <w:color w:val="000000"/>
                        <w:sz w:val="20"/>
                        <w:szCs w:val="20"/>
                        <w:lang w:val="en-US"/>
                      </w:rPr>
                    </m:ctrlPr>
                  </m:sSubPr>
                  <m:e>
                    <m:r>
                      <w:rPr>
                        <w:rFonts w:ascii="Cambria Math" w:hAnsi="Cambria Math" w:cs="Arial"/>
                        <w:color w:val="000000"/>
                        <w:sz w:val="20"/>
                        <w:szCs w:val="20"/>
                        <w:lang w:val="en-US"/>
                      </w:rPr>
                      <m:t>K</m:t>
                    </m:r>
                  </m:e>
                  <m:sub>
                    <m:r>
                      <w:rPr>
                        <w:rFonts w:ascii="Cambria Math" w:hAnsi="Cambria Math" w:cs="Arial"/>
                        <w:color w:val="000000"/>
                        <w:sz w:val="20"/>
                        <w:szCs w:val="20"/>
                        <w:lang w:val="en-US"/>
                      </w:rPr>
                      <m:t>B</m:t>
                    </m:r>
                  </m:sub>
                </m:sSub>
              </m:oMath>
            </m:oMathPara>
          </w:p>
        </w:tc>
        <w:tc>
          <w:tcPr>
            <w:tcW w:w="1418" w:type="dxa"/>
            <w:tcBorders>
              <w:top w:val="single" w:sz="4" w:space="0" w:color="auto"/>
              <w:bottom w:val="single" w:sz="18" w:space="0" w:color="auto"/>
            </w:tcBorders>
          </w:tcPr>
          <w:p w:rsidR="00B75C99" w:rsidRDefault="00FF7141" w:rsidP="00B75C99">
            <w:pPr>
              <w:jc w:val="center"/>
              <w:rPr>
                <w:rFonts w:ascii="Arial" w:eastAsiaTheme="minorEastAsia" w:hAnsi="Arial" w:cs="Arial"/>
                <w:color w:val="000000"/>
                <w:sz w:val="20"/>
                <w:szCs w:val="20"/>
                <w:lang w:val="en-US"/>
              </w:rPr>
            </w:pPr>
            <m:oMath>
              <m:sSubSup>
                <m:sSubSupPr>
                  <m:ctrlPr>
                    <w:rPr>
                      <w:rFonts w:ascii="Cambria Math" w:hAnsi="Cambria Math" w:cs="Arial"/>
                      <w:i/>
                      <w:color w:val="000000"/>
                      <w:sz w:val="20"/>
                      <w:szCs w:val="20"/>
                      <w:lang w:val="en-US"/>
                    </w:rPr>
                  </m:ctrlPr>
                </m:sSubSupPr>
                <m:e>
                  <m:r>
                    <w:rPr>
                      <w:rFonts w:ascii="Cambria Math" w:hAnsi="Cambria Math" w:cs="Arial"/>
                      <w:color w:val="000000"/>
                      <w:sz w:val="20"/>
                      <w:szCs w:val="20"/>
                      <w:lang w:val="en-US"/>
                    </w:rPr>
                    <m:t>γ</m:t>
                  </m:r>
                </m:e>
                <m:sub>
                  <m:r>
                    <w:rPr>
                      <w:rFonts w:ascii="Cambria Math" w:hAnsi="Cambria Math" w:cs="Arial"/>
                      <w:color w:val="000000"/>
                      <w:sz w:val="20"/>
                      <w:szCs w:val="20"/>
                      <w:lang w:val="en-US"/>
                    </w:rPr>
                    <m:t>s</m:t>
                  </m:r>
                </m:sub>
                <m:sup>
                  <m:r>
                    <w:rPr>
                      <w:rFonts w:ascii="Cambria Math" w:hAnsi="Cambria Math" w:cs="Arial"/>
                      <w:color w:val="000000"/>
                      <w:sz w:val="20"/>
                      <w:szCs w:val="20"/>
                      <w:lang w:val="en-US"/>
                    </w:rPr>
                    <m:t>D</m:t>
                  </m:r>
                </m:sup>
              </m:sSubSup>
            </m:oMath>
            <w:r w:rsidR="00B8172C" w:rsidRPr="00B8172C">
              <w:rPr>
                <w:rFonts w:ascii="Arial" w:eastAsiaTheme="minorEastAsia" w:hAnsi="Arial" w:cs="Arial"/>
                <w:color w:val="000000"/>
                <w:sz w:val="20"/>
                <w:szCs w:val="20"/>
                <w:lang w:val="en-US"/>
              </w:rPr>
              <w:t>/</w:t>
            </w:r>
          </w:p>
          <w:p w:rsidR="00B8172C" w:rsidRPr="00B8172C" w:rsidRDefault="00B8172C" w:rsidP="00B75C99">
            <w:pPr>
              <w:jc w:val="center"/>
              <w:rPr>
                <w:rFonts w:ascii="Arial" w:hAnsi="Arial" w:cs="Arial"/>
                <w:color w:val="000000"/>
                <w:sz w:val="20"/>
                <w:szCs w:val="20"/>
                <w:vertAlign w:val="superscript"/>
                <w:lang w:val="en-US"/>
              </w:rPr>
            </w:pPr>
            <w:r w:rsidRPr="00B8172C">
              <w:rPr>
                <w:rFonts w:ascii="Arial" w:eastAsiaTheme="minorEastAsia" w:hAnsi="Arial" w:cs="Arial"/>
                <w:color w:val="000000"/>
                <w:sz w:val="20"/>
                <w:szCs w:val="20"/>
                <w:lang w:val="en-US"/>
              </w:rPr>
              <w:t>mJ∙m</w:t>
            </w:r>
            <w:r w:rsidRPr="00B8172C">
              <w:rPr>
                <w:rFonts w:ascii="Arial" w:eastAsiaTheme="minorEastAsia" w:hAnsi="Arial" w:cs="Arial"/>
                <w:color w:val="000000"/>
                <w:sz w:val="20"/>
                <w:szCs w:val="20"/>
                <w:vertAlign w:val="superscript"/>
                <w:lang w:val="en-US"/>
              </w:rPr>
              <w:t>-2</w:t>
            </w:r>
          </w:p>
        </w:tc>
        <w:tc>
          <w:tcPr>
            <w:tcW w:w="1134" w:type="dxa"/>
            <w:tcBorders>
              <w:top w:val="single" w:sz="4" w:space="0" w:color="auto"/>
              <w:bottom w:val="single" w:sz="18" w:space="0" w:color="auto"/>
            </w:tcBorders>
          </w:tcPr>
          <w:p w:rsidR="00B8172C" w:rsidRPr="00B8172C" w:rsidRDefault="00FF7141" w:rsidP="00FF60D6">
            <w:pPr>
              <w:jc w:val="center"/>
              <w:rPr>
                <w:rFonts w:ascii="Arial" w:hAnsi="Arial" w:cs="Arial"/>
                <w:color w:val="000000"/>
                <w:sz w:val="20"/>
                <w:szCs w:val="20"/>
                <w:lang w:val="en-US"/>
              </w:rPr>
            </w:pPr>
            <m:oMath>
              <m:sSubSup>
                <m:sSubSupPr>
                  <m:ctrlPr>
                    <w:rPr>
                      <w:rFonts w:ascii="Cambria Math" w:hAnsi="Cambria Math" w:cs="Arial"/>
                      <w:i/>
                      <w:color w:val="000000"/>
                      <w:sz w:val="20"/>
                      <w:szCs w:val="20"/>
                      <w:lang w:val="en-US"/>
                    </w:rPr>
                  </m:ctrlPr>
                </m:sSubSupPr>
                <m:e>
                  <m:r>
                    <w:rPr>
                      <w:rFonts w:ascii="Cambria Math" w:hAnsi="Cambria Math" w:cs="Arial"/>
                      <w:color w:val="000000"/>
                      <w:sz w:val="20"/>
                      <w:szCs w:val="20"/>
                      <w:lang w:val="en-US"/>
                    </w:rPr>
                    <m:t>γ</m:t>
                  </m:r>
                </m:e>
                <m:sub>
                  <m:r>
                    <w:rPr>
                      <w:rFonts w:ascii="Cambria Math" w:hAnsi="Cambria Math" w:cs="Arial"/>
                      <w:color w:val="000000"/>
                      <w:sz w:val="20"/>
                      <w:szCs w:val="20"/>
                      <w:lang w:val="en-US"/>
                    </w:rPr>
                    <m:t>s</m:t>
                  </m:r>
                </m:sub>
                <m:sup>
                  <m:r>
                    <w:rPr>
                      <w:rFonts w:ascii="Cambria Math" w:hAnsi="Cambria Math" w:cs="Arial"/>
                      <w:color w:val="000000"/>
                      <w:sz w:val="20"/>
                      <w:szCs w:val="20"/>
                      <w:lang w:val="en-US"/>
                    </w:rPr>
                    <m:t>AB</m:t>
                  </m:r>
                </m:sup>
              </m:sSubSup>
            </m:oMath>
            <w:r w:rsidR="00B8172C" w:rsidRPr="00B8172C">
              <w:rPr>
                <w:rFonts w:ascii="Arial" w:eastAsiaTheme="minorEastAsia" w:hAnsi="Arial" w:cs="Arial"/>
                <w:color w:val="000000"/>
                <w:sz w:val="20"/>
                <w:szCs w:val="20"/>
                <w:lang w:val="en-US"/>
              </w:rPr>
              <w:t>/ mJ∙m</w:t>
            </w:r>
            <w:r w:rsidR="00B8172C" w:rsidRPr="00B8172C">
              <w:rPr>
                <w:rFonts w:ascii="Arial" w:eastAsiaTheme="minorEastAsia" w:hAnsi="Arial" w:cs="Arial"/>
                <w:color w:val="000000"/>
                <w:sz w:val="20"/>
                <w:szCs w:val="20"/>
                <w:vertAlign w:val="superscript"/>
                <w:lang w:val="en-US"/>
              </w:rPr>
              <w:t>-2</w:t>
            </w:r>
          </w:p>
        </w:tc>
        <w:tc>
          <w:tcPr>
            <w:tcW w:w="1417" w:type="dxa"/>
            <w:tcBorders>
              <w:top w:val="single" w:sz="4" w:space="0" w:color="auto"/>
              <w:bottom w:val="single" w:sz="18" w:space="0" w:color="auto"/>
            </w:tcBorders>
          </w:tcPr>
          <w:p w:rsidR="00B75C99" w:rsidRDefault="00FF7141" w:rsidP="00B75C99">
            <w:pPr>
              <w:jc w:val="center"/>
              <w:rPr>
                <w:rFonts w:ascii="Arial" w:eastAsiaTheme="minorEastAsia" w:hAnsi="Arial" w:cs="Arial"/>
                <w:color w:val="000000"/>
                <w:sz w:val="20"/>
                <w:szCs w:val="20"/>
                <w:lang w:val="en-US"/>
              </w:rPr>
            </w:pPr>
            <m:oMath>
              <m:sSubSup>
                <m:sSubSupPr>
                  <m:ctrlPr>
                    <w:rPr>
                      <w:rFonts w:ascii="Cambria Math" w:hAnsi="Cambria Math" w:cs="Arial"/>
                      <w:i/>
                      <w:color w:val="000000"/>
                      <w:sz w:val="20"/>
                      <w:szCs w:val="20"/>
                      <w:lang w:val="en-US"/>
                    </w:rPr>
                  </m:ctrlPr>
                </m:sSubSupPr>
                <m:e>
                  <m:r>
                    <w:rPr>
                      <w:rFonts w:ascii="Cambria Math" w:hAnsi="Cambria Math" w:cs="Arial"/>
                      <w:color w:val="000000"/>
                      <w:sz w:val="20"/>
                      <w:szCs w:val="20"/>
                      <w:lang w:val="en-US"/>
                    </w:rPr>
                    <m:t>γ</m:t>
                  </m:r>
                </m:e>
                <m:sub>
                  <m:r>
                    <w:rPr>
                      <w:rFonts w:ascii="Cambria Math" w:hAnsi="Cambria Math" w:cs="Arial"/>
                      <w:color w:val="000000"/>
                      <w:sz w:val="20"/>
                      <w:szCs w:val="20"/>
                      <w:lang w:val="en-US"/>
                    </w:rPr>
                    <m:t>s</m:t>
                  </m:r>
                </m:sub>
                <m:sup>
                  <m:r>
                    <w:rPr>
                      <w:rFonts w:ascii="Cambria Math" w:hAnsi="Cambria Math" w:cs="Arial"/>
                      <w:color w:val="000000"/>
                      <w:sz w:val="20"/>
                      <w:szCs w:val="20"/>
                      <w:lang w:val="en-US"/>
                    </w:rPr>
                    <m:t>T</m:t>
                  </m:r>
                </m:sup>
              </m:sSubSup>
            </m:oMath>
            <w:r w:rsidR="00B8172C" w:rsidRPr="00B8172C">
              <w:rPr>
                <w:rFonts w:ascii="Arial" w:eastAsiaTheme="minorEastAsia" w:hAnsi="Arial" w:cs="Arial"/>
                <w:color w:val="000000"/>
                <w:sz w:val="20"/>
                <w:szCs w:val="20"/>
                <w:lang w:val="en-US"/>
              </w:rPr>
              <w:t>/</w:t>
            </w:r>
          </w:p>
          <w:p w:rsidR="00B8172C" w:rsidRPr="00B8172C" w:rsidRDefault="00B8172C" w:rsidP="00B75C99">
            <w:pPr>
              <w:jc w:val="center"/>
              <w:rPr>
                <w:rFonts w:ascii="Arial" w:hAnsi="Arial" w:cs="Arial"/>
                <w:color w:val="000000"/>
                <w:sz w:val="20"/>
                <w:szCs w:val="20"/>
                <w:lang w:val="en-US"/>
              </w:rPr>
            </w:pPr>
            <w:r w:rsidRPr="00B8172C">
              <w:rPr>
                <w:rFonts w:ascii="Arial" w:eastAsiaTheme="minorEastAsia" w:hAnsi="Arial" w:cs="Arial"/>
                <w:color w:val="000000"/>
                <w:sz w:val="20"/>
                <w:szCs w:val="20"/>
                <w:lang w:val="en-US"/>
              </w:rPr>
              <w:t>mJ∙m</w:t>
            </w:r>
            <w:r w:rsidRPr="00B8172C">
              <w:rPr>
                <w:rFonts w:ascii="Arial" w:eastAsiaTheme="minorEastAsia" w:hAnsi="Arial" w:cs="Arial"/>
                <w:color w:val="000000"/>
                <w:sz w:val="20"/>
                <w:szCs w:val="20"/>
                <w:vertAlign w:val="superscript"/>
                <w:lang w:val="en-US"/>
              </w:rPr>
              <w:t>-2</w:t>
            </w:r>
          </w:p>
        </w:tc>
        <w:tc>
          <w:tcPr>
            <w:tcW w:w="2263" w:type="dxa"/>
            <w:tcBorders>
              <w:top w:val="single" w:sz="4" w:space="0" w:color="auto"/>
              <w:bottom w:val="single" w:sz="18" w:space="0" w:color="auto"/>
            </w:tcBorders>
          </w:tcPr>
          <w:p w:rsidR="00B8172C" w:rsidRPr="00B8172C" w:rsidRDefault="00B8172C" w:rsidP="00B75C99">
            <w:pPr>
              <w:jc w:val="center"/>
              <w:rPr>
                <w:rFonts w:ascii="Arial" w:hAnsi="Arial" w:cs="Arial"/>
                <w:color w:val="000000"/>
                <w:sz w:val="20"/>
                <w:szCs w:val="20"/>
                <w:lang w:val="en-US"/>
              </w:rPr>
            </w:pPr>
          </w:p>
        </w:tc>
      </w:tr>
      <w:tr w:rsidR="00B75C99" w:rsidRPr="00B8172C" w:rsidTr="00B75C99">
        <w:tc>
          <w:tcPr>
            <w:tcW w:w="1418" w:type="dxa"/>
            <w:tcBorders>
              <w:top w:val="single" w:sz="18" w:space="0" w:color="auto"/>
            </w:tcBorders>
            <w:shd w:val="clear" w:color="auto" w:fill="FFC000" w:themeFill="accent4"/>
          </w:tcPr>
          <w:p w:rsidR="00B8172C" w:rsidRPr="00B8172C" w:rsidRDefault="00B8172C" w:rsidP="00FF60D6">
            <w:pPr>
              <w:rPr>
                <w:rFonts w:ascii="Arial" w:hAnsi="Arial" w:cs="Arial"/>
                <w:b/>
                <w:color w:val="000000"/>
                <w:sz w:val="20"/>
                <w:szCs w:val="20"/>
                <w:lang w:val="en-US"/>
              </w:rPr>
            </w:pPr>
            <w:r w:rsidRPr="00B8172C">
              <w:rPr>
                <w:rFonts w:ascii="Arial" w:hAnsi="Arial" w:cs="Arial"/>
                <w:b/>
                <w:color w:val="000000"/>
                <w:sz w:val="20"/>
                <w:szCs w:val="20"/>
                <w:lang w:val="en-US"/>
              </w:rPr>
              <w:t xml:space="preserve">FD </w:t>
            </w:r>
            <w:r w:rsidRPr="00B8172C">
              <w:rPr>
                <w:rFonts w:ascii="Arial" w:hAnsi="Arial" w:cs="Arial"/>
                <w:b/>
                <w:i/>
                <w:color w:val="000000"/>
                <w:sz w:val="20"/>
                <w:szCs w:val="20"/>
                <w:lang w:val="en-US"/>
              </w:rPr>
              <w:t>t</w:t>
            </w:r>
            <w:r w:rsidRPr="00B8172C">
              <w:rPr>
                <w:rFonts w:ascii="Arial" w:hAnsi="Arial" w:cs="Arial"/>
                <w:b/>
                <w:color w:val="000000"/>
                <w:sz w:val="20"/>
                <w:szCs w:val="20"/>
                <w:lang w:val="en-US"/>
              </w:rPr>
              <w:t>BuOH*</w:t>
            </w:r>
          </w:p>
        </w:tc>
        <w:tc>
          <w:tcPr>
            <w:tcW w:w="709" w:type="dxa"/>
            <w:tcBorders>
              <w:top w:val="single" w:sz="18" w:space="0" w:color="auto"/>
            </w:tcBorders>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0.16</w:t>
            </w:r>
          </w:p>
        </w:tc>
        <w:tc>
          <w:tcPr>
            <w:tcW w:w="708" w:type="dxa"/>
            <w:tcBorders>
              <w:top w:val="single" w:sz="18" w:space="0" w:color="auto"/>
            </w:tcBorders>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0.48</w:t>
            </w:r>
          </w:p>
        </w:tc>
        <w:tc>
          <w:tcPr>
            <w:tcW w:w="1418" w:type="dxa"/>
            <w:tcBorders>
              <w:top w:val="single" w:sz="18" w:space="0" w:color="auto"/>
            </w:tcBorders>
            <w:shd w:val="clear" w:color="auto" w:fill="FFC000" w:themeFill="accent4"/>
          </w:tcPr>
          <w:p w:rsidR="00B8172C" w:rsidRPr="00B75C99" w:rsidRDefault="00B75C99" w:rsidP="00B75C99">
            <w:pPr>
              <w:jc w:val="center"/>
              <w:rPr>
                <w:rFonts w:ascii="Arial" w:hAnsi="Arial" w:cs="Arial"/>
                <w:color w:val="000000"/>
                <w:sz w:val="20"/>
                <w:szCs w:val="20"/>
                <w:lang w:val="en-US"/>
              </w:rPr>
            </w:pPr>
            <w:r>
              <w:rPr>
                <w:rFonts w:ascii="Arial" w:hAnsi="Arial" w:cs="Arial"/>
                <w:color w:val="000000"/>
                <w:sz w:val="20"/>
                <w:szCs w:val="20"/>
                <w:lang w:val="en-US"/>
              </w:rPr>
              <w:t>52.2</w:t>
            </w:r>
            <w:r w:rsidR="00B8172C" w:rsidRPr="00B75C99">
              <w:rPr>
                <w:rFonts w:ascii="Arial" w:hAnsi="Arial" w:cs="Arial"/>
                <w:color w:val="000000"/>
                <w:sz w:val="20"/>
                <w:szCs w:val="20"/>
                <w:lang w:val="en-US"/>
              </w:rPr>
              <w:t xml:space="preserve"> (30°C)</w:t>
            </w:r>
          </w:p>
        </w:tc>
        <w:tc>
          <w:tcPr>
            <w:tcW w:w="1134" w:type="dxa"/>
            <w:tcBorders>
              <w:top w:val="single" w:sz="18" w:space="0" w:color="auto"/>
            </w:tcBorders>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6.94</w:t>
            </w:r>
          </w:p>
        </w:tc>
        <w:tc>
          <w:tcPr>
            <w:tcW w:w="1417" w:type="dxa"/>
            <w:tcBorders>
              <w:top w:val="single" w:sz="18" w:space="0" w:color="auto"/>
            </w:tcBorders>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59.18</w:t>
            </w:r>
          </w:p>
        </w:tc>
        <w:tc>
          <w:tcPr>
            <w:tcW w:w="2263" w:type="dxa"/>
            <w:tcBorders>
              <w:top w:val="single" w:sz="18" w:space="0" w:color="auto"/>
            </w:tcBorders>
            <w:shd w:val="clear" w:color="auto" w:fill="FFC000" w:themeFill="accent4"/>
          </w:tcPr>
          <w:p w:rsidR="00B8172C" w:rsidRPr="00B75C99" w:rsidRDefault="00B8172C" w:rsidP="00FF60D6">
            <w:pPr>
              <w:rPr>
                <w:rFonts w:ascii="Arial" w:hAnsi="Arial" w:cs="Arial"/>
                <w:color w:val="000000"/>
                <w:sz w:val="20"/>
                <w:szCs w:val="20"/>
                <w:lang w:val="en-US"/>
              </w:rPr>
            </w:pPr>
          </w:p>
        </w:tc>
      </w:tr>
      <w:tr w:rsidR="00B75C99" w:rsidRPr="00B8172C" w:rsidTr="00B75C99">
        <w:tc>
          <w:tcPr>
            <w:tcW w:w="1418" w:type="dxa"/>
            <w:shd w:val="clear" w:color="auto" w:fill="FFC000" w:themeFill="accent4"/>
          </w:tcPr>
          <w:p w:rsidR="00B8172C" w:rsidRPr="00B8172C" w:rsidRDefault="00B8172C" w:rsidP="00FF60D6">
            <w:pPr>
              <w:rPr>
                <w:rFonts w:ascii="Arial" w:hAnsi="Arial" w:cs="Arial"/>
                <w:b/>
                <w:color w:val="000000"/>
                <w:sz w:val="20"/>
                <w:szCs w:val="20"/>
                <w:lang w:val="en-US"/>
              </w:rPr>
            </w:pPr>
            <w:r w:rsidRPr="00B8172C">
              <w:rPr>
                <w:rFonts w:ascii="Arial" w:hAnsi="Arial" w:cs="Arial"/>
                <w:b/>
                <w:color w:val="000000"/>
                <w:sz w:val="20"/>
                <w:szCs w:val="20"/>
                <w:lang w:val="en-US"/>
              </w:rPr>
              <w:t>scCO</w:t>
            </w:r>
            <w:r w:rsidRPr="00B8172C">
              <w:rPr>
                <w:rFonts w:ascii="Arial" w:hAnsi="Arial" w:cs="Arial"/>
                <w:b/>
                <w:color w:val="000000"/>
                <w:sz w:val="20"/>
                <w:szCs w:val="20"/>
                <w:vertAlign w:val="subscript"/>
                <w:lang w:val="en-US"/>
              </w:rPr>
              <w:t>2</w:t>
            </w:r>
            <w:r w:rsidRPr="00B8172C">
              <w:rPr>
                <w:rFonts w:ascii="Arial" w:hAnsi="Arial" w:cs="Arial"/>
                <w:b/>
                <w:color w:val="000000"/>
                <w:sz w:val="20"/>
                <w:szCs w:val="20"/>
                <w:lang w:val="en-US"/>
              </w:rPr>
              <w:t xml:space="preserve"> EtOH</w:t>
            </w:r>
          </w:p>
        </w:tc>
        <w:tc>
          <w:tcPr>
            <w:tcW w:w="709" w:type="dxa"/>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0.17</w:t>
            </w:r>
          </w:p>
        </w:tc>
        <w:tc>
          <w:tcPr>
            <w:tcW w:w="708" w:type="dxa"/>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0.43</w:t>
            </w:r>
          </w:p>
        </w:tc>
        <w:tc>
          <w:tcPr>
            <w:tcW w:w="1418" w:type="dxa"/>
            <w:shd w:val="clear" w:color="auto" w:fill="FFC000" w:themeFill="accent4"/>
          </w:tcPr>
          <w:p w:rsidR="00B8172C" w:rsidRPr="00B75C99" w:rsidRDefault="00B75C99" w:rsidP="00B75C99">
            <w:pPr>
              <w:jc w:val="center"/>
              <w:rPr>
                <w:rFonts w:ascii="Arial" w:hAnsi="Arial" w:cs="Arial"/>
                <w:color w:val="000000"/>
                <w:sz w:val="20"/>
                <w:szCs w:val="20"/>
                <w:lang w:val="en-US"/>
              </w:rPr>
            </w:pPr>
            <w:r>
              <w:rPr>
                <w:rFonts w:ascii="Arial" w:hAnsi="Arial" w:cs="Arial"/>
                <w:color w:val="000000"/>
                <w:sz w:val="20"/>
                <w:szCs w:val="20"/>
                <w:lang w:val="en-US"/>
              </w:rPr>
              <w:t>49.6</w:t>
            </w:r>
            <w:r w:rsidR="00B8172C" w:rsidRPr="00B75C99">
              <w:rPr>
                <w:rFonts w:ascii="Arial" w:hAnsi="Arial" w:cs="Arial"/>
                <w:color w:val="000000"/>
                <w:sz w:val="20"/>
                <w:szCs w:val="20"/>
                <w:lang w:val="en-US"/>
              </w:rPr>
              <w:t xml:space="preserve"> (30°C)</w:t>
            </w:r>
          </w:p>
        </w:tc>
        <w:tc>
          <w:tcPr>
            <w:tcW w:w="1134" w:type="dxa"/>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6.12</w:t>
            </w:r>
          </w:p>
        </w:tc>
        <w:tc>
          <w:tcPr>
            <w:tcW w:w="1417" w:type="dxa"/>
            <w:shd w:val="clear" w:color="auto" w:fill="FFC000" w:themeFill="accent4"/>
          </w:tcPr>
          <w:p w:rsidR="00B8172C" w:rsidRPr="00B75C99" w:rsidRDefault="00B8172C" w:rsidP="00B75C99">
            <w:pPr>
              <w:jc w:val="center"/>
              <w:rPr>
                <w:rFonts w:ascii="Arial" w:hAnsi="Arial" w:cs="Arial"/>
                <w:color w:val="000000"/>
                <w:sz w:val="20"/>
                <w:szCs w:val="20"/>
                <w:lang w:val="en-US"/>
              </w:rPr>
            </w:pPr>
            <w:r w:rsidRPr="00B75C99">
              <w:rPr>
                <w:rFonts w:ascii="Arial" w:hAnsi="Arial" w:cs="Arial"/>
                <w:color w:val="000000"/>
                <w:sz w:val="20"/>
                <w:szCs w:val="20"/>
                <w:lang w:val="en-US"/>
              </w:rPr>
              <w:t>55.81</w:t>
            </w:r>
          </w:p>
        </w:tc>
        <w:tc>
          <w:tcPr>
            <w:tcW w:w="2263" w:type="dxa"/>
            <w:shd w:val="clear" w:color="auto" w:fill="FFC000" w:themeFill="accent4"/>
          </w:tcPr>
          <w:p w:rsidR="00B8172C" w:rsidRPr="004853EC" w:rsidRDefault="00B8172C" w:rsidP="00FF60D6">
            <w:pPr>
              <w:rPr>
                <w:rFonts w:ascii="Arial" w:hAnsi="Arial" w:cs="Arial"/>
                <w:color w:val="000000"/>
                <w:sz w:val="20"/>
                <w:szCs w:val="20"/>
                <w:lang w:val="en-US"/>
              </w:rPr>
            </w:pPr>
          </w:p>
        </w:tc>
      </w:tr>
      <w:tr w:rsidR="00B75C99" w:rsidRPr="00B8172C" w:rsidTr="00B75C99">
        <w:tc>
          <w:tcPr>
            <w:tcW w:w="1418"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t>TO-CNF</w:t>
            </w:r>
            <w:r w:rsidR="00C248E2" w:rsidRPr="00C248E2">
              <w:rPr>
                <w:rFonts w:ascii="Arial" w:hAnsi="Arial" w:cs="Arial"/>
                <w:color w:val="000000"/>
                <w:sz w:val="20"/>
                <w:szCs w:val="20"/>
                <w:vertAlign w:val="superscript"/>
                <w:lang w:val="en-US"/>
              </w:rPr>
              <w:t>§</w:t>
            </w:r>
          </w:p>
        </w:tc>
        <w:tc>
          <w:tcPr>
            <w:tcW w:w="709" w:type="dxa"/>
          </w:tcPr>
          <w:p w:rsidR="00B8172C" w:rsidRPr="00B8172C" w:rsidRDefault="00B8172C" w:rsidP="00B75C99">
            <w:pPr>
              <w:jc w:val="center"/>
              <w:rPr>
                <w:rFonts w:ascii="Arial" w:hAnsi="Arial" w:cs="Arial"/>
                <w:color w:val="000000"/>
                <w:sz w:val="20"/>
                <w:szCs w:val="20"/>
                <w:lang w:val="en-US"/>
              </w:rPr>
            </w:pPr>
          </w:p>
        </w:tc>
        <w:tc>
          <w:tcPr>
            <w:tcW w:w="708" w:type="dxa"/>
          </w:tcPr>
          <w:p w:rsidR="00B8172C" w:rsidRPr="00B8172C" w:rsidRDefault="00B8172C" w:rsidP="00B75C99">
            <w:pPr>
              <w:jc w:val="center"/>
              <w:rPr>
                <w:rFonts w:ascii="Arial" w:hAnsi="Arial" w:cs="Arial"/>
                <w:color w:val="000000"/>
                <w:sz w:val="20"/>
                <w:szCs w:val="20"/>
                <w:lang w:val="en-US"/>
              </w:rPr>
            </w:pPr>
          </w:p>
        </w:tc>
        <w:tc>
          <w:tcPr>
            <w:tcW w:w="141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46.2 (40°C)</w:t>
            </w:r>
          </w:p>
        </w:tc>
        <w:tc>
          <w:tcPr>
            <w:tcW w:w="1134" w:type="dxa"/>
          </w:tcPr>
          <w:p w:rsidR="00B8172C" w:rsidRPr="00B8172C" w:rsidRDefault="00B8172C" w:rsidP="00B75C99">
            <w:pPr>
              <w:jc w:val="center"/>
              <w:rPr>
                <w:rFonts w:ascii="Arial" w:hAnsi="Arial" w:cs="Arial"/>
                <w:color w:val="000000"/>
                <w:sz w:val="20"/>
                <w:szCs w:val="20"/>
                <w:lang w:val="en-US"/>
              </w:rPr>
            </w:pPr>
          </w:p>
        </w:tc>
        <w:tc>
          <w:tcPr>
            <w:tcW w:w="1417" w:type="dxa"/>
          </w:tcPr>
          <w:p w:rsidR="00B8172C" w:rsidRPr="00B8172C" w:rsidRDefault="00B8172C" w:rsidP="00B75C99">
            <w:pPr>
              <w:jc w:val="center"/>
              <w:rPr>
                <w:rFonts w:ascii="Arial" w:hAnsi="Arial" w:cs="Arial"/>
                <w:color w:val="000000"/>
                <w:sz w:val="20"/>
                <w:szCs w:val="20"/>
                <w:lang w:val="en-US"/>
              </w:rPr>
            </w:pPr>
          </w:p>
        </w:tc>
        <w:tc>
          <w:tcPr>
            <w:tcW w:w="2263"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fldChar w:fldCharType="begin"/>
            </w:r>
            <w:r w:rsidRPr="00B8172C">
              <w:rPr>
                <w:rFonts w:ascii="Arial" w:hAnsi="Arial" w:cs="Arial"/>
                <w:color w:val="000000"/>
                <w:sz w:val="20"/>
                <w:szCs w:val="20"/>
                <w:lang w:val="en-US"/>
              </w:rPr>
              <w:instrText xml:space="preserve"> ADDIN ZOTERO_ITEM CSL_CITATION {"citationID":"g0Jz3EzK","properties":{"formattedCitation":"(Gamelas et al. 2015)","plainCitation":"(Gamelas et al. 2015)"},"citationItems":[{"id":2307,"uris":["http://zotero.org/users/1099718/items/79IB6EXG"],"uri":["http://zotero.org/users/1099718/items/79IB6EXG"],"itemData":{"id":2307,"type":"article-journal","title":"Surface properties of distinct nanofibrillated celluloses assessed by inverse gas chromatography","container-title":"Colloids and Surfaces A: Physicochemical and Engineering Aspects","page":"36-41","volume":"469","source":"CrossRef","DOI":"10.1016/j.colsurfa.2014.12.058","ISSN":"09277757","language":"en","author":[{"family":"Gamelas","given":"José A.F."},{"family":"Pedrosa","given":"Jorge"},{"family":"Lourenço","given":"Ana F."},{"family":"Ferreira","given":"Paulo J."}],"issued":{"date-parts":[["2015",3]]}}}],"schema":"https://github.com/citation-style-language/schema/raw/master/csl-citation.json"} </w:instrText>
            </w:r>
            <w:r w:rsidRPr="00B8172C">
              <w:rPr>
                <w:rFonts w:ascii="Arial" w:hAnsi="Arial" w:cs="Arial"/>
                <w:color w:val="000000"/>
                <w:sz w:val="20"/>
                <w:szCs w:val="20"/>
                <w:lang w:val="en-US"/>
              </w:rPr>
              <w:fldChar w:fldCharType="separate"/>
            </w:r>
            <w:r w:rsidRPr="00B8172C">
              <w:rPr>
                <w:rFonts w:ascii="Arial" w:hAnsi="Arial" w:cs="Arial"/>
                <w:sz w:val="20"/>
                <w:szCs w:val="20"/>
              </w:rPr>
              <w:t>(Gamelas et al. 2015)</w:t>
            </w:r>
            <w:r w:rsidRPr="00B8172C">
              <w:rPr>
                <w:rFonts w:ascii="Arial" w:hAnsi="Arial" w:cs="Arial"/>
                <w:color w:val="000000"/>
                <w:sz w:val="20"/>
                <w:szCs w:val="20"/>
                <w:lang w:val="en-US"/>
              </w:rPr>
              <w:fldChar w:fldCharType="end"/>
            </w:r>
          </w:p>
        </w:tc>
      </w:tr>
      <w:tr w:rsidR="00B75C99" w:rsidRPr="00B8172C" w:rsidTr="00B75C99">
        <w:tc>
          <w:tcPr>
            <w:tcW w:w="1418"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t>CNF</w:t>
            </w:r>
            <w:r w:rsidRPr="00B8172C">
              <w:rPr>
                <w:rFonts w:ascii="Arial" w:hAnsi="Arial" w:cs="Arial"/>
                <w:color w:val="000000"/>
                <w:sz w:val="20"/>
                <w:szCs w:val="20"/>
                <w:vertAlign w:val="superscript"/>
                <w:lang w:val="en-US"/>
              </w:rPr>
              <w:t>#</w:t>
            </w:r>
            <w:r w:rsidRPr="00B8172C">
              <w:rPr>
                <w:rFonts w:ascii="Arial" w:hAnsi="Arial" w:cs="Arial"/>
                <w:color w:val="000000"/>
                <w:sz w:val="20"/>
                <w:szCs w:val="20"/>
                <w:lang w:val="en-US"/>
              </w:rPr>
              <w:t>*</w:t>
            </w:r>
          </w:p>
        </w:tc>
        <w:tc>
          <w:tcPr>
            <w:tcW w:w="709" w:type="dxa"/>
          </w:tcPr>
          <w:p w:rsidR="00B8172C" w:rsidRPr="00B8172C" w:rsidRDefault="00B8172C" w:rsidP="00B75C99">
            <w:pPr>
              <w:jc w:val="center"/>
              <w:rPr>
                <w:rFonts w:ascii="Arial" w:hAnsi="Arial" w:cs="Arial"/>
                <w:color w:val="000000"/>
                <w:sz w:val="20"/>
                <w:szCs w:val="20"/>
                <w:lang w:val="en-US"/>
              </w:rPr>
            </w:pPr>
          </w:p>
        </w:tc>
        <w:tc>
          <w:tcPr>
            <w:tcW w:w="708" w:type="dxa"/>
          </w:tcPr>
          <w:p w:rsidR="00B8172C" w:rsidRPr="00B8172C" w:rsidRDefault="00B8172C" w:rsidP="00B75C99">
            <w:pPr>
              <w:jc w:val="center"/>
              <w:rPr>
                <w:rFonts w:ascii="Arial" w:hAnsi="Arial" w:cs="Arial"/>
                <w:color w:val="000000"/>
                <w:sz w:val="20"/>
                <w:szCs w:val="20"/>
                <w:lang w:val="en-US"/>
              </w:rPr>
            </w:pPr>
          </w:p>
        </w:tc>
        <w:tc>
          <w:tcPr>
            <w:tcW w:w="141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51.5 (40°C</w:t>
            </w:r>
          </w:p>
        </w:tc>
        <w:tc>
          <w:tcPr>
            <w:tcW w:w="1134" w:type="dxa"/>
          </w:tcPr>
          <w:p w:rsidR="00B8172C" w:rsidRPr="00B8172C" w:rsidRDefault="00B8172C" w:rsidP="00B75C99">
            <w:pPr>
              <w:jc w:val="center"/>
              <w:rPr>
                <w:rFonts w:ascii="Arial" w:hAnsi="Arial" w:cs="Arial"/>
                <w:color w:val="000000"/>
                <w:sz w:val="20"/>
                <w:szCs w:val="20"/>
                <w:lang w:val="en-US"/>
              </w:rPr>
            </w:pPr>
          </w:p>
        </w:tc>
        <w:tc>
          <w:tcPr>
            <w:tcW w:w="1417" w:type="dxa"/>
          </w:tcPr>
          <w:p w:rsidR="00B8172C" w:rsidRPr="00B8172C" w:rsidRDefault="00B8172C" w:rsidP="00B75C99">
            <w:pPr>
              <w:jc w:val="center"/>
              <w:rPr>
                <w:rFonts w:ascii="Arial" w:hAnsi="Arial" w:cs="Arial"/>
                <w:color w:val="000000"/>
                <w:sz w:val="20"/>
                <w:szCs w:val="20"/>
                <w:lang w:val="en-US"/>
              </w:rPr>
            </w:pPr>
          </w:p>
        </w:tc>
        <w:tc>
          <w:tcPr>
            <w:tcW w:w="2263"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fldChar w:fldCharType="begin"/>
            </w:r>
            <w:r w:rsidRPr="00B8172C">
              <w:rPr>
                <w:rFonts w:ascii="Arial" w:hAnsi="Arial" w:cs="Arial"/>
                <w:color w:val="000000"/>
                <w:sz w:val="20"/>
                <w:szCs w:val="20"/>
                <w:lang w:val="en-US"/>
              </w:rPr>
              <w:instrText xml:space="preserve"> ADDIN ZOTERO_ITEM CSL_CITATION {"citationID":"OLCeMokg","properties":{"formattedCitation":"(Gamelas et al. 2015)","plainCitation":"(Gamelas et al. 2015)"},"citationItems":[{"id":2307,"uris":["http://zotero.org/users/1099718/items/79IB6EXG"],"uri":["http://zotero.org/users/1099718/items/79IB6EXG"],"itemData":{"id":2307,"type":"article-journal","title":"Surface properties of distinct nanofibrillated celluloses assessed by inverse gas chromatography","container-title":"Colloids and Surfaces A: Physicochemical and Engineering Aspects","page":"36-41","volume":"469","source":"CrossRef","DOI":"10.1016/j.colsurfa.2014.12.058","ISSN":"09277757","language":"en","author":[{"family":"Gamelas","given":"José A.F."},{"family":"Pedrosa","given":"Jorge"},{"family":"Lourenço","given":"Ana F."},{"family":"Ferreira","given":"Paulo J."}],"issued":{"date-parts":[["2015",3]]}}}],"schema":"https://github.com/citation-style-language/schema/raw/master/csl-citation.json"} </w:instrText>
            </w:r>
            <w:r w:rsidRPr="00B8172C">
              <w:rPr>
                <w:rFonts w:ascii="Arial" w:hAnsi="Arial" w:cs="Arial"/>
                <w:color w:val="000000"/>
                <w:sz w:val="20"/>
                <w:szCs w:val="20"/>
                <w:lang w:val="en-US"/>
              </w:rPr>
              <w:fldChar w:fldCharType="separate"/>
            </w:r>
            <w:r w:rsidRPr="00B8172C">
              <w:rPr>
                <w:rFonts w:ascii="Arial" w:hAnsi="Arial" w:cs="Arial"/>
                <w:sz w:val="20"/>
                <w:szCs w:val="20"/>
              </w:rPr>
              <w:t>(Gamelas et al. 2015)</w:t>
            </w:r>
            <w:r w:rsidRPr="00B8172C">
              <w:rPr>
                <w:rFonts w:ascii="Arial" w:hAnsi="Arial" w:cs="Arial"/>
                <w:color w:val="000000"/>
                <w:sz w:val="20"/>
                <w:szCs w:val="20"/>
                <w:lang w:val="en-US"/>
              </w:rPr>
              <w:fldChar w:fldCharType="end"/>
            </w:r>
          </w:p>
        </w:tc>
      </w:tr>
      <w:tr w:rsidR="00B75C99" w:rsidRPr="00B8172C" w:rsidTr="00B75C99">
        <w:tc>
          <w:tcPr>
            <w:tcW w:w="1418"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t>CNF</w:t>
            </w:r>
            <w:r w:rsidR="00B75C99">
              <w:rPr>
                <w:rFonts w:ascii="Arial" w:hAnsi="Arial" w:cs="Arial"/>
                <w:color w:val="000000"/>
                <w:sz w:val="20"/>
                <w:szCs w:val="20"/>
                <w:lang w:val="en-US"/>
              </w:rPr>
              <w:t>*</w:t>
            </w:r>
            <w:r w:rsidRPr="00B8172C">
              <w:rPr>
                <w:rFonts w:ascii="Arial" w:hAnsi="Arial" w:cs="Arial"/>
                <w:color w:val="000000"/>
                <w:sz w:val="20"/>
                <w:szCs w:val="20"/>
                <w:lang w:val="en-US"/>
              </w:rPr>
              <w:t xml:space="preserve"> </w:t>
            </w:r>
          </w:p>
        </w:tc>
        <w:tc>
          <w:tcPr>
            <w:tcW w:w="709"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0.4</w:t>
            </w:r>
            <w:r w:rsidR="00B75C99">
              <w:rPr>
                <w:rFonts w:ascii="Arial" w:hAnsi="Arial" w:cs="Arial"/>
                <w:color w:val="000000"/>
                <w:sz w:val="20"/>
                <w:szCs w:val="20"/>
                <w:lang w:val="en-US"/>
              </w:rPr>
              <w:t>0</w:t>
            </w:r>
          </w:p>
        </w:tc>
        <w:tc>
          <w:tcPr>
            <w:tcW w:w="70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0.58</w:t>
            </w:r>
          </w:p>
        </w:tc>
        <w:tc>
          <w:tcPr>
            <w:tcW w:w="141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44.3 (30°C)</w:t>
            </w:r>
          </w:p>
        </w:tc>
        <w:tc>
          <w:tcPr>
            <w:tcW w:w="1134" w:type="dxa"/>
          </w:tcPr>
          <w:p w:rsidR="00B8172C" w:rsidRPr="00B8172C" w:rsidRDefault="00B8172C" w:rsidP="00B75C99">
            <w:pPr>
              <w:jc w:val="center"/>
              <w:rPr>
                <w:rFonts w:ascii="Arial" w:hAnsi="Arial" w:cs="Arial"/>
                <w:color w:val="000000"/>
                <w:sz w:val="20"/>
                <w:szCs w:val="20"/>
                <w:lang w:val="en-US"/>
              </w:rPr>
            </w:pPr>
          </w:p>
        </w:tc>
        <w:tc>
          <w:tcPr>
            <w:tcW w:w="1417" w:type="dxa"/>
          </w:tcPr>
          <w:p w:rsidR="00B8172C" w:rsidRPr="00B8172C" w:rsidRDefault="00B8172C" w:rsidP="00B75C99">
            <w:pPr>
              <w:jc w:val="center"/>
              <w:rPr>
                <w:rFonts w:ascii="Arial" w:hAnsi="Arial" w:cs="Arial"/>
                <w:color w:val="000000"/>
                <w:sz w:val="20"/>
                <w:szCs w:val="20"/>
                <w:lang w:val="en-US"/>
              </w:rPr>
            </w:pPr>
          </w:p>
        </w:tc>
        <w:tc>
          <w:tcPr>
            <w:tcW w:w="2263"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fldChar w:fldCharType="begin"/>
            </w:r>
            <w:r w:rsidRPr="00B8172C">
              <w:rPr>
                <w:rFonts w:ascii="Arial" w:hAnsi="Arial" w:cs="Arial"/>
                <w:color w:val="000000"/>
                <w:sz w:val="20"/>
                <w:szCs w:val="20"/>
                <w:lang w:val="en-US"/>
              </w:rPr>
              <w:instrText xml:space="preserve"> ADDIN ZOTERO_ITEM CSL_CITATION {"citationID":"4vfb14cn2","properties":{"formattedCitation":"(Peng et al. 2013)","plainCitation":"(Peng et al. 2013)"},"citationItems":[{"id":2753,"uris":["http://zotero.org/users/1099718/items/UHXPUA9F"],"uri":["http://zotero.org/users/1099718/items/UHXPUA9F"],"itemData":{"id":2753,"type":"article-journal","title":"Influence of drying method on the surface energy of cellulose nanofibrils determined by inverse gas chromatography","container-title":"Journal of Colloid and Interface Science","page":"85-95","volume":"405","source":"ScienceDirect","abstract":"Research and development of the renewable nanomaterial cellulose nanofibrils (CNFs) has received considerable attention. The effect of drying on the surface energy of CNFs was investigated. Samples of nanofibrillated cellulose (NFC) and cellulose nanocrystals (CNC) were each subjected to four separate drying methods: air-drying, freeze-drying, spray-drying, and supercritical-drying. The surface morphology of the dried CNFs was examined using a scanning electron microscope. The surface energy of the dried CNFs was determined using inverse gas chromatography at infinite dilution and column temperatures: 30, 40, 50, 55, and 60 °C. Surface energy measurements of supercritical-dried NFCs were performed also at column temperatures: 70, 75, and 80 °C. Different drying methods produced CNFs with different morphologies which in turn significantly influenced their surface energy. Supercritical-drying resulted in NFCs having a dispersion component of surface energy of 98.3 ± 5.8 mJ/m2 at 30 °C. The dispersion component of surface energy of freeze-dried NFCs (44.3 ± 0.4 mJ/m2 at 30 °C) and CNCs (46.5 ± 0.9 mJ/m2 at 30 °C) were the lowest among all the CNFs. The pre-freezing treatment during the freeze-drying process is hypothesized to have a major impact on the dispersion component of surface energy of the CNFs. The acid and base parameters of all the dried CNFs were amphoteric (acidic and basic) although predominantly basic in nature.","DOI":"10.1016/j.jcis.2013.05.033","ISSN":"0021-9797","journalAbbreviation":"Journal of Colloid and Interface Science","author":[{"family":"Peng","given":"Yucheng"},{"family":"Gardner","given":"Douglas J."},{"family":"Han","given":"Yousoo"},{"family":"Cai","given":"Zhiyong"},{"family":"Tshabalala","given":"Mandla A."}],"issued":{"date-parts":[["2013",9,1]]}}}],"schema":"https://github.com/citation-style-language/schema/raw/master/csl-citation.json"} </w:instrText>
            </w:r>
            <w:r w:rsidRPr="00B8172C">
              <w:rPr>
                <w:rFonts w:ascii="Arial" w:hAnsi="Arial" w:cs="Arial"/>
                <w:color w:val="000000"/>
                <w:sz w:val="20"/>
                <w:szCs w:val="20"/>
                <w:lang w:val="en-US"/>
              </w:rPr>
              <w:fldChar w:fldCharType="separate"/>
            </w:r>
            <w:r w:rsidRPr="00B8172C">
              <w:rPr>
                <w:rFonts w:ascii="Arial" w:hAnsi="Arial" w:cs="Arial"/>
                <w:sz w:val="20"/>
                <w:szCs w:val="20"/>
              </w:rPr>
              <w:t>(Peng et al. 2013)</w:t>
            </w:r>
            <w:r w:rsidRPr="00B8172C">
              <w:rPr>
                <w:rFonts w:ascii="Arial" w:hAnsi="Arial" w:cs="Arial"/>
                <w:color w:val="000000"/>
                <w:sz w:val="20"/>
                <w:szCs w:val="20"/>
                <w:lang w:val="en-US"/>
              </w:rPr>
              <w:fldChar w:fldCharType="end"/>
            </w:r>
          </w:p>
        </w:tc>
      </w:tr>
      <w:tr w:rsidR="00B75C99" w:rsidRPr="00B8172C" w:rsidTr="00B75C99">
        <w:tc>
          <w:tcPr>
            <w:tcW w:w="1418"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t>Cotton</w:t>
            </w:r>
          </w:p>
        </w:tc>
        <w:tc>
          <w:tcPr>
            <w:tcW w:w="709" w:type="dxa"/>
          </w:tcPr>
          <w:p w:rsidR="00B8172C" w:rsidRPr="00B8172C" w:rsidRDefault="00B8172C" w:rsidP="00B75C99">
            <w:pPr>
              <w:jc w:val="center"/>
              <w:rPr>
                <w:rFonts w:ascii="Arial" w:hAnsi="Arial" w:cs="Arial"/>
                <w:color w:val="000000"/>
                <w:sz w:val="20"/>
                <w:szCs w:val="20"/>
                <w:lang w:val="en-US"/>
              </w:rPr>
            </w:pPr>
          </w:p>
        </w:tc>
        <w:tc>
          <w:tcPr>
            <w:tcW w:w="708" w:type="dxa"/>
          </w:tcPr>
          <w:p w:rsidR="00B8172C" w:rsidRPr="00B8172C" w:rsidRDefault="00B8172C" w:rsidP="00B75C99">
            <w:pPr>
              <w:jc w:val="center"/>
              <w:rPr>
                <w:rFonts w:ascii="Arial" w:hAnsi="Arial" w:cs="Arial"/>
                <w:color w:val="000000"/>
                <w:sz w:val="20"/>
                <w:szCs w:val="20"/>
                <w:lang w:val="en-US"/>
              </w:rPr>
            </w:pPr>
          </w:p>
        </w:tc>
        <w:tc>
          <w:tcPr>
            <w:tcW w:w="141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44.6 (30°C)</w:t>
            </w:r>
          </w:p>
        </w:tc>
        <w:tc>
          <w:tcPr>
            <w:tcW w:w="1134"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6.9 (30°C)</w:t>
            </w:r>
          </w:p>
        </w:tc>
        <w:tc>
          <w:tcPr>
            <w:tcW w:w="1417"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51.6 (30°C)</w:t>
            </w:r>
          </w:p>
        </w:tc>
        <w:tc>
          <w:tcPr>
            <w:tcW w:w="2263"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fldChar w:fldCharType="begin"/>
            </w:r>
            <w:r w:rsidRPr="00B8172C">
              <w:rPr>
                <w:rFonts w:ascii="Arial" w:hAnsi="Arial" w:cs="Arial"/>
                <w:color w:val="000000"/>
                <w:sz w:val="20"/>
                <w:szCs w:val="20"/>
                <w:lang w:val="en-US"/>
              </w:rPr>
              <w:instrText xml:space="preserve"> ADDIN ZOTERO_ITEM CSL_CITATION {"citationID":"6odvgpmej","properties":{"formattedCitation":"(Kondor et al. 2015)","plainCitation":"(Kondor et al. 2015)"},"citationItems":[{"id":2852,"uris":["http://zotero.org/users/1099718/items/M3VXXD5U"],"uri":["http://zotero.org/users/1099718/items/M3VXXD5U"],"itemData":{"id":2852,"type":"article-journal","title":"Surface characterization of standard cotton fibres and determination of adsorption isotherms of fragrances by IGC: Surface characterization of cotton and adsorption of fragrances by IGC","container-title":"Surface and Interface Analysis","page":"1040-1050","volume":"47","issue":"11","source":"CrossRef","DOI":"10.1002/sia.5811","ISSN":"01422421","shortTitle":"Surface characterization of standard cotton fibres and determination of adsorption isotherms of fragrances by IGC","language":"en","author":[{"family":"Kondor","given":"Anett"},{"family":"Quellet","given":"Christian"},{"family":"Dallos","given":"András"}],"issued":{"date-parts":[["2015",11]]}}}],"schema":"https://github.com/citation-style-language/schema/raw/master/csl-citation.json"} </w:instrText>
            </w:r>
            <w:r w:rsidRPr="00B8172C">
              <w:rPr>
                <w:rFonts w:ascii="Arial" w:hAnsi="Arial" w:cs="Arial"/>
                <w:color w:val="000000"/>
                <w:sz w:val="20"/>
                <w:szCs w:val="20"/>
                <w:lang w:val="en-US"/>
              </w:rPr>
              <w:fldChar w:fldCharType="separate"/>
            </w:r>
            <w:r w:rsidRPr="00B8172C">
              <w:rPr>
                <w:rFonts w:ascii="Arial" w:hAnsi="Arial" w:cs="Arial"/>
                <w:sz w:val="20"/>
                <w:szCs w:val="20"/>
              </w:rPr>
              <w:t>(Kondor et al. 2015)</w:t>
            </w:r>
            <w:r w:rsidRPr="00B8172C">
              <w:rPr>
                <w:rFonts w:ascii="Arial" w:hAnsi="Arial" w:cs="Arial"/>
                <w:color w:val="000000"/>
                <w:sz w:val="20"/>
                <w:szCs w:val="20"/>
                <w:lang w:val="en-US"/>
              </w:rPr>
              <w:fldChar w:fldCharType="end"/>
            </w:r>
          </w:p>
        </w:tc>
      </w:tr>
      <w:tr w:rsidR="00B75C99" w:rsidRPr="00B8172C" w:rsidTr="00B75C99">
        <w:tc>
          <w:tcPr>
            <w:tcW w:w="1418"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lang w:val="en-US"/>
              </w:rPr>
              <w:t xml:space="preserve">Lyocell fiber </w:t>
            </w:r>
          </w:p>
        </w:tc>
        <w:tc>
          <w:tcPr>
            <w:tcW w:w="709"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0.31</w:t>
            </w:r>
          </w:p>
        </w:tc>
        <w:tc>
          <w:tcPr>
            <w:tcW w:w="708" w:type="dxa"/>
          </w:tcPr>
          <w:p w:rsidR="00B8172C" w:rsidRPr="00B8172C" w:rsidRDefault="00B8172C" w:rsidP="00B75C99">
            <w:pPr>
              <w:jc w:val="center"/>
              <w:rPr>
                <w:rFonts w:ascii="Arial" w:hAnsi="Arial" w:cs="Arial"/>
                <w:color w:val="000000"/>
                <w:sz w:val="20"/>
                <w:szCs w:val="20"/>
                <w:lang w:val="en-US"/>
              </w:rPr>
            </w:pPr>
            <w:r w:rsidRPr="00B8172C">
              <w:rPr>
                <w:rFonts w:ascii="Arial" w:hAnsi="Arial" w:cs="Arial"/>
                <w:color w:val="000000"/>
                <w:sz w:val="20"/>
                <w:szCs w:val="20"/>
                <w:lang w:val="en-US"/>
              </w:rPr>
              <w:t>0.55</w:t>
            </w:r>
          </w:p>
        </w:tc>
        <w:tc>
          <w:tcPr>
            <w:tcW w:w="1418" w:type="dxa"/>
          </w:tcPr>
          <w:p w:rsidR="00B8172C" w:rsidRPr="00FF60D6" w:rsidRDefault="00FF60D6" w:rsidP="00B75C99">
            <w:pPr>
              <w:jc w:val="center"/>
              <w:rPr>
                <w:rFonts w:ascii="Arial" w:hAnsi="Arial" w:cs="Arial"/>
                <w:color w:val="000000"/>
                <w:sz w:val="20"/>
                <w:szCs w:val="20"/>
                <w:lang w:val="en-US"/>
              </w:rPr>
            </w:pPr>
            <w:r>
              <w:rPr>
                <w:rFonts w:ascii="Arial" w:hAnsi="Arial" w:cs="Arial"/>
                <w:color w:val="000000"/>
                <w:sz w:val="20"/>
                <w:szCs w:val="20"/>
                <w:lang w:val="en-US"/>
              </w:rPr>
              <w:t>44.3 (35</w:t>
            </w:r>
            <w:r w:rsidR="00B8172C" w:rsidRPr="00B8172C">
              <w:rPr>
                <w:rFonts w:ascii="Arial" w:hAnsi="Arial" w:cs="Arial"/>
                <w:color w:val="000000"/>
                <w:sz w:val="20"/>
                <w:szCs w:val="20"/>
                <w:lang w:val="en-US"/>
              </w:rPr>
              <w:t>°C)</w:t>
            </w:r>
          </w:p>
        </w:tc>
        <w:tc>
          <w:tcPr>
            <w:tcW w:w="1134" w:type="dxa"/>
          </w:tcPr>
          <w:p w:rsidR="00B8172C" w:rsidRPr="00B8172C" w:rsidRDefault="00B8172C" w:rsidP="00B75C99">
            <w:pPr>
              <w:jc w:val="center"/>
              <w:rPr>
                <w:rFonts w:ascii="Arial" w:hAnsi="Arial" w:cs="Arial"/>
                <w:color w:val="000000"/>
                <w:sz w:val="20"/>
                <w:szCs w:val="20"/>
                <w:lang w:val="en-US"/>
              </w:rPr>
            </w:pPr>
          </w:p>
        </w:tc>
        <w:tc>
          <w:tcPr>
            <w:tcW w:w="1417" w:type="dxa"/>
          </w:tcPr>
          <w:p w:rsidR="00B8172C" w:rsidRPr="00B8172C" w:rsidRDefault="00B8172C" w:rsidP="00B75C99">
            <w:pPr>
              <w:jc w:val="center"/>
              <w:rPr>
                <w:rFonts w:ascii="Arial" w:hAnsi="Arial" w:cs="Arial"/>
                <w:color w:val="000000"/>
                <w:sz w:val="20"/>
                <w:szCs w:val="20"/>
                <w:lang w:val="en-US"/>
              </w:rPr>
            </w:pPr>
          </w:p>
        </w:tc>
        <w:tc>
          <w:tcPr>
            <w:tcW w:w="2263" w:type="dxa"/>
          </w:tcPr>
          <w:p w:rsidR="00B8172C" w:rsidRPr="00B8172C" w:rsidRDefault="00B8172C" w:rsidP="00FF60D6">
            <w:pPr>
              <w:rPr>
                <w:rFonts w:ascii="Arial" w:hAnsi="Arial" w:cs="Arial"/>
                <w:color w:val="000000"/>
                <w:sz w:val="20"/>
                <w:szCs w:val="20"/>
                <w:lang w:val="en-US"/>
              </w:rPr>
            </w:pPr>
            <w:r w:rsidRPr="00B8172C">
              <w:rPr>
                <w:rFonts w:ascii="Arial" w:hAnsi="Arial" w:cs="Arial"/>
                <w:color w:val="000000"/>
                <w:sz w:val="20"/>
                <w:szCs w:val="20"/>
              </w:rPr>
              <w:fldChar w:fldCharType="begin"/>
            </w:r>
            <w:r w:rsidRPr="00B8172C">
              <w:rPr>
                <w:rFonts w:ascii="Arial" w:hAnsi="Arial" w:cs="Arial"/>
                <w:color w:val="000000"/>
                <w:sz w:val="20"/>
                <w:szCs w:val="20"/>
              </w:rPr>
              <w:instrText xml:space="preserve"> ADDIN ZOTERO_ITEM CSL_CITATION {"citationID":"vWiL8V6V","properties":{"formattedCitation":"(Tze et al. 2006)","plainCitation":"(Tze et al. 2006)"},"citationItems":[{"id":2113,"uris":["http://zotero.org/users/1099718/items/TP5EF9B8"],"uri":["http://zotero.org/users/1099718/items/TP5EF9B8"],"itemData":{"id":2113,"type":"article-journal","title":"Inverse gas chromatography for studying interaction of materials used for cellulose fiber/polymer composites","container-title":"Journal of Adhesion Science and Technology","page":"743-759","volume":"20","issue":"8","source":"CrossRef","DOI":"10.1163/156856106777638644","ISSN":"0169-4243, 1568-5616","language":"en","author":[{"family":"Tze","given":"William T. Y."},{"family":"Wålinder","given":"Magnus E. P."},{"family":"Gardner","given":"Douglas J."}],"issued":{"date-parts":[["2006",1]]}}}],"schema":"https://github.com/citation-style-language/schema/raw/master/csl-citation.json"} </w:instrText>
            </w:r>
            <w:r w:rsidRPr="00B8172C">
              <w:rPr>
                <w:rFonts w:ascii="Arial" w:hAnsi="Arial" w:cs="Arial"/>
                <w:color w:val="000000"/>
                <w:sz w:val="20"/>
                <w:szCs w:val="20"/>
              </w:rPr>
              <w:fldChar w:fldCharType="separate"/>
            </w:r>
            <w:r w:rsidRPr="00B8172C">
              <w:rPr>
                <w:rFonts w:ascii="Arial" w:hAnsi="Arial" w:cs="Arial"/>
                <w:sz w:val="20"/>
                <w:szCs w:val="20"/>
              </w:rPr>
              <w:t>(Tze et al. 2006)</w:t>
            </w:r>
            <w:r w:rsidRPr="00B8172C">
              <w:rPr>
                <w:rFonts w:ascii="Arial" w:hAnsi="Arial" w:cs="Arial"/>
                <w:color w:val="000000"/>
                <w:sz w:val="20"/>
                <w:szCs w:val="20"/>
              </w:rPr>
              <w:fldChar w:fldCharType="end"/>
            </w:r>
          </w:p>
        </w:tc>
      </w:tr>
      <w:tr w:rsidR="00B75C99" w:rsidRPr="00B8172C" w:rsidTr="00B75C99">
        <w:tc>
          <w:tcPr>
            <w:tcW w:w="1418" w:type="dxa"/>
            <w:tcBorders>
              <w:bottom w:val="single" w:sz="4" w:space="0" w:color="auto"/>
            </w:tcBorders>
          </w:tcPr>
          <w:p w:rsidR="00B8172C" w:rsidRPr="00B8172C" w:rsidRDefault="00B75C99" w:rsidP="00FF60D6">
            <w:pPr>
              <w:rPr>
                <w:rFonts w:ascii="Arial" w:hAnsi="Arial" w:cs="Arial"/>
                <w:color w:val="000000"/>
                <w:sz w:val="20"/>
                <w:szCs w:val="20"/>
                <w:lang w:val="en-US"/>
              </w:rPr>
            </w:pPr>
            <w:r>
              <w:rPr>
                <w:rFonts w:ascii="Arial" w:hAnsi="Arial" w:cs="Arial"/>
                <w:color w:val="000000"/>
                <w:sz w:val="20"/>
                <w:szCs w:val="20"/>
                <w:lang w:val="en-US"/>
              </w:rPr>
              <w:t>BC</w:t>
            </w:r>
          </w:p>
        </w:tc>
        <w:tc>
          <w:tcPr>
            <w:tcW w:w="709" w:type="dxa"/>
            <w:tcBorders>
              <w:bottom w:val="single" w:sz="4" w:space="0" w:color="auto"/>
            </w:tcBorders>
          </w:tcPr>
          <w:p w:rsidR="00B8172C" w:rsidRPr="00B8172C" w:rsidRDefault="004853EC" w:rsidP="00B75C99">
            <w:pPr>
              <w:jc w:val="center"/>
              <w:rPr>
                <w:rFonts w:ascii="Arial" w:hAnsi="Arial" w:cs="Arial"/>
                <w:color w:val="000000"/>
                <w:sz w:val="20"/>
                <w:szCs w:val="20"/>
                <w:lang w:val="en-US"/>
              </w:rPr>
            </w:pPr>
            <w:r>
              <w:rPr>
                <w:rFonts w:ascii="Arial" w:hAnsi="Arial" w:cs="Arial"/>
                <w:color w:val="000000"/>
                <w:sz w:val="20"/>
                <w:szCs w:val="20"/>
                <w:lang w:val="en-US"/>
              </w:rPr>
              <w:t>0.11</w:t>
            </w:r>
          </w:p>
        </w:tc>
        <w:tc>
          <w:tcPr>
            <w:tcW w:w="708" w:type="dxa"/>
            <w:tcBorders>
              <w:bottom w:val="single" w:sz="4" w:space="0" w:color="auto"/>
            </w:tcBorders>
          </w:tcPr>
          <w:p w:rsidR="00B8172C" w:rsidRPr="00B8172C" w:rsidRDefault="004853EC" w:rsidP="00B75C99">
            <w:pPr>
              <w:jc w:val="center"/>
              <w:rPr>
                <w:rFonts w:ascii="Arial" w:hAnsi="Arial" w:cs="Arial"/>
                <w:color w:val="000000"/>
                <w:sz w:val="20"/>
                <w:szCs w:val="20"/>
                <w:lang w:val="en-US"/>
              </w:rPr>
            </w:pPr>
            <w:r>
              <w:rPr>
                <w:rFonts w:ascii="Arial" w:hAnsi="Arial" w:cs="Arial"/>
                <w:color w:val="000000"/>
                <w:sz w:val="20"/>
                <w:szCs w:val="20"/>
                <w:lang w:val="en-US"/>
              </w:rPr>
              <w:t>0.41</w:t>
            </w:r>
          </w:p>
        </w:tc>
        <w:tc>
          <w:tcPr>
            <w:tcW w:w="1418" w:type="dxa"/>
            <w:tcBorders>
              <w:bottom w:val="single" w:sz="4" w:space="0" w:color="auto"/>
            </w:tcBorders>
          </w:tcPr>
          <w:p w:rsidR="00B8172C" w:rsidRPr="00B8172C" w:rsidRDefault="004853EC" w:rsidP="00B75C99">
            <w:pPr>
              <w:jc w:val="center"/>
              <w:rPr>
                <w:rFonts w:ascii="Arial" w:hAnsi="Arial" w:cs="Arial"/>
                <w:color w:val="000000"/>
                <w:sz w:val="20"/>
                <w:szCs w:val="20"/>
                <w:lang w:val="en-US"/>
              </w:rPr>
            </w:pPr>
            <w:r>
              <w:rPr>
                <w:rFonts w:ascii="Arial" w:hAnsi="Arial" w:cs="Arial"/>
                <w:color w:val="000000"/>
                <w:sz w:val="20"/>
                <w:szCs w:val="20"/>
                <w:lang w:val="en-US"/>
              </w:rPr>
              <w:t>61.0 (30°C)</w:t>
            </w:r>
          </w:p>
        </w:tc>
        <w:tc>
          <w:tcPr>
            <w:tcW w:w="1134" w:type="dxa"/>
            <w:tcBorders>
              <w:bottom w:val="single" w:sz="4" w:space="0" w:color="auto"/>
            </w:tcBorders>
          </w:tcPr>
          <w:p w:rsidR="00B8172C" w:rsidRPr="00B8172C" w:rsidRDefault="00B8172C" w:rsidP="00B75C99">
            <w:pPr>
              <w:jc w:val="center"/>
              <w:rPr>
                <w:rFonts w:ascii="Arial" w:hAnsi="Arial" w:cs="Arial"/>
                <w:color w:val="000000"/>
                <w:sz w:val="20"/>
                <w:szCs w:val="20"/>
                <w:lang w:val="en-US"/>
              </w:rPr>
            </w:pPr>
          </w:p>
        </w:tc>
        <w:tc>
          <w:tcPr>
            <w:tcW w:w="1417" w:type="dxa"/>
            <w:tcBorders>
              <w:bottom w:val="single" w:sz="4" w:space="0" w:color="auto"/>
            </w:tcBorders>
          </w:tcPr>
          <w:p w:rsidR="00B8172C" w:rsidRPr="00B8172C" w:rsidRDefault="00B8172C" w:rsidP="00B75C99">
            <w:pPr>
              <w:jc w:val="center"/>
              <w:rPr>
                <w:rFonts w:ascii="Arial" w:hAnsi="Arial" w:cs="Arial"/>
                <w:color w:val="000000"/>
                <w:sz w:val="20"/>
                <w:szCs w:val="20"/>
                <w:lang w:val="en-US"/>
              </w:rPr>
            </w:pPr>
          </w:p>
        </w:tc>
        <w:tc>
          <w:tcPr>
            <w:tcW w:w="2263" w:type="dxa"/>
            <w:tcBorders>
              <w:bottom w:val="single" w:sz="4" w:space="0" w:color="auto"/>
            </w:tcBorders>
          </w:tcPr>
          <w:p w:rsidR="00B8172C" w:rsidRPr="00B8172C" w:rsidRDefault="004853EC" w:rsidP="00FF60D6">
            <w:pPr>
              <w:rPr>
                <w:rFonts w:ascii="Arial" w:hAnsi="Arial" w:cs="Arial"/>
                <w:color w:val="000000"/>
                <w:sz w:val="20"/>
                <w:szCs w:val="20"/>
                <w:lang w:val="en-US"/>
              </w:rPr>
            </w:pPr>
            <w:r>
              <w:rPr>
                <w:rFonts w:ascii="Arial" w:hAnsi="Arial" w:cs="Arial"/>
                <w:color w:val="000000"/>
                <w:sz w:val="20"/>
                <w:szCs w:val="20"/>
                <w:lang w:val="en-US"/>
              </w:rPr>
              <w:fldChar w:fldCharType="begin"/>
            </w:r>
            <w:r>
              <w:rPr>
                <w:rFonts w:ascii="Arial" w:hAnsi="Arial" w:cs="Arial"/>
                <w:color w:val="000000"/>
                <w:sz w:val="20"/>
                <w:szCs w:val="20"/>
                <w:lang w:val="en-US"/>
              </w:rPr>
              <w:instrText xml:space="preserve"> ADDIN ZOTERO_ITEM CSL_CITATION {"citationID":"16n2cspdh8","properties":{"formattedCitation":"(Pommet et al. 2008)","plainCitation":"(Pommet et al. 2008)"},"citationItems":[{"id":2912,"uris":["http://zotero.org/users/1099718/items/WZTIZR6W"],"uri":["http://zotero.org/users/1099718/items/WZTIZR6W"],"itemData":{"id":2912,"type":"article-journal","title":"Surface Modification of Natural Fibers Using Bacteria: Depositing Bacterial Cellulose onto Natural Fibers To Create Hierarchical Fiber Reinforced Nanocomposites","container-title":"Biomacromolecules","page":"1643-1651","volume":"9","issue":"6","source":"CrossRef","DOI":"10.1021/bm800169g","ISSN":"1525-7797, 1526-4602","shortTitle":"Surface Modification of Natural Fibers Using Bacteria","language":"en","author":[{"family":"Pommet","given":"Marion"},{"family":"Juntaro","given":"Julasak"},{"family":"Heng","given":"Jerry Y. Y."},{"family":"Mantalaris","given":"Athanasios"},{"family":"Lee","given":"Adam F."},{"family":"Wilson","given":"Karen"},{"family":"Kalinka","given":"Gerhard"},{"family":"Shaffer","given":"Milo S. P."},{"family":"Bismarck","given":"Alexander"}],"issued":{"date-parts":[["2008",6]]}}}],"schema":"https://github.com/citation-style-language/schema/raw/master/csl-citation.json"} </w:instrText>
            </w:r>
            <w:r>
              <w:rPr>
                <w:rFonts w:ascii="Arial" w:hAnsi="Arial" w:cs="Arial"/>
                <w:color w:val="000000"/>
                <w:sz w:val="20"/>
                <w:szCs w:val="20"/>
                <w:lang w:val="en-US"/>
              </w:rPr>
              <w:fldChar w:fldCharType="separate"/>
            </w:r>
            <w:r w:rsidRPr="004853EC">
              <w:rPr>
                <w:rFonts w:ascii="Arial" w:hAnsi="Arial" w:cs="Arial"/>
                <w:sz w:val="20"/>
              </w:rPr>
              <w:t>(Pommet et al. 2008)</w:t>
            </w:r>
            <w:r>
              <w:rPr>
                <w:rFonts w:ascii="Arial" w:hAnsi="Arial" w:cs="Arial"/>
                <w:color w:val="000000"/>
                <w:sz w:val="20"/>
                <w:szCs w:val="20"/>
                <w:lang w:val="en-US"/>
              </w:rPr>
              <w:fldChar w:fldCharType="end"/>
            </w:r>
          </w:p>
        </w:tc>
      </w:tr>
    </w:tbl>
    <w:p w:rsidR="00B8172C" w:rsidRPr="00B75C99" w:rsidRDefault="00B8172C" w:rsidP="00B75C99">
      <w:pPr>
        <w:ind w:firstLine="1"/>
        <w:rPr>
          <w:rFonts w:ascii="Arial" w:hAnsi="Arial" w:cs="Arial"/>
          <w:color w:val="000000"/>
          <w:sz w:val="20"/>
          <w:szCs w:val="20"/>
        </w:rPr>
      </w:pPr>
      <w:r w:rsidRPr="00B8172C">
        <w:rPr>
          <w:rFonts w:ascii="Arial" w:hAnsi="Arial" w:cs="Arial"/>
          <w:color w:val="000000"/>
          <w:sz w:val="20"/>
          <w:szCs w:val="20"/>
        </w:rPr>
        <w:t>CNF = cellulose nanofibrils, TO-CNF = TEMPO-oxidized CNF</w:t>
      </w:r>
      <w:r w:rsidR="00B75C99">
        <w:rPr>
          <w:rFonts w:ascii="Arial" w:hAnsi="Arial" w:cs="Arial"/>
          <w:color w:val="000000"/>
          <w:sz w:val="20"/>
          <w:szCs w:val="20"/>
        </w:rPr>
        <w:t>, BC = bacterial cellulose</w:t>
      </w:r>
      <w:r w:rsidRPr="00B8172C">
        <w:rPr>
          <w:rFonts w:ascii="Arial" w:hAnsi="Arial" w:cs="Arial"/>
          <w:color w:val="000000"/>
          <w:sz w:val="20"/>
          <w:szCs w:val="20"/>
        </w:rPr>
        <w:t xml:space="preserve">. </w:t>
      </w:r>
      <w:r w:rsidRPr="00B8172C">
        <w:rPr>
          <w:rFonts w:ascii="Arial" w:hAnsi="Arial" w:cs="Arial"/>
          <w:color w:val="000000"/>
          <w:sz w:val="20"/>
          <w:szCs w:val="20"/>
          <w:vertAlign w:val="superscript"/>
        </w:rPr>
        <w:t>#</w:t>
      </w:r>
      <w:proofErr w:type="gramStart"/>
      <w:r w:rsidRPr="00B8172C">
        <w:rPr>
          <w:rFonts w:ascii="Arial" w:hAnsi="Arial" w:cs="Arial"/>
          <w:color w:val="000000"/>
          <w:sz w:val="20"/>
          <w:szCs w:val="20"/>
        </w:rPr>
        <w:t>Enzymatically</w:t>
      </w:r>
      <w:proofErr w:type="gramEnd"/>
      <w:r w:rsidRPr="00B8172C">
        <w:rPr>
          <w:rFonts w:ascii="Arial" w:hAnsi="Arial" w:cs="Arial"/>
          <w:color w:val="000000"/>
          <w:sz w:val="20"/>
          <w:szCs w:val="20"/>
        </w:rPr>
        <w:t xml:space="preserve"> pre-treated CNF. *Freeze-dried samples.</w:t>
      </w:r>
      <w:r w:rsidR="00C248E2">
        <w:rPr>
          <w:rFonts w:ascii="Arial" w:hAnsi="Arial" w:cs="Arial"/>
          <w:color w:val="000000"/>
          <w:sz w:val="20"/>
          <w:szCs w:val="20"/>
        </w:rPr>
        <w:t xml:space="preserve"> </w:t>
      </w:r>
      <w:r w:rsidR="00C248E2">
        <w:rPr>
          <w:rFonts w:ascii="Arial" w:hAnsi="Arial" w:cs="Arial"/>
          <w:color w:val="000000"/>
          <w:sz w:val="20"/>
          <w:szCs w:val="20"/>
          <w:vertAlign w:val="superscript"/>
        </w:rPr>
        <w:t>§</w:t>
      </w:r>
      <w:r w:rsidR="00C248E2">
        <w:rPr>
          <w:rFonts w:ascii="Arial" w:hAnsi="Arial" w:cs="Arial"/>
          <w:color w:val="000000"/>
          <w:sz w:val="20"/>
          <w:szCs w:val="20"/>
        </w:rPr>
        <w:t>Freeze-dried and milled sample.</w:t>
      </w:r>
      <w:r w:rsidR="00C248E2">
        <w:rPr>
          <w:rFonts w:ascii="Arial" w:hAnsi="Arial" w:cs="Arial"/>
          <w:color w:val="000000"/>
          <w:sz w:val="20"/>
          <w:szCs w:val="20"/>
          <w:vertAlign w:val="superscript"/>
        </w:rPr>
        <w:t xml:space="preserve"> </w:t>
      </w:r>
      <w:proofErr w:type="gramStart"/>
      <w:r w:rsidRPr="00B8172C">
        <w:rPr>
          <w:rFonts w:ascii="Arial" w:hAnsi="Arial" w:cs="Arial"/>
          <w:color w:val="000000"/>
          <w:sz w:val="20"/>
          <w:szCs w:val="20"/>
        </w:rPr>
        <w:t>iGC</w:t>
      </w:r>
      <w:proofErr w:type="gramEnd"/>
      <w:r w:rsidRPr="00B8172C">
        <w:rPr>
          <w:rFonts w:ascii="Arial" w:hAnsi="Arial" w:cs="Arial"/>
          <w:color w:val="000000"/>
          <w:sz w:val="20"/>
          <w:szCs w:val="20"/>
        </w:rPr>
        <w:t xml:space="preserve"> results from this manuscript are </w:t>
      </w:r>
      <w:r w:rsidR="00B75C99">
        <w:rPr>
          <w:rFonts w:ascii="Arial" w:hAnsi="Arial" w:cs="Arial"/>
          <w:color w:val="000000"/>
          <w:sz w:val="20"/>
          <w:szCs w:val="20"/>
        </w:rPr>
        <w:t>shaded</w:t>
      </w:r>
      <w:r w:rsidRPr="00B8172C">
        <w:rPr>
          <w:rFonts w:ascii="Arial" w:hAnsi="Arial" w:cs="Arial"/>
          <w:color w:val="000000"/>
          <w:sz w:val="20"/>
          <w:szCs w:val="20"/>
        </w:rPr>
        <w:t xml:space="preserve"> in</w:t>
      </w:r>
      <w:r w:rsidR="00B75C99">
        <w:rPr>
          <w:rFonts w:ascii="Arial" w:hAnsi="Arial" w:cs="Arial"/>
          <w:color w:val="000000"/>
          <w:sz w:val="20"/>
          <w:szCs w:val="20"/>
        </w:rPr>
        <w:t xml:space="preserve"> orange</w:t>
      </w:r>
      <w:r w:rsidRPr="00B8172C">
        <w:rPr>
          <w:rFonts w:ascii="Arial" w:hAnsi="Arial" w:cs="Arial"/>
          <w:color w:val="000000"/>
          <w:sz w:val="20"/>
          <w:szCs w:val="20"/>
        </w:rPr>
        <w:t>.</w:t>
      </w:r>
    </w:p>
    <w:p w:rsidR="00124DC6" w:rsidRDefault="00124DC6" w:rsidP="00E87D9F">
      <w:pPr>
        <w:pStyle w:val="bodytext"/>
      </w:pPr>
      <w:r w:rsidRPr="00124DC6">
        <w:rPr>
          <w:noProof/>
          <w:lang w:val="de-AT" w:eastAsia="de-AT"/>
        </w:rPr>
        <w:drawing>
          <wp:inline distT="0" distB="0" distL="0" distR="0">
            <wp:extent cx="4876800" cy="3435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86587" cy="3442650"/>
                    </a:xfrm>
                    <a:prstGeom prst="rect">
                      <a:avLst/>
                    </a:prstGeom>
                    <a:noFill/>
                    <a:ln>
                      <a:noFill/>
                    </a:ln>
                  </pic:spPr>
                </pic:pic>
              </a:graphicData>
            </a:graphic>
          </wp:inline>
        </w:drawing>
      </w:r>
    </w:p>
    <w:p w:rsidR="00DD53BB" w:rsidRDefault="00142A3D" w:rsidP="00142A3D">
      <w:pPr>
        <w:pStyle w:val="bodytext"/>
        <w:spacing w:line="240" w:lineRule="auto"/>
      </w:pPr>
      <w:r>
        <w:t xml:space="preserve">Figure S1: Particle size distribution of the dried samples </w:t>
      </w:r>
      <w:r w:rsidR="0020678C">
        <w:t>(</w:t>
      </w:r>
      <w:r>
        <w:t>from SEM micrographs</w:t>
      </w:r>
      <w:r w:rsidR="0020678C">
        <w:t>)</w:t>
      </w:r>
      <w:r>
        <w:t xml:space="preserve"> and the never-dried gel </w:t>
      </w:r>
      <w:r w:rsidR="0020678C">
        <w:t>(</w:t>
      </w:r>
      <w:r>
        <w:t>from laser diffraction size analysis</w:t>
      </w:r>
      <w:r w:rsidR="00DD53BB">
        <w:t xml:space="preserve">), cf. </w:t>
      </w:r>
      <w:r>
        <w:fldChar w:fldCharType="begin"/>
      </w:r>
      <w:r w:rsidR="0053614F">
        <w:instrText xml:space="preserve"> ADDIN ZOTERO_ITEM CSL_CITATION {"citationID":"1pgufjvf2o","properties":{"formattedCitation":"(Beaumont et al. 2016)","plainCitation":"(Beaumont et al. 2016)"},"citationItems":[{"id":2894,"uris":["http://zotero.org/users/1099718/items/GSBPCEZQ"],"uri":["http://zotero.org/users/1099718/items/GSBPCEZQ"],"itemData":{"id":2894,"type":"article-journal","title":"Nanostructured Cellulose II Gel Consisting of Spherical Particles","container-title":"ACS Sustainable Chemistry &amp; Engineering","page":"4424-4432","volume":"4","issue":"8","source":"Google Scholar","DOI":"10.1021/acssuschemeng.6b01036","author":[{"family":"Beaumont","given":"Marco"},{"family":"Rennhofer","given":"Harald"},{"family":"Opietnik","given":"Martina"},{"family":"Lichtenegger","given":"Helga C."},{"family":"Potthast","given":"Antje"},{"family":"Rosenau","given":"Thomas"}],"issued":{"date-parts":[["2016"]]}}}],"schema":"https://github.com/citation-style-language/schema/raw/master/csl-citation.json"} </w:instrText>
      </w:r>
      <w:r>
        <w:fldChar w:fldCharType="separate"/>
      </w:r>
      <w:r w:rsidRPr="00142A3D">
        <w:t>Beaumont et al. 2016</w:t>
      </w:r>
      <w:r>
        <w:fldChar w:fldCharType="end"/>
      </w:r>
      <w:r>
        <w:t>.</w:t>
      </w:r>
    </w:p>
    <w:p w:rsidR="0015591E" w:rsidRPr="004035A4" w:rsidRDefault="00DD53BB" w:rsidP="00142A3D">
      <w:pPr>
        <w:pStyle w:val="bodytext"/>
        <w:spacing w:line="240" w:lineRule="auto"/>
      </w:pPr>
      <w:r>
        <w:br w:type="column"/>
      </w:r>
      <w:r w:rsidRPr="004035A4">
        <w:rPr>
          <w:noProof/>
          <w:lang w:val="de-AT" w:eastAsia="de-AT"/>
        </w:rPr>
        <w:lastRenderedPageBreak/>
        <w:drawing>
          <wp:inline distT="0" distB="0" distL="0" distR="0" wp14:anchorId="066CC3CF" wp14:editId="15A08184">
            <wp:extent cx="5071110" cy="26023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73826" cy="2603793"/>
                    </a:xfrm>
                    <a:prstGeom prst="rect">
                      <a:avLst/>
                    </a:prstGeom>
                    <a:noFill/>
                  </pic:spPr>
                </pic:pic>
              </a:graphicData>
            </a:graphic>
          </wp:inline>
        </w:drawing>
      </w:r>
    </w:p>
    <w:p w:rsidR="00DD53BB" w:rsidRDefault="00DD53BB" w:rsidP="00DD53BB">
      <w:pPr>
        <w:pStyle w:val="bodytext"/>
      </w:pPr>
      <w:r w:rsidRPr="004035A4">
        <w:t xml:space="preserve">Figure S2: </w:t>
      </w:r>
      <w:r w:rsidR="007E2B3C" w:rsidRPr="004035A4">
        <w:t>Comparison of the micrographs of the a</w:t>
      </w:r>
      <w:r w:rsidR="00691C32" w:rsidRPr="004035A4">
        <w:t>erogels at 20000x magnification showing the porous morphology of the gels.</w:t>
      </w:r>
    </w:p>
    <w:p w:rsidR="0053614F" w:rsidRDefault="0053614F" w:rsidP="00142A3D">
      <w:pPr>
        <w:pStyle w:val="bodytext"/>
      </w:pPr>
      <w:r>
        <w:rPr>
          <w:noProof/>
          <w:lang w:val="de-AT" w:eastAsia="de-AT"/>
        </w:rPr>
        <w:drawing>
          <wp:inline distT="0" distB="0" distL="0" distR="0">
            <wp:extent cx="4706494" cy="3600000"/>
            <wp:effectExtent l="0" t="0" r="0" b="635"/>
            <wp:docPr id="9" name="Picture 9" descr="C:\Users\admin\Documents\PhD\Paper\iGC\TPM\Thermogramm MB TBA F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Documents\PhD\Paper\iGC\TPM\Thermogramm MB TBA FD.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706494" cy="3600000"/>
                    </a:xfrm>
                    <a:prstGeom prst="rect">
                      <a:avLst/>
                    </a:prstGeom>
                    <a:noFill/>
                    <a:ln>
                      <a:noFill/>
                    </a:ln>
                  </pic:spPr>
                </pic:pic>
              </a:graphicData>
            </a:graphic>
          </wp:inline>
        </w:drawing>
      </w:r>
    </w:p>
    <w:p w:rsidR="0053614F" w:rsidRDefault="0053614F" w:rsidP="00142A3D">
      <w:pPr>
        <w:pStyle w:val="bodytext"/>
      </w:pPr>
      <w:r>
        <w:t>Figure S</w:t>
      </w:r>
      <w:r w:rsidR="00DD53BB">
        <w:t>3</w:t>
      </w:r>
      <w:r>
        <w:t xml:space="preserve">: </w:t>
      </w:r>
      <w:proofErr w:type="spellStart"/>
      <w:r>
        <w:t>Thermogram</w:t>
      </w:r>
      <w:proofErr w:type="spellEnd"/>
      <w:r>
        <w:t xml:space="preserve"> of the </w:t>
      </w:r>
      <w:proofErr w:type="spellStart"/>
      <w:r>
        <w:t>thermoporosimetry</w:t>
      </w:r>
      <w:proofErr w:type="spellEnd"/>
      <w:r>
        <w:t xml:space="preserve"> measurement of FD / </w:t>
      </w:r>
      <w:r>
        <w:rPr>
          <w:i/>
        </w:rPr>
        <w:t>t</w:t>
      </w:r>
      <w:r>
        <w:t>BuOH sample.</w:t>
      </w:r>
    </w:p>
    <w:p w:rsidR="00142A3D" w:rsidRDefault="0053614F" w:rsidP="00142A3D">
      <w:pPr>
        <w:pStyle w:val="bodytext"/>
      </w:pPr>
      <w:r>
        <w:rPr>
          <w:noProof/>
          <w:lang w:val="de-AT" w:eastAsia="de-AT"/>
        </w:rPr>
        <w:lastRenderedPageBreak/>
        <w:drawing>
          <wp:inline distT="0" distB="0" distL="0" distR="0">
            <wp:extent cx="4706494" cy="3600000"/>
            <wp:effectExtent l="0" t="0" r="0" b="635"/>
            <wp:docPr id="10" name="Picture 10" descr="C:\Users\admin\Documents\PhD\Paper\iGC\TPM\Thermogramm MB TG scCO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Documents\PhD\Paper\iGC\TPM\Thermogramm MB TG scCO2.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06494" cy="3600000"/>
                    </a:xfrm>
                    <a:prstGeom prst="rect">
                      <a:avLst/>
                    </a:prstGeom>
                    <a:noFill/>
                    <a:ln>
                      <a:noFill/>
                    </a:ln>
                  </pic:spPr>
                </pic:pic>
              </a:graphicData>
            </a:graphic>
          </wp:inline>
        </w:drawing>
      </w:r>
    </w:p>
    <w:p w:rsidR="0053614F" w:rsidRDefault="0053614F" w:rsidP="0053614F">
      <w:pPr>
        <w:pStyle w:val="bodytext"/>
      </w:pPr>
      <w:r>
        <w:t>Figure S</w:t>
      </w:r>
      <w:r w:rsidR="00DD53BB">
        <w:t>4</w:t>
      </w:r>
      <w:r>
        <w:t xml:space="preserve">: </w:t>
      </w:r>
      <w:proofErr w:type="spellStart"/>
      <w:r>
        <w:t>Thermogram</w:t>
      </w:r>
      <w:proofErr w:type="spellEnd"/>
      <w:r>
        <w:t xml:space="preserve"> of the </w:t>
      </w:r>
      <w:proofErr w:type="spellStart"/>
      <w:r>
        <w:t>thermoporosimetry</w:t>
      </w:r>
      <w:proofErr w:type="spellEnd"/>
      <w:r>
        <w:t xml:space="preserve"> measurement of scCO</w:t>
      </w:r>
      <w:r>
        <w:rPr>
          <w:vertAlign w:val="subscript"/>
        </w:rPr>
        <w:t>2</w:t>
      </w:r>
      <w:r>
        <w:t xml:space="preserve"> / </w:t>
      </w:r>
      <w:r w:rsidRPr="0053614F">
        <w:t>EtOH</w:t>
      </w:r>
      <w:r>
        <w:t xml:space="preserve"> sample.</w:t>
      </w:r>
    </w:p>
    <w:p w:rsidR="004035A4" w:rsidRDefault="004035A4" w:rsidP="0053614F">
      <w:pPr>
        <w:pStyle w:val="heading2"/>
      </w:pPr>
    </w:p>
    <w:p w:rsidR="00142A3D" w:rsidRDefault="0053614F" w:rsidP="0053614F">
      <w:pPr>
        <w:pStyle w:val="heading2"/>
      </w:pPr>
      <w:r>
        <w:t>References</w:t>
      </w:r>
    </w:p>
    <w:p w:rsidR="00940710" w:rsidRPr="00940710" w:rsidRDefault="0053614F" w:rsidP="00940710">
      <w:pPr>
        <w:pStyle w:val="Bibliography"/>
        <w:rPr>
          <w:rFonts w:ascii="Arial" w:hAnsi="Arial" w:cs="Arial"/>
          <w:sz w:val="24"/>
        </w:rPr>
      </w:pPr>
      <w:r>
        <w:fldChar w:fldCharType="begin"/>
      </w:r>
      <w:r w:rsidR="00940710">
        <w:instrText xml:space="preserve"> ADDIN ZOTERO_BIBL {"custom":[]} CSL_BIBLIOGRAPHY </w:instrText>
      </w:r>
      <w:r>
        <w:fldChar w:fldCharType="separate"/>
      </w:r>
      <w:r w:rsidR="00940710" w:rsidRPr="00940710">
        <w:rPr>
          <w:rFonts w:ascii="Arial" w:hAnsi="Arial" w:cs="Arial"/>
          <w:sz w:val="24"/>
        </w:rPr>
        <w:t>Beaumont M, Rennhofer H, Opietnik M, et al (2016) Nanostructured Cellulose II Gel Consisting of Spherical Particles. ACS Sustain Chem Eng 4:4424–4432. doi: 10.1021/acssuschemeng.6b01036</w:t>
      </w:r>
    </w:p>
    <w:p w:rsidR="00940710" w:rsidRPr="00940710" w:rsidRDefault="00940710" w:rsidP="00940710">
      <w:pPr>
        <w:pStyle w:val="Bibliography"/>
        <w:rPr>
          <w:rFonts w:ascii="Arial" w:hAnsi="Arial" w:cs="Arial"/>
          <w:sz w:val="24"/>
        </w:rPr>
      </w:pPr>
      <w:r w:rsidRPr="00940710">
        <w:rPr>
          <w:rFonts w:ascii="Arial" w:hAnsi="Arial" w:cs="Arial"/>
          <w:sz w:val="24"/>
        </w:rPr>
        <w:t>Billamboz N, Baba M, Grivet M, Nedelec J-M (2004) A General Law for Predictive Use of Thermoporosimetry as a Tool for the Determination of Textural Properties of Divided Media. J Phys Chem B 108:12032–12037. doi: 10.1021/jp048189e</w:t>
      </w:r>
    </w:p>
    <w:p w:rsidR="00940710" w:rsidRPr="00940710" w:rsidRDefault="00940710" w:rsidP="00940710">
      <w:pPr>
        <w:pStyle w:val="Bibliography"/>
        <w:rPr>
          <w:rFonts w:ascii="Arial" w:hAnsi="Arial" w:cs="Arial"/>
          <w:sz w:val="24"/>
        </w:rPr>
      </w:pPr>
      <w:r w:rsidRPr="00940710">
        <w:rPr>
          <w:rFonts w:ascii="Arial" w:hAnsi="Arial" w:cs="Arial"/>
          <w:sz w:val="24"/>
        </w:rPr>
        <w:t>Dessources AH, Hartmann S, Baba M, et al (2012) Multiscale characterization of hierarchically organized porous hybrid materials. J Mater Chem 22:2713–2720.</w:t>
      </w:r>
    </w:p>
    <w:p w:rsidR="00940710" w:rsidRPr="00940710" w:rsidRDefault="00940710" w:rsidP="00940710">
      <w:pPr>
        <w:pStyle w:val="Bibliography"/>
        <w:rPr>
          <w:rFonts w:ascii="Arial" w:hAnsi="Arial" w:cs="Arial"/>
          <w:sz w:val="24"/>
        </w:rPr>
      </w:pPr>
      <w:r w:rsidRPr="00940710">
        <w:rPr>
          <w:rFonts w:ascii="Arial" w:hAnsi="Arial" w:cs="Arial"/>
          <w:sz w:val="24"/>
        </w:rPr>
        <w:t>Gamelas JAF, Pedrosa J, Lourenço AF, Ferreira PJ (2015) Surface properties of distinct nanofibrillated celluloses assessed by inverse gas chromatography. Colloids Surf Physicochem Eng Asp 469:36–41. doi: 10.1016/j.colsurfa.2014.12.058</w:t>
      </w:r>
    </w:p>
    <w:p w:rsidR="00940710" w:rsidRPr="00940710" w:rsidRDefault="00940710" w:rsidP="00940710">
      <w:pPr>
        <w:pStyle w:val="Bibliography"/>
        <w:rPr>
          <w:rFonts w:ascii="Arial" w:hAnsi="Arial" w:cs="Arial"/>
          <w:sz w:val="24"/>
        </w:rPr>
      </w:pPr>
      <w:r w:rsidRPr="00940710">
        <w:rPr>
          <w:rFonts w:ascii="Arial" w:hAnsi="Arial" w:cs="Arial"/>
          <w:sz w:val="24"/>
        </w:rPr>
        <w:lastRenderedPageBreak/>
        <w:t>Gibbs JW (1928) The Collected Works of J. Willard Gibbs. Longmans, Green, New York</w:t>
      </w:r>
    </w:p>
    <w:p w:rsidR="00940710" w:rsidRPr="00940710" w:rsidRDefault="00940710" w:rsidP="00940710">
      <w:pPr>
        <w:pStyle w:val="Bibliography"/>
        <w:rPr>
          <w:rFonts w:ascii="Arial" w:hAnsi="Arial" w:cs="Arial"/>
          <w:sz w:val="24"/>
        </w:rPr>
      </w:pPr>
      <w:r w:rsidRPr="00940710">
        <w:rPr>
          <w:rFonts w:ascii="Arial" w:hAnsi="Arial" w:cs="Arial"/>
          <w:sz w:val="24"/>
        </w:rPr>
        <w:t>Kondor A, Quellet C, Dallos A (2015) Surface characterization of standard cotton fibres and determination of adsorption isotherms of fragrances by IGC: Surface characterization of cotton and adsorption of fragrances by IGC. Surf Interface Anal 47:1040–1050. doi: 10.1002/sia.5811</w:t>
      </w:r>
    </w:p>
    <w:p w:rsidR="00940710" w:rsidRPr="00940710" w:rsidRDefault="00940710" w:rsidP="00940710">
      <w:pPr>
        <w:pStyle w:val="Bibliography"/>
        <w:rPr>
          <w:rFonts w:ascii="Arial" w:hAnsi="Arial" w:cs="Arial"/>
          <w:sz w:val="24"/>
        </w:rPr>
      </w:pPr>
      <w:r w:rsidRPr="00940710">
        <w:rPr>
          <w:rFonts w:ascii="Arial" w:hAnsi="Arial" w:cs="Arial"/>
          <w:sz w:val="24"/>
        </w:rPr>
        <w:t>Peng Y, Gardner DJ, Han Y, et al (2013) Influence of drying method on the surface energy of cellulose nanofibrils determined by inverse gas chromatography. J Colloid Interface Sci 405:85–95. doi: 10.1016/j.jcis.2013.05.033</w:t>
      </w:r>
    </w:p>
    <w:p w:rsidR="00940710" w:rsidRPr="00940710" w:rsidRDefault="00940710" w:rsidP="00940710">
      <w:pPr>
        <w:pStyle w:val="Bibliography"/>
        <w:rPr>
          <w:rFonts w:ascii="Arial" w:hAnsi="Arial" w:cs="Arial"/>
          <w:sz w:val="24"/>
        </w:rPr>
      </w:pPr>
      <w:r w:rsidRPr="00940710">
        <w:rPr>
          <w:rFonts w:ascii="Arial" w:hAnsi="Arial" w:cs="Arial"/>
          <w:sz w:val="24"/>
        </w:rPr>
        <w:t>Pommet M, Juntaro J, Heng JYY, et al (2008) Surface Modification of Natural Fibers Using Bacteria: Depositing Bacterial Cellulose onto Natural Fibers To Create Hierarchical Fiber Reinforced Nanocomposites. Biomacromolecules 9:1643–1651. doi: 10.1021/bm800169g</w:t>
      </w:r>
    </w:p>
    <w:p w:rsidR="00940710" w:rsidRPr="00940710" w:rsidRDefault="00940710" w:rsidP="00940710">
      <w:pPr>
        <w:pStyle w:val="Bibliography"/>
        <w:rPr>
          <w:rFonts w:ascii="Arial" w:hAnsi="Arial" w:cs="Arial"/>
          <w:sz w:val="24"/>
        </w:rPr>
      </w:pPr>
      <w:r w:rsidRPr="00940710">
        <w:rPr>
          <w:rFonts w:ascii="Arial" w:hAnsi="Arial" w:cs="Arial"/>
          <w:sz w:val="24"/>
        </w:rPr>
        <w:t>Schneider CA, Rasband WS, Eliceiri KW (2012) NIH Image to ImageJ: 25 years of image analysis. Nat Methods 9:671–675. doi: 10.1038/nmeth.2089</w:t>
      </w:r>
    </w:p>
    <w:p w:rsidR="00940710" w:rsidRPr="00940710" w:rsidRDefault="00940710" w:rsidP="00940710">
      <w:pPr>
        <w:pStyle w:val="Bibliography"/>
        <w:rPr>
          <w:rFonts w:ascii="Arial" w:hAnsi="Arial" w:cs="Arial"/>
          <w:sz w:val="24"/>
        </w:rPr>
      </w:pPr>
      <w:r w:rsidRPr="00940710">
        <w:rPr>
          <w:rFonts w:ascii="Arial" w:hAnsi="Arial" w:cs="Arial"/>
          <w:sz w:val="24"/>
        </w:rPr>
        <w:t>Thomson W (1871) LX. On the Equilibrium of Vapour at a Curved Suface of Liquid. Philos Mag Ser 4 42:448–452.</w:t>
      </w:r>
    </w:p>
    <w:p w:rsidR="00940710" w:rsidRPr="00940710" w:rsidRDefault="00940710" w:rsidP="00940710">
      <w:pPr>
        <w:pStyle w:val="Bibliography"/>
        <w:rPr>
          <w:rFonts w:ascii="Arial" w:hAnsi="Arial" w:cs="Arial"/>
          <w:sz w:val="24"/>
        </w:rPr>
      </w:pPr>
      <w:r w:rsidRPr="00940710">
        <w:rPr>
          <w:rFonts w:ascii="Arial" w:hAnsi="Arial" w:cs="Arial"/>
          <w:sz w:val="24"/>
        </w:rPr>
        <w:t>Tze WTY, Wålinder MEP, Gardner DJ (2006) Inverse gas chromatography for studying interaction of materials used for cellulose fiber/polymer composites. J Adhes Sci Technol 20:743–759. doi: 10.1163/156856106777638644</w:t>
      </w:r>
    </w:p>
    <w:p w:rsidR="0053614F" w:rsidRPr="00E87D9F" w:rsidRDefault="0053614F" w:rsidP="0053614F">
      <w:pPr>
        <w:pStyle w:val="bodytext"/>
      </w:pPr>
      <w:r>
        <w:fldChar w:fldCharType="end"/>
      </w:r>
    </w:p>
    <w:sectPr w:rsidR="0053614F" w:rsidRPr="00E87D9F" w:rsidSect="008772C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7141" w:rsidRDefault="00FF7141" w:rsidP="00F85C81">
      <w:pPr>
        <w:spacing w:after="0" w:line="240" w:lineRule="auto"/>
      </w:pPr>
      <w:r>
        <w:separator/>
      </w:r>
    </w:p>
  </w:endnote>
  <w:endnote w:type="continuationSeparator" w:id="0">
    <w:p w:rsidR="00FF7141" w:rsidRDefault="00FF7141" w:rsidP="00F85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7141" w:rsidRDefault="00FF7141" w:rsidP="00F85C81">
      <w:pPr>
        <w:spacing w:after="0" w:line="240" w:lineRule="auto"/>
      </w:pPr>
      <w:r>
        <w:separator/>
      </w:r>
    </w:p>
  </w:footnote>
  <w:footnote w:type="continuationSeparator" w:id="0">
    <w:p w:rsidR="00FF7141" w:rsidRDefault="00FF7141" w:rsidP="00F85C81">
      <w:pPr>
        <w:spacing w:after="0" w:line="240" w:lineRule="auto"/>
      </w:pPr>
      <w:r>
        <w:continuationSeparator/>
      </w:r>
    </w:p>
  </w:footnote>
  <w:footnote w:id="1">
    <w:p w:rsidR="001867AA" w:rsidRPr="001867AA" w:rsidRDefault="001867AA">
      <w:pPr>
        <w:pStyle w:val="FootnoteText"/>
        <w:rPr>
          <w:rFonts w:ascii="Arial" w:hAnsi="Arial" w:cs="Arial"/>
          <w:lang w:val="en-US"/>
        </w:rPr>
      </w:pPr>
      <w:r w:rsidRPr="001867AA">
        <w:rPr>
          <w:rStyle w:val="FootnoteReference"/>
          <w:rFonts w:ascii="Arial" w:hAnsi="Arial" w:cs="Arial"/>
        </w:rPr>
        <w:footnoteRef/>
      </w:r>
      <w:r w:rsidRPr="001867AA">
        <w:rPr>
          <w:rFonts w:ascii="Arial" w:hAnsi="Arial" w:cs="Arial"/>
        </w:rPr>
        <w:t xml:space="preserve"> </w:t>
      </w:r>
      <w:r w:rsidRPr="001867AA">
        <w:rPr>
          <w:rFonts w:ascii="Arial" w:hAnsi="Arial" w:cs="Arial"/>
          <w:lang w:val="en-US"/>
        </w:rPr>
        <w:t>TENCEL® is a registered trademark of Lenzing AG.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73076"/>
    <w:multiLevelType w:val="multilevel"/>
    <w:tmpl w:val="A48C2116"/>
    <w:lvl w:ilvl="0">
      <w:start w:val="1"/>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2B4D6BAD"/>
    <w:multiLevelType w:val="hybridMultilevel"/>
    <w:tmpl w:val="59D83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000381F"/>
    <w:multiLevelType w:val="hybridMultilevel"/>
    <w:tmpl w:val="889C738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6F173A"/>
    <w:multiLevelType w:val="hybridMultilevel"/>
    <w:tmpl w:val="15FCC14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6D47761"/>
    <w:multiLevelType w:val="hybridMultilevel"/>
    <w:tmpl w:val="9D7625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ACD6BD7"/>
    <w:multiLevelType w:val="hybridMultilevel"/>
    <w:tmpl w:val="86EEE7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2F12B40"/>
    <w:multiLevelType w:val="multilevel"/>
    <w:tmpl w:val="C4661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4F75787"/>
    <w:multiLevelType w:val="multilevel"/>
    <w:tmpl w:val="2716CF78"/>
    <w:lvl w:ilvl="0">
      <w:start w:val="1"/>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5D677A8D"/>
    <w:multiLevelType w:val="multilevel"/>
    <w:tmpl w:val="9FA6191E"/>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688039B6"/>
    <w:multiLevelType w:val="hybridMultilevel"/>
    <w:tmpl w:val="59D832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CF24C91"/>
    <w:multiLevelType w:val="hybridMultilevel"/>
    <w:tmpl w:val="F38A892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1"/>
  </w:num>
  <w:num w:numId="5">
    <w:abstractNumId w:val="4"/>
  </w:num>
  <w:num w:numId="6">
    <w:abstractNumId w:val="6"/>
  </w:num>
  <w:num w:numId="7">
    <w:abstractNumId w:val="8"/>
  </w:num>
  <w:num w:numId="8">
    <w:abstractNumId w:val="0"/>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D9F"/>
    <w:rsid w:val="000312C9"/>
    <w:rsid w:val="00055A81"/>
    <w:rsid w:val="000C0667"/>
    <w:rsid w:val="00124DC6"/>
    <w:rsid w:val="00142A3D"/>
    <w:rsid w:val="0015591E"/>
    <w:rsid w:val="001867AA"/>
    <w:rsid w:val="001E4EB9"/>
    <w:rsid w:val="0020678C"/>
    <w:rsid w:val="0026774A"/>
    <w:rsid w:val="002F4C3D"/>
    <w:rsid w:val="003635B8"/>
    <w:rsid w:val="003C068F"/>
    <w:rsid w:val="003D2605"/>
    <w:rsid w:val="004035A4"/>
    <w:rsid w:val="0041635E"/>
    <w:rsid w:val="004853EC"/>
    <w:rsid w:val="00492E32"/>
    <w:rsid w:val="004F3CAE"/>
    <w:rsid w:val="00535E8F"/>
    <w:rsid w:val="0053614F"/>
    <w:rsid w:val="005802F0"/>
    <w:rsid w:val="00585CA3"/>
    <w:rsid w:val="005918CF"/>
    <w:rsid w:val="005F6961"/>
    <w:rsid w:val="00617CBB"/>
    <w:rsid w:val="00621358"/>
    <w:rsid w:val="00691C32"/>
    <w:rsid w:val="006A79A5"/>
    <w:rsid w:val="006B36D6"/>
    <w:rsid w:val="006D4131"/>
    <w:rsid w:val="00736876"/>
    <w:rsid w:val="00741EF8"/>
    <w:rsid w:val="0075042B"/>
    <w:rsid w:val="007A7CE4"/>
    <w:rsid w:val="007E2B3C"/>
    <w:rsid w:val="007F663B"/>
    <w:rsid w:val="00835280"/>
    <w:rsid w:val="008772C4"/>
    <w:rsid w:val="008800C6"/>
    <w:rsid w:val="008C16CE"/>
    <w:rsid w:val="008D2965"/>
    <w:rsid w:val="008F7018"/>
    <w:rsid w:val="00924313"/>
    <w:rsid w:val="00936909"/>
    <w:rsid w:val="00940710"/>
    <w:rsid w:val="00A80483"/>
    <w:rsid w:val="00AD22CE"/>
    <w:rsid w:val="00AE0830"/>
    <w:rsid w:val="00B00BD7"/>
    <w:rsid w:val="00B140FC"/>
    <w:rsid w:val="00B37578"/>
    <w:rsid w:val="00B75C99"/>
    <w:rsid w:val="00B8172C"/>
    <w:rsid w:val="00BB32E5"/>
    <w:rsid w:val="00BC09F3"/>
    <w:rsid w:val="00BC2ABC"/>
    <w:rsid w:val="00BF04AE"/>
    <w:rsid w:val="00C248E2"/>
    <w:rsid w:val="00C75546"/>
    <w:rsid w:val="00D00CED"/>
    <w:rsid w:val="00D01A28"/>
    <w:rsid w:val="00D35287"/>
    <w:rsid w:val="00D82F0A"/>
    <w:rsid w:val="00D95B81"/>
    <w:rsid w:val="00DD53BB"/>
    <w:rsid w:val="00DE335F"/>
    <w:rsid w:val="00E34880"/>
    <w:rsid w:val="00E703D7"/>
    <w:rsid w:val="00E87D9F"/>
    <w:rsid w:val="00EE763E"/>
    <w:rsid w:val="00F85C81"/>
    <w:rsid w:val="00FF60D6"/>
    <w:rsid w:val="00FF7141"/>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44251-2936-4E4A-B726-C683B1B3E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BodyText3"/>
    <w:qFormat/>
    <w:rsid w:val="00E87D9F"/>
    <w:pPr>
      <w:spacing w:before="120" w:line="480" w:lineRule="auto"/>
      <w:jc w:val="both"/>
    </w:pPr>
    <w:rPr>
      <w:rFonts w:ascii="Arial" w:eastAsia="Times New Roman" w:hAnsi="Arial" w:cs="Arial"/>
      <w:sz w:val="24"/>
      <w:szCs w:val="24"/>
      <w:lang w:val="en-US" w:eastAsia="de-DE"/>
    </w:rPr>
  </w:style>
  <w:style w:type="paragraph" w:styleId="BodyText3">
    <w:name w:val="Body Text 3"/>
    <w:basedOn w:val="Normal"/>
    <w:link w:val="BodyText3Char"/>
    <w:uiPriority w:val="99"/>
    <w:semiHidden/>
    <w:unhideWhenUsed/>
    <w:rsid w:val="00E87D9F"/>
    <w:pPr>
      <w:spacing w:after="120"/>
    </w:pPr>
    <w:rPr>
      <w:sz w:val="16"/>
      <w:szCs w:val="16"/>
    </w:rPr>
  </w:style>
  <w:style w:type="character" w:customStyle="1" w:styleId="BodyText3Char">
    <w:name w:val="Body Text 3 Char"/>
    <w:basedOn w:val="DefaultParagraphFont"/>
    <w:link w:val="BodyText3"/>
    <w:uiPriority w:val="99"/>
    <w:semiHidden/>
    <w:rsid w:val="00E87D9F"/>
    <w:rPr>
      <w:sz w:val="16"/>
      <w:szCs w:val="16"/>
      <w:lang w:val="en-GB"/>
    </w:rPr>
  </w:style>
  <w:style w:type="paragraph" w:customStyle="1" w:styleId="heading2">
    <w:name w:val="heading2"/>
    <w:basedOn w:val="Normal"/>
    <w:qFormat/>
    <w:rsid w:val="00F85C81"/>
    <w:pPr>
      <w:spacing w:before="240" w:line="480" w:lineRule="auto"/>
    </w:pPr>
    <w:rPr>
      <w:rFonts w:ascii="Arial" w:eastAsia="Times New Roman" w:hAnsi="Arial" w:cs="Arial"/>
      <w:b/>
      <w:caps/>
      <w:sz w:val="24"/>
      <w:szCs w:val="24"/>
      <w:lang w:val="en-US" w:eastAsia="de-DE"/>
    </w:rPr>
  </w:style>
  <w:style w:type="paragraph" w:customStyle="1" w:styleId="heading">
    <w:name w:val="heading"/>
    <w:basedOn w:val="Normal"/>
    <w:qFormat/>
    <w:rsid w:val="00E87D9F"/>
    <w:pPr>
      <w:spacing w:after="0" w:line="240" w:lineRule="auto"/>
      <w:jc w:val="center"/>
    </w:pPr>
    <w:rPr>
      <w:rFonts w:ascii="Times New Roman" w:eastAsia="Times New Roman" w:hAnsi="Times New Roman" w:cs="Times New Roman"/>
      <w:b/>
      <w:bCs/>
      <w:caps/>
      <w:sz w:val="24"/>
      <w:szCs w:val="20"/>
      <w:lang w:val="de-DE" w:eastAsia="de-DE"/>
    </w:rPr>
  </w:style>
  <w:style w:type="paragraph" w:customStyle="1" w:styleId="names">
    <w:name w:val="names"/>
    <w:basedOn w:val="Normal"/>
    <w:qFormat/>
    <w:rsid w:val="00E87D9F"/>
    <w:pPr>
      <w:spacing w:after="0" w:line="240" w:lineRule="auto"/>
      <w:jc w:val="center"/>
    </w:pPr>
    <w:rPr>
      <w:rFonts w:ascii="Times New Roman" w:eastAsia="Times New Roman" w:hAnsi="Times New Roman" w:cs="Times New Roman"/>
      <w:sz w:val="24"/>
      <w:szCs w:val="20"/>
      <w:lang w:val="en-US" w:eastAsia="de-DE"/>
    </w:rPr>
  </w:style>
  <w:style w:type="paragraph" w:customStyle="1" w:styleId="address">
    <w:name w:val="address"/>
    <w:basedOn w:val="names"/>
    <w:qFormat/>
    <w:rsid w:val="00E87D9F"/>
    <w:pPr>
      <w:spacing w:after="360"/>
    </w:pPr>
  </w:style>
  <w:style w:type="character" w:styleId="Hyperlink">
    <w:name w:val="Hyperlink"/>
    <w:basedOn w:val="DefaultParagraphFont"/>
    <w:uiPriority w:val="99"/>
    <w:unhideWhenUsed/>
    <w:rsid w:val="00E87D9F"/>
    <w:rPr>
      <w:color w:val="0563C1" w:themeColor="hyperlink"/>
      <w:u w:val="single"/>
    </w:rPr>
  </w:style>
  <w:style w:type="paragraph" w:customStyle="1" w:styleId="BCAuthorAddress">
    <w:name w:val="BC_Author_Address"/>
    <w:basedOn w:val="Normal"/>
    <w:next w:val="Normal"/>
    <w:rsid w:val="00E87D9F"/>
    <w:pPr>
      <w:spacing w:after="240" w:line="480" w:lineRule="auto"/>
      <w:jc w:val="center"/>
    </w:pPr>
    <w:rPr>
      <w:rFonts w:ascii="Times" w:eastAsia="Times New Roman" w:hAnsi="Times" w:cs="Times New Roman"/>
      <w:sz w:val="24"/>
      <w:szCs w:val="20"/>
      <w:lang w:val="en-US"/>
    </w:rPr>
  </w:style>
  <w:style w:type="paragraph" w:styleId="Header">
    <w:name w:val="header"/>
    <w:basedOn w:val="Normal"/>
    <w:link w:val="HeaderChar"/>
    <w:uiPriority w:val="99"/>
    <w:unhideWhenUsed/>
    <w:rsid w:val="00F85C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F85C81"/>
    <w:rPr>
      <w:lang w:val="en-GB"/>
    </w:rPr>
  </w:style>
  <w:style w:type="paragraph" w:styleId="Footer">
    <w:name w:val="footer"/>
    <w:basedOn w:val="Normal"/>
    <w:link w:val="FooterChar"/>
    <w:uiPriority w:val="99"/>
    <w:unhideWhenUsed/>
    <w:rsid w:val="00F85C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F85C81"/>
    <w:rPr>
      <w:lang w:val="en-GB"/>
    </w:rPr>
  </w:style>
  <w:style w:type="table" w:styleId="TableGrid">
    <w:name w:val="Table Grid"/>
    <w:basedOn w:val="TableNormal"/>
    <w:uiPriority w:val="39"/>
    <w:rsid w:val="00B81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5C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CA3"/>
    <w:rPr>
      <w:rFonts w:ascii="Tahoma" w:hAnsi="Tahoma" w:cs="Tahoma"/>
      <w:sz w:val="16"/>
      <w:szCs w:val="16"/>
      <w:lang w:val="en-GB"/>
    </w:rPr>
  </w:style>
  <w:style w:type="character" w:styleId="CommentReference">
    <w:name w:val="annotation reference"/>
    <w:basedOn w:val="DefaultParagraphFont"/>
    <w:uiPriority w:val="99"/>
    <w:semiHidden/>
    <w:unhideWhenUsed/>
    <w:rsid w:val="007A7CE4"/>
    <w:rPr>
      <w:sz w:val="16"/>
      <w:szCs w:val="16"/>
    </w:rPr>
  </w:style>
  <w:style w:type="paragraph" w:styleId="CommentText">
    <w:name w:val="annotation text"/>
    <w:basedOn w:val="Normal"/>
    <w:link w:val="CommentTextChar"/>
    <w:uiPriority w:val="99"/>
    <w:semiHidden/>
    <w:unhideWhenUsed/>
    <w:rsid w:val="007A7CE4"/>
    <w:pPr>
      <w:spacing w:line="240" w:lineRule="auto"/>
    </w:pPr>
    <w:rPr>
      <w:sz w:val="20"/>
      <w:szCs w:val="20"/>
    </w:rPr>
  </w:style>
  <w:style w:type="character" w:customStyle="1" w:styleId="CommentTextChar">
    <w:name w:val="Comment Text Char"/>
    <w:basedOn w:val="DefaultParagraphFont"/>
    <w:link w:val="CommentText"/>
    <w:uiPriority w:val="99"/>
    <w:semiHidden/>
    <w:rsid w:val="007A7CE4"/>
    <w:rPr>
      <w:sz w:val="20"/>
      <w:szCs w:val="20"/>
      <w:lang w:val="en-GB"/>
    </w:rPr>
  </w:style>
  <w:style w:type="paragraph" w:styleId="CommentSubject">
    <w:name w:val="annotation subject"/>
    <w:basedOn w:val="CommentText"/>
    <w:next w:val="CommentText"/>
    <w:link w:val="CommentSubjectChar"/>
    <w:uiPriority w:val="99"/>
    <w:semiHidden/>
    <w:unhideWhenUsed/>
    <w:rsid w:val="007A7CE4"/>
    <w:rPr>
      <w:b/>
      <w:bCs/>
    </w:rPr>
  </w:style>
  <w:style w:type="character" w:customStyle="1" w:styleId="CommentSubjectChar">
    <w:name w:val="Comment Subject Char"/>
    <w:basedOn w:val="CommentTextChar"/>
    <w:link w:val="CommentSubject"/>
    <w:uiPriority w:val="99"/>
    <w:semiHidden/>
    <w:rsid w:val="007A7CE4"/>
    <w:rPr>
      <w:b/>
      <w:bCs/>
      <w:sz w:val="20"/>
      <w:szCs w:val="20"/>
      <w:lang w:val="en-GB"/>
    </w:rPr>
  </w:style>
  <w:style w:type="paragraph" w:styleId="Bibliography">
    <w:name w:val="Bibliography"/>
    <w:basedOn w:val="Normal"/>
    <w:next w:val="Normal"/>
    <w:uiPriority w:val="37"/>
    <w:unhideWhenUsed/>
    <w:rsid w:val="0053614F"/>
    <w:pPr>
      <w:spacing w:after="240" w:line="240" w:lineRule="auto"/>
      <w:ind w:left="720" w:hanging="720"/>
    </w:pPr>
  </w:style>
  <w:style w:type="paragraph" w:styleId="EndnoteText">
    <w:name w:val="endnote text"/>
    <w:basedOn w:val="Normal"/>
    <w:link w:val="EndnoteTextChar"/>
    <w:uiPriority w:val="99"/>
    <w:semiHidden/>
    <w:unhideWhenUsed/>
    <w:rsid w:val="001867A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867AA"/>
    <w:rPr>
      <w:sz w:val="20"/>
      <w:szCs w:val="20"/>
      <w:lang w:val="en-GB"/>
    </w:rPr>
  </w:style>
  <w:style w:type="character" w:styleId="EndnoteReference">
    <w:name w:val="endnote reference"/>
    <w:basedOn w:val="DefaultParagraphFont"/>
    <w:uiPriority w:val="99"/>
    <w:semiHidden/>
    <w:unhideWhenUsed/>
    <w:rsid w:val="001867AA"/>
    <w:rPr>
      <w:vertAlign w:val="superscript"/>
    </w:rPr>
  </w:style>
  <w:style w:type="paragraph" w:styleId="FootnoteText">
    <w:name w:val="footnote text"/>
    <w:basedOn w:val="Normal"/>
    <w:link w:val="FootnoteTextChar"/>
    <w:uiPriority w:val="99"/>
    <w:semiHidden/>
    <w:unhideWhenUsed/>
    <w:rsid w:val="001867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7AA"/>
    <w:rPr>
      <w:sz w:val="20"/>
      <w:szCs w:val="20"/>
      <w:lang w:val="en-GB"/>
    </w:rPr>
  </w:style>
  <w:style w:type="character" w:styleId="FootnoteReference">
    <w:name w:val="footnote reference"/>
    <w:basedOn w:val="DefaultParagraphFont"/>
    <w:uiPriority w:val="99"/>
    <w:semiHidden/>
    <w:unhideWhenUsed/>
    <w:rsid w:val="001867AA"/>
    <w:rPr>
      <w:vertAlign w:val="superscript"/>
    </w:rPr>
  </w:style>
  <w:style w:type="character" w:styleId="LineNumber">
    <w:name w:val="line number"/>
    <w:basedOn w:val="DefaultParagraphFont"/>
    <w:uiPriority w:val="99"/>
    <w:semiHidden/>
    <w:unhideWhenUsed/>
    <w:rsid w:val="008C16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5.tiff"/><Relationship Id="rId21" Type="http://schemas.openxmlformats.org/officeDocument/2006/relationships/image" Target="media/image6.wmf"/><Relationship Id="rId34" Type="http://schemas.openxmlformats.org/officeDocument/2006/relationships/oleObject" Target="embeddings/oleObject15.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oleObject" Target="embeddings/oleObject7.bin"/><Relationship Id="rId29" Type="http://schemas.openxmlformats.org/officeDocument/2006/relationships/image" Target="media/image9.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3.emf"/><Relationship Id="rId40" Type="http://schemas.openxmlformats.org/officeDocument/2006/relationships/image" Target="media/image16.tif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oleObject" Target="embeddings/oleObject1.bin"/><Relationship Id="rId19" Type="http://schemas.openxmlformats.org/officeDocument/2006/relationships/image" Target="media/image5.wmf"/><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2.wmf"/><Relationship Id="rId8" Type="http://schemas.openxmlformats.org/officeDocument/2006/relationships/hyperlink" Target="mailto:thomas.rosenau@boku.ac.at"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8.wmf"/><Relationship Id="rId33" Type="http://schemas.openxmlformats.org/officeDocument/2006/relationships/image" Target="media/image11.wmf"/><Relationship Id="rId38"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879C8-E9C8-46B0-8284-D5B0E4FC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3547</Words>
  <Characters>22349</Characters>
  <Application>Microsoft Office Word</Application>
  <DocSecurity>0</DocSecurity>
  <Lines>186</Lines>
  <Paragraphs>51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25845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Beaumont</dc:creator>
  <cp:lastModifiedBy>admin</cp:lastModifiedBy>
  <cp:revision>3</cp:revision>
  <dcterms:created xsi:type="dcterms:W3CDTF">2016-10-12T13:42:00Z</dcterms:created>
  <dcterms:modified xsi:type="dcterms:W3CDTF">2016-10-12T13:48:00Z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zotero-version="4.0.29.10"&gt;&lt;session id="jWQkY5fI"/&gt;&lt;style id="http://www.zotero.org/styles/cellulose" hasBibliography="1" bibliographyStyleHasBeenSet="1"/&gt;&lt;prefs&gt;&lt;pref name="fieldType" value="Field"/&gt;&lt;pref name="storeReferences" val</vt:lpwstr>
  </property>
  <property fmtid="{D5CDD505-2E9C-101B-9397-08002B2CF9AE}" pid="3" name="ZOTERO_PREF_2">
    <vt:lpwstr>ue="true"/&gt;&lt;pref name="automaticJournalAbbreviations" value="true"/&gt;&lt;pref name="noteType" value=""/&gt;&lt;/prefs&gt;&lt;/data&gt;</vt:lpwstr>
  </property>
</Properties>
</file>