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0F671" w14:textId="77777777" w:rsidR="00937438" w:rsidRPr="00471859" w:rsidRDefault="00937438" w:rsidP="00937438">
      <w:pPr>
        <w:rPr>
          <w:rFonts w:ascii="Arial" w:hAnsi="Arial" w:cs="Arial"/>
          <w:b/>
          <w:sz w:val="30"/>
          <w:szCs w:val="30"/>
          <w:lang w:val="en-US"/>
        </w:rPr>
      </w:pPr>
      <w:r w:rsidRPr="00471859">
        <w:rPr>
          <w:rFonts w:ascii="Arial" w:hAnsi="Arial" w:cs="Arial"/>
          <w:b/>
          <w:sz w:val="30"/>
          <w:szCs w:val="30"/>
          <w:lang w:val="en-US"/>
        </w:rPr>
        <w:t>Supplemental Information</w:t>
      </w:r>
    </w:p>
    <w:p w14:paraId="4B0B4CE1" w14:textId="77777777" w:rsidR="00937438" w:rsidRPr="00471859" w:rsidRDefault="00937438" w:rsidP="00166F4B">
      <w:pPr>
        <w:pStyle w:val="names"/>
        <w:spacing w:line="480" w:lineRule="auto"/>
        <w:jc w:val="both"/>
        <w:rPr>
          <w:rFonts w:ascii="Arial" w:hAnsi="Arial" w:cs="Arial"/>
          <w:b/>
          <w:sz w:val="30"/>
          <w:szCs w:val="30"/>
        </w:rPr>
      </w:pPr>
    </w:p>
    <w:p w14:paraId="0B913FF0" w14:textId="77777777" w:rsidR="00937438" w:rsidRPr="00471859" w:rsidRDefault="00937438" w:rsidP="00937438">
      <w:pPr>
        <w:pStyle w:val="names"/>
        <w:spacing w:line="480" w:lineRule="auto"/>
        <w:jc w:val="both"/>
        <w:rPr>
          <w:rFonts w:ascii="Arial" w:hAnsi="Arial" w:cs="Arial"/>
          <w:b/>
          <w:sz w:val="30"/>
          <w:szCs w:val="30"/>
        </w:rPr>
      </w:pPr>
      <w:r w:rsidRPr="00471859">
        <w:rPr>
          <w:rFonts w:ascii="Arial" w:hAnsi="Arial" w:cs="Arial"/>
          <w:b/>
          <w:sz w:val="30"/>
          <w:szCs w:val="30"/>
        </w:rPr>
        <w:t>Drying of a cellulose II gel: effect of physical modification and redispersibility in water</w:t>
      </w:r>
    </w:p>
    <w:p w14:paraId="5E4E98C0" w14:textId="77777777" w:rsidR="00166F4B" w:rsidRPr="00471859" w:rsidRDefault="00166F4B" w:rsidP="00166F4B">
      <w:pPr>
        <w:pStyle w:val="names"/>
        <w:spacing w:line="480" w:lineRule="auto"/>
        <w:jc w:val="both"/>
        <w:rPr>
          <w:rFonts w:ascii="Arial" w:hAnsi="Arial" w:cs="Arial"/>
          <w:szCs w:val="24"/>
        </w:rPr>
      </w:pPr>
    </w:p>
    <w:p w14:paraId="0846F14B" w14:textId="367EEA21" w:rsidR="00166F4B" w:rsidRPr="00471859" w:rsidRDefault="00166F4B" w:rsidP="00166F4B">
      <w:pPr>
        <w:pStyle w:val="names"/>
        <w:spacing w:line="480" w:lineRule="auto"/>
        <w:jc w:val="both"/>
        <w:rPr>
          <w:rFonts w:ascii="Arial" w:hAnsi="Arial" w:cs="Arial"/>
          <w:szCs w:val="24"/>
        </w:rPr>
      </w:pPr>
      <w:r w:rsidRPr="00471859">
        <w:rPr>
          <w:rFonts w:ascii="Arial" w:hAnsi="Arial" w:cs="Arial"/>
          <w:szCs w:val="24"/>
        </w:rPr>
        <w:t xml:space="preserve">Marco </w:t>
      </w:r>
      <w:proofErr w:type="spellStart"/>
      <w:r w:rsidRPr="00471859">
        <w:rPr>
          <w:rFonts w:ascii="Arial" w:hAnsi="Arial" w:cs="Arial"/>
          <w:szCs w:val="24"/>
        </w:rPr>
        <w:t>Beaumont</w:t>
      </w:r>
      <w:proofErr w:type="gramStart"/>
      <w:r w:rsidR="00E27E9E" w:rsidRPr="00471859">
        <w:rPr>
          <w:rFonts w:ascii="Arial" w:hAnsi="Arial" w:cs="Arial"/>
          <w:szCs w:val="24"/>
        </w:rPr>
        <w:t>,</w:t>
      </w:r>
      <w:r w:rsidRPr="00471859">
        <w:rPr>
          <w:rFonts w:ascii="Arial" w:hAnsi="Arial" w:cs="Arial"/>
          <w:szCs w:val="24"/>
          <w:vertAlign w:val="superscript"/>
        </w:rPr>
        <w:t>a</w:t>
      </w:r>
      <w:proofErr w:type="spellEnd"/>
      <w:proofErr w:type="gramEnd"/>
      <w:r w:rsidRPr="00471859">
        <w:rPr>
          <w:rFonts w:ascii="Arial" w:hAnsi="Arial" w:cs="Arial"/>
          <w:szCs w:val="24"/>
        </w:rPr>
        <w:t xml:space="preserve"> </w:t>
      </w:r>
      <w:proofErr w:type="spellStart"/>
      <w:r w:rsidRPr="00471859">
        <w:rPr>
          <w:rFonts w:ascii="Arial" w:hAnsi="Arial" w:cs="Arial"/>
          <w:szCs w:val="24"/>
        </w:rPr>
        <w:t>Jakob</w:t>
      </w:r>
      <w:proofErr w:type="spellEnd"/>
      <w:r w:rsidRPr="00471859">
        <w:rPr>
          <w:rFonts w:ascii="Arial" w:hAnsi="Arial" w:cs="Arial"/>
          <w:szCs w:val="24"/>
        </w:rPr>
        <w:t xml:space="preserve"> </w:t>
      </w:r>
      <w:proofErr w:type="spellStart"/>
      <w:r w:rsidRPr="00471859">
        <w:rPr>
          <w:rFonts w:ascii="Arial" w:hAnsi="Arial" w:cs="Arial"/>
          <w:szCs w:val="24"/>
        </w:rPr>
        <w:t>König</w:t>
      </w:r>
      <w:r w:rsidR="00E27E9E" w:rsidRPr="00471859">
        <w:rPr>
          <w:rFonts w:ascii="Arial" w:hAnsi="Arial" w:cs="Arial"/>
          <w:szCs w:val="24"/>
        </w:rPr>
        <w:t>,</w:t>
      </w:r>
      <w:r w:rsidRPr="00471859">
        <w:rPr>
          <w:rFonts w:ascii="Arial" w:hAnsi="Arial" w:cs="Arial"/>
          <w:szCs w:val="24"/>
          <w:vertAlign w:val="superscript"/>
        </w:rPr>
        <w:t>a</w:t>
      </w:r>
      <w:proofErr w:type="spellEnd"/>
      <w:r w:rsidRPr="00471859">
        <w:rPr>
          <w:rFonts w:ascii="Arial" w:hAnsi="Arial" w:cs="Arial"/>
          <w:szCs w:val="24"/>
        </w:rPr>
        <w:t xml:space="preserve"> Martina </w:t>
      </w:r>
      <w:proofErr w:type="spellStart"/>
      <w:r w:rsidRPr="00471859">
        <w:rPr>
          <w:rFonts w:ascii="Arial" w:hAnsi="Arial" w:cs="Arial"/>
          <w:szCs w:val="24"/>
        </w:rPr>
        <w:t>Opietnik</w:t>
      </w:r>
      <w:r w:rsidR="00E27E9E" w:rsidRPr="00471859">
        <w:rPr>
          <w:rFonts w:ascii="Arial" w:hAnsi="Arial" w:cs="Arial"/>
          <w:szCs w:val="24"/>
        </w:rPr>
        <w:t>,</w:t>
      </w:r>
      <w:r w:rsidRPr="00471859">
        <w:rPr>
          <w:rFonts w:ascii="Arial" w:hAnsi="Arial" w:cs="Arial"/>
          <w:szCs w:val="24"/>
          <w:vertAlign w:val="superscript"/>
        </w:rPr>
        <w:t>b</w:t>
      </w:r>
      <w:proofErr w:type="spellEnd"/>
      <w:r w:rsidRPr="00471859">
        <w:rPr>
          <w:rFonts w:ascii="Arial" w:hAnsi="Arial" w:cs="Arial"/>
          <w:szCs w:val="24"/>
        </w:rPr>
        <w:t xml:space="preserve"> Antje </w:t>
      </w:r>
      <w:proofErr w:type="spellStart"/>
      <w:r w:rsidRPr="00471859">
        <w:rPr>
          <w:rFonts w:ascii="Arial" w:hAnsi="Arial" w:cs="Arial"/>
          <w:szCs w:val="24"/>
        </w:rPr>
        <w:t>Potthast</w:t>
      </w:r>
      <w:r w:rsidR="00E27E9E" w:rsidRPr="00471859">
        <w:rPr>
          <w:rFonts w:ascii="Arial" w:hAnsi="Arial" w:cs="Arial"/>
          <w:szCs w:val="24"/>
        </w:rPr>
        <w:t>,</w:t>
      </w:r>
      <w:r w:rsidRPr="00471859">
        <w:rPr>
          <w:rFonts w:ascii="Arial" w:hAnsi="Arial" w:cs="Arial"/>
          <w:szCs w:val="24"/>
          <w:vertAlign w:val="superscript"/>
        </w:rPr>
        <w:t>a</w:t>
      </w:r>
      <w:proofErr w:type="spellEnd"/>
      <w:r w:rsidRPr="00471859">
        <w:rPr>
          <w:rFonts w:ascii="Arial" w:hAnsi="Arial" w:cs="Arial"/>
          <w:szCs w:val="24"/>
        </w:rPr>
        <w:t xml:space="preserve"> Thomas </w:t>
      </w:r>
      <w:proofErr w:type="spellStart"/>
      <w:r w:rsidRPr="00471859">
        <w:rPr>
          <w:rFonts w:ascii="Arial" w:hAnsi="Arial" w:cs="Arial"/>
          <w:szCs w:val="24"/>
        </w:rPr>
        <w:t>Rosenau</w:t>
      </w:r>
      <w:proofErr w:type="spellEnd"/>
      <w:r w:rsidR="00E27E9E" w:rsidRPr="00471859">
        <w:rPr>
          <w:rFonts w:ascii="Arial" w:hAnsi="Arial" w:cs="Arial"/>
          <w:szCs w:val="24"/>
        </w:rPr>
        <w:t xml:space="preserve"> </w:t>
      </w:r>
      <w:proofErr w:type="spellStart"/>
      <w:r w:rsidRPr="00471859">
        <w:rPr>
          <w:rFonts w:ascii="Arial" w:hAnsi="Arial" w:cs="Arial"/>
          <w:szCs w:val="24"/>
          <w:vertAlign w:val="superscript"/>
        </w:rPr>
        <w:t>a</w:t>
      </w:r>
      <w:r w:rsidR="00E27E9E" w:rsidRPr="00471859">
        <w:rPr>
          <w:rFonts w:ascii="Arial" w:hAnsi="Arial" w:cs="Arial"/>
          <w:szCs w:val="24"/>
          <w:vertAlign w:val="superscript"/>
        </w:rPr>
        <w:t>,c</w:t>
      </w:r>
      <w:proofErr w:type="spellEnd"/>
      <w:r w:rsidRPr="00471859">
        <w:rPr>
          <w:rFonts w:ascii="Arial" w:hAnsi="Arial" w:cs="Arial"/>
          <w:szCs w:val="24"/>
          <w:vertAlign w:val="superscript"/>
        </w:rPr>
        <w:t>*</w:t>
      </w:r>
    </w:p>
    <w:p w14:paraId="24A3812C" w14:textId="77777777" w:rsidR="00166F4B" w:rsidRPr="00471859" w:rsidRDefault="00166F4B" w:rsidP="00166F4B">
      <w:pPr>
        <w:pStyle w:val="names"/>
        <w:spacing w:line="480" w:lineRule="auto"/>
        <w:jc w:val="both"/>
        <w:rPr>
          <w:rFonts w:ascii="Arial" w:hAnsi="Arial" w:cs="Arial"/>
          <w:szCs w:val="24"/>
        </w:rPr>
      </w:pPr>
    </w:p>
    <w:p w14:paraId="2F9F2DEE" w14:textId="77777777" w:rsidR="00166F4B" w:rsidRPr="00471859" w:rsidRDefault="00166F4B" w:rsidP="00166F4B">
      <w:pPr>
        <w:pStyle w:val="BCAuthorAddress"/>
        <w:jc w:val="left"/>
      </w:pPr>
      <w:r w:rsidRPr="00471859">
        <w:rPr>
          <w:rFonts w:ascii="Arial" w:hAnsi="Arial" w:cs="Arial"/>
          <w:szCs w:val="24"/>
          <w:vertAlign w:val="superscript"/>
        </w:rPr>
        <w:t>a</w:t>
      </w:r>
      <w:r w:rsidR="00937438" w:rsidRPr="00471859">
        <w:rPr>
          <w:rFonts w:ascii="Arial" w:hAnsi="Arial" w:cs="Arial"/>
          <w:szCs w:val="24"/>
          <w:vertAlign w:val="superscript"/>
        </w:rPr>
        <w:t xml:space="preserve"> </w:t>
      </w:r>
      <w:r w:rsidRPr="00471859">
        <w:rPr>
          <w:rFonts w:ascii="Arial" w:hAnsi="Arial" w:cs="Arial"/>
          <w:szCs w:val="24"/>
        </w:rPr>
        <w:t>University of Natural Resources and Life Sciences Vienna (BOKU), Department of Chemistry, Division of Chemistry of Renewable Resources, Konrad-Lorenz-</w:t>
      </w:r>
      <w:proofErr w:type="spellStart"/>
      <w:r w:rsidRPr="00471859">
        <w:rPr>
          <w:rFonts w:ascii="Arial" w:hAnsi="Arial" w:cs="Arial"/>
          <w:szCs w:val="24"/>
        </w:rPr>
        <w:t>Strasse</w:t>
      </w:r>
      <w:proofErr w:type="spellEnd"/>
      <w:r w:rsidRPr="00471859">
        <w:rPr>
          <w:rFonts w:ascii="Arial" w:hAnsi="Arial" w:cs="Arial"/>
          <w:szCs w:val="24"/>
        </w:rPr>
        <w:t xml:space="preserve"> 24, A-3430 </w:t>
      </w:r>
      <w:proofErr w:type="spellStart"/>
      <w:r w:rsidRPr="00471859">
        <w:rPr>
          <w:rFonts w:ascii="Arial" w:hAnsi="Arial" w:cs="Arial"/>
          <w:szCs w:val="24"/>
        </w:rPr>
        <w:t>Tulln</w:t>
      </w:r>
      <w:proofErr w:type="spellEnd"/>
      <w:r w:rsidRPr="00471859">
        <w:rPr>
          <w:rFonts w:ascii="Arial" w:hAnsi="Arial" w:cs="Arial"/>
          <w:szCs w:val="24"/>
        </w:rPr>
        <w:t xml:space="preserve">, Austria. </w:t>
      </w:r>
      <w:proofErr w:type="spellStart"/>
      <w:r w:rsidRPr="00471859">
        <w:rPr>
          <w:rFonts w:ascii="Arial" w:hAnsi="Arial" w:cs="Arial"/>
          <w:vertAlign w:val="superscript"/>
        </w:rPr>
        <w:t>b</w:t>
      </w:r>
      <w:r w:rsidRPr="00471859">
        <w:rPr>
          <w:rFonts w:ascii="Arial" w:hAnsi="Arial" w:cs="Arial"/>
        </w:rPr>
        <w:t>Lenzing</w:t>
      </w:r>
      <w:proofErr w:type="spellEnd"/>
      <w:r w:rsidRPr="00471859">
        <w:rPr>
          <w:rFonts w:ascii="Arial" w:hAnsi="Arial" w:cs="Arial"/>
        </w:rPr>
        <w:t xml:space="preserve"> AG, </w:t>
      </w:r>
      <w:proofErr w:type="spellStart"/>
      <w:r w:rsidRPr="00471859">
        <w:rPr>
          <w:rFonts w:ascii="Arial" w:hAnsi="Arial" w:cs="Arial"/>
        </w:rPr>
        <w:t>Werkstrasse</w:t>
      </w:r>
      <w:proofErr w:type="spellEnd"/>
      <w:r w:rsidRPr="00471859">
        <w:rPr>
          <w:rFonts w:ascii="Arial" w:hAnsi="Arial" w:cs="Arial"/>
        </w:rPr>
        <w:t xml:space="preserve"> 2, 4860 </w:t>
      </w:r>
      <w:proofErr w:type="spellStart"/>
      <w:r w:rsidRPr="00471859">
        <w:rPr>
          <w:rFonts w:ascii="Arial" w:hAnsi="Arial" w:cs="Arial"/>
        </w:rPr>
        <w:t>Lenzing</w:t>
      </w:r>
      <w:proofErr w:type="spellEnd"/>
      <w:r w:rsidRPr="00471859">
        <w:rPr>
          <w:rFonts w:ascii="Arial" w:hAnsi="Arial" w:cs="Arial"/>
        </w:rPr>
        <w:t>, Austria.</w:t>
      </w:r>
    </w:p>
    <w:p w14:paraId="4C9FDDF4" w14:textId="77777777" w:rsidR="00E27E9E" w:rsidRPr="00471859" w:rsidRDefault="00E27E9E" w:rsidP="00E27E9E">
      <w:pPr>
        <w:pStyle w:val="BCAuthorAddress"/>
        <w:jc w:val="both"/>
        <w:rPr>
          <w:rFonts w:ascii="Arial" w:hAnsi="Arial"/>
          <w:lang w:val="de-DE"/>
        </w:rPr>
      </w:pPr>
      <w:r w:rsidRPr="00471859">
        <w:rPr>
          <w:rFonts w:ascii="Arial" w:hAnsi="Arial"/>
          <w:vertAlign w:val="superscript"/>
          <w:lang w:val="de-DE"/>
        </w:rPr>
        <w:t xml:space="preserve">b </w:t>
      </w:r>
      <w:r w:rsidRPr="00471859">
        <w:rPr>
          <w:rFonts w:ascii="Arial" w:hAnsi="Arial"/>
          <w:lang w:val="de-DE"/>
        </w:rPr>
        <w:t>Lenzing AG, Werkstrasse 2, 4860 Lenzing, Austria</w:t>
      </w:r>
    </w:p>
    <w:p w14:paraId="08B1DF1A" w14:textId="55B09620" w:rsidR="00937438" w:rsidRPr="00471859" w:rsidRDefault="00E27E9E" w:rsidP="00E27E9E">
      <w:pPr>
        <w:pStyle w:val="BCAuthorAddress"/>
        <w:jc w:val="left"/>
        <w:rPr>
          <w:rFonts w:ascii="Arial" w:hAnsi="Arial"/>
        </w:rPr>
      </w:pPr>
      <w:r w:rsidRPr="00471859">
        <w:rPr>
          <w:rFonts w:ascii="Arial" w:hAnsi="Arial"/>
          <w:vertAlign w:val="superscript"/>
        </w:rPr>
        <w:t xml:space="preserve">c </w:t>
      </w:r>
      <w:r w:rsidRPr="00471859">
        <w:rPr>
          <w:rFonts w:ascii="Arial" w:hAnsi="Arial"/>
        </w:rPr>
        <w:t xml:space="preserve">Johan Gadolin Process Chemistry Centre, Åbo Akademi University, </w:t>
      </w:r>
      <w:r w:rsidRPr="00471859">
        <w:rPr>
          <w:rFonts w:ascii="Arial" w:hAnsi="Arial"/>
        </w:rPr>
        <w:br/>
        <w:t>Porthansgatan 3, Åbo/Turku FI-20500, Finland</w:t>
      </w:r>
    </w:p>
    <w:p w14:paraId="2AC8A18B" w14:textId="77777777" w:rsidR="00166F4B" w:rsidRPr="00471859" w:rsidRDefault="00166F4B" w:rsidP="00166F4B">
      <w:pPr>
        <w:spacing w:line="360" w:lineRule="auto"/>
        <w:rPr>
          <w:rFonts w:ascii="Arial" w:hAnsi="Arial" w:cs="Arial"/>
          <w:sz w:val="24"/>
          <w:szCs w:val="24"/>
        </w:rPr>
      </w:pPr>
      <w:r w:rsidRPr="00471859">
        <w:rPr>
          <w:rFonts w:ascii="Arial" w:hAnsi="Arial" w:cs="Arial"/>
          <w:sz w:val="24"/>
          <w:szCs w:val="24"/>
        </w:rPr>
        <w:br w:type="column"/>
      </w:r>
      <w:r w:rsidRPr="00471859">
        <w:rPr>
          <w:rFonts w:ascii="Arial" w:hAnsi="Arial" w:cs="Arial"/>
          <w:b/>
          <w:sz w:val="24"/>
          <w:szCs w:val="24"/>
        </w:rPr>
        <w:lastRenderedPageBreak/>
        <w:t>Table S1:</w:t>
      </w:r>
      <w:r w:rsidRPr="00471859">
        <w:rPr>
          <w:rFonts w:ascii="Arial" w:hAnsi="Arial" w:cs="Arial"/>
          <w:sz w:val="24"/>
          <w:szCs w:val="24"/>
        </w:rPr>
        <w:t xml:space="preserve"> List of </w:t>
      </w:r>
      <w:r w:rsidR="007F5974" w:rsidRPr="00471859">
        <w:rPr>
          <w:rFonts w:ascii="Arial" w:hAnsi="Arial" w:cs="Arial"/>
          <w:sz w:val="24"/>
          <w:szCs w:val="24"/>
        </w:rPr>
        <w:t xml:space="preserve">studied </w:t>
      </w:r>
      <w:r w:rsidRPr="00471859">
        <w:rPr>
          <w:rFonts w:ascii="Arial" w:hAnsi="Arial" w:cs="Arial"/>
          <w:sz w:val="24"/>
          <w:szCs w:val="24"/>
        </w:rPr>
        <w:t xml:space="preserve">additives </w:t>
      </w:r>
      <w:r w:rsidR="007F5974" w:rsidRPr="00471859">
        <w:rPr>
          <w:rFonts w:ascii="Arial" w:hAnsi="Arial" w:cs="Arial"/>
          <w:sz w:val="24"/>
          <w:szCs w:val="24"/>
        </w:rPr>
        <w:t>to increase the redispersibility of oven-dried cellulose II gel.</w:t>
      </w:r>
      <w:r w:rsidRPr="00471859">
        <w:rPr>
          <w:rFonts w:ascii="Arial" w:hAnsi="Arial" w:cs="Arial"/>
          <w:sz w:val="24"/>
          <w:szCs w:val="24"/>
        </w:rPr>
        <w:t xml:space="preserve"> </w:t>
      </w:r>
      <w:r w:rsidR="007F5974" w:rsidRPr="00471859">
        <w:rPr>
          <w:rFonts w:ascii="Arial" w:hAnsi="Arial" w:cs="Arial"/>
          <w:sz w:val="24"/>
          <w:szCs w:val="24"/>
        </w:rPr>
        <w:t xml:space="preserve">After consideration of the colloidal stability and WRV of the respective redispersed samples, a pre-selection (highlighted in yellow) was chosen for </w:t>
      </w:r>
      <w:r w:rsidR="00937438" w:rsidRPr="00471859">
        <w:rPr>
          <w:rFonts w:ascii="Arial" w:hAnsi="Arial" w:cs="Arial"/>
          <w:sz w:val="24"/>
          <w:szCs w:val="24"/>
        </w:rPr>
        <w:t xml:space="preserve">more </w:t>
      </w:r>
      <w:r w:rsidR="007F5974" w:rsidRPr="00471859">
        <w:rPr>
          <w:rFonts w:ascii="Arial" w:hAnsi="Arial" w:cs="Arial"/>
          <w:sz w:val="24"/>
          <w:szCs w:val="24"/>
        </w:rPr>
        <w:t>detailed stud</w:t>
      </w:r>
      <w:r w:rsidR="00937438" w:rsidRPr="00471859">
        <w:rPr>
          <w:rFonts w:ascii="Arial" w:hAnsi="Arial" w:cs="Arial"/>
          <w:sz w:val="24"/>
          <w:szCs w:val="24"/>
        </w:rPr>
        <w:t>ies</w:t>
      </w:r>
      <w:r w:rsidR="007F5974" w:rsidRPr="00471859">
        <w:rPr>
          <w:rFonts w:ascii="Arial" w:hAnsi="Arial" w:cs="Arial"/>
          <w:sz w:val="24"/>
          <w:szCs w:val="24"/>
        </w:rPr>
        <w:t xml:space="preserve">. </w:t>
      </w:r>
      <w:r w:rsidR="00937438" w:rsidRPr="00471859">
        <w:rPr>
          <w:rFonts w:ascii="Arial" w:hAnsi="Arial" w:cs="Arial"/>
          <w:sz w:val="24"/>
          <w:szCs w:val="24"/>
        </w:rPr>
        <w:t xml:space="preserve">Literature examples of additives </w:t>
      </w:r>
      <w:r w:rsidR="007F5974" w:rsidRPr="00471859">
        <w:rPr>
          <w:rFonts w:ascii="Arial" w:hAnsi="Arial" w:cs="Arial"/>
          <w:sz w:val="24"/>
          <w:szCs w:val="24"/>
        </w:rPr>
        <w:t xml:space="preserve">to reduce hornification of other cellulosic materials are listed as well. </w:t>
      </w:r>
    </w:p>
    <w:tbl>
      <w:tblPr>
        <w:tblW w:w="9072" w:type="dxa"/>
        <w:shd w:val="clear" w:color="auto" w:fill="FFFFFF" w:themeFill="background1"/>
        <w:tblCellMar>
          <w:left w:w="70" w:type="dxa"/>
          <w:right w:w="70" w:type="dxa"/>
        </w:tblCellMar>
        <w:tblLook w:val="04A0" w:firstRow="1" w:lastRow="0" w:firstColumn="1" w:lastColumn="0" w:noHBand="0" w:noVBand="1"/>
      </w:tblPr>
      <w:tblGrid>
        <w:gridCol w:w="4111"/>
        <w:gridCol w:w="992"/>
        <w:gridCol w:w="1560"/>
        <w:gridCol w:w="2409"/>
      </w:tblGrid>
      <w:tr w:rsidR="007F5974" w:rsidRPr="00471859" w14:paraId="67F3389F" w14:textId="77777777" w:rsidTr="007F5974">
        <w:trPr>
          <w:trHeight w:val="147"/>
        </w:trPr>
        <w:tc>
          <w:tcPr>
            <w:tcW w:w="4111" w:type="dxa"/>
            <w:tcBorders>
              <w:top w:val="single" w:sz="4" w:space="0" w:color="auto"/>
              <w:bottom w:val="single" w:sz="12" w:space="0" w:color="auto"/>
            </w:tcBorders>
            <w:shd w:val="clear" w:color="auto" w:fill="FFFFFF" w:themeFill="background1"/>
            <w:noWrap/>
            <w:vAlign w:val="center"/>
            <w:hideMark/>
          </w:tcPr>
          <w:p w14:paraId="6DEA14B4" w14:textId="77777777" w:rsidR="007F5974" w:rsidRPr="00471859" w:rsidRDefault="007F5974" w:rsidP="007F5974">
            <w:pPr>
              <w:spacing w:after="0" w:line="240" w:lineRule="auto"/>
              <w:rPr>
                <w:rFonts w:ascii="Arial" w:eastAsia="Times New Roman" w:hAnsi="Arial" w:cs="Arial"/>
                <w:bCs/>
                <w:color w:val="000000"/>
                <w:sz w:val="24"/>
                <w:szCs w:val="24"/>
                <w:lang w:val="de-DE" w:eastAsia="de-DE"/>
              </w:rPr>
            </w:pPr>
            <w:r w:rsidRPr="00471859">
              <w:rPr>
                <w:rFonts w:ascii="Arial" w:eastAsia="Times New Roman" w:hAnsi="Arial" w:cs="Arial"/>
                <w:bCs/>
                <w:color w:val="000000"/>
                <w:sz w:val="24"/>
                <w:szCs w:val="24"/>
                <w:lang w:val="de-DE" w:eastAsia="de-DE"/>
              </w:rPr>
              <w:t>Additive</w:t>
            </w:r>
          </w:p>
        </w:tc>
        <w:tc>
          <w:tcPr>
            <w:tcW w:w="992" w:type="dxa"/>
            <w:tcBorders>
              <w:top w:val="single" w:sz="4" w:space="0" w:color="auto"/>
              <w:bottom w:val="single" w:sz="12" w:space="0" w:color="auto"/>
            </w:tcBorders>
            <w:shd w:val="clear" w:color="auto" w:fill="FFFFFF" w:themeFill="background1"/>
            <w:noWrap/>
            <w:vAlign w:val="center"/>
            <w:hideMark/>
          </w:tcPr>
          <w:p w14:paraId="48293AF8" w14:textId="77777777" w:rsidR="007F5974" w:rsidRPr="00471859" w:rsidRDefault="007F5974" w:rsidP="007F5974">
            <w:pPr>
              <w:spacing w:after="0" w:line="240" w:lineRule="auto"/>
              <w:rPr>
                <w:rFonts w:ascii="Arial" w:eastAsia="Times New Roman" w:hAnsi="Arial" w:cs="Arial"/>
                <w:bCs/>
                <w:color w:val="000000"/>
                <w:sz w:val="24"/>
                <w:szCs w:val="24"/>
                <w:lang w:val="de-DE" w:eastAsia="de-DE"/>
              </w:rPr>
            </w:pPr>
            <w:proofErr w:type="spellStart"/>
            <w:r w:rsidRPr="00471859">
              <w:rPr>
                <w:rFonts w:ascii="Arial" w:eastAsia="Times New Roman" w:hAnsi="Arial" w:cs="Arial"/>
                <w:bCs/>
                <w:color w:val="000000"/>
                <w:sz w:val="24"/>
                <w:szCs w:val="24"/>
                <w:lang w:val="de-DE" w:eastAsia="de-DE"/>
              </w:rPr>
              <w:t>Purity</w:t>
            </w:r>
            <w:proofErr w:type="spellEnd"/>
          </w:p>
        </w:tc>
        <w:tc>
          <w:tcPr>
            <w:tcW w:w="1560" w:type="dxa"/>
            <w:tcBorders>
              <w:top w:val="single" w:sz="4" w:space="0" w:color="auto"/>
              <w:bottom w:val="single" w:sz="12" w:space="0" w:color="auto"/>
            </w:tcBorders>
            <w:shd w:val="clear" w:color="auto" w:fill="FFFFFF" w:themeFill="background1"/>
            <w:noWrap/>
            <w:vAlign w:val="center"/>
            <w:hideMark/>
          </w:tcPr>
          <w:p w14:paraId="70C8266A" w14:textId="77777777" w:rsidR="007F5974" w:rsidRPr="00471859" w:rsidRDefault="007F5974" w:rsidP="007F5974">
            <w:pPr>
              <w:spacing w:after="0" w:line="240" w:lineRule="auto"/>
              <w:rPr>
                <w:rFonts w:ascii="Arial" w:eastAsia="Times New Roman" w:hAnsi="Arial" w:cs="Arial"/>
                <w:bCs/>
                <w:color w:val="000000"/>
                <w:sz w:val="24"/>
                <w:szCs w:val="24"/>
                <w:lang w:val="de-DE" w:eastAsia="de-DE"/>
              </w:rPr>
            </w:pPr>
            <w:proofErr w:type="spellStart"/>
            <w:r w:rsidRPr="00471859">
              <w:rPr>
                <w:rFonts w:ascii="Arial" w:eastAsia="Times New Roman" w:hAnsi="Arial" w:cs="Arial"/>
                <w:bCs/>
                <w:color w:val="000000"/>
                <w:sz w:val="24"/>
                <w:szCs w:val="24"/>
                <w:lang w:val="de-DE" w:eastAsia="de-DE"/>
              </w:rPr>
              <w:t>Supplier</w:t>
            </w:r>
            <w:proofErr w:type="spellEnd"/>
          </w:p>
        </w:tc>
        <w:tc>
          <w:tcPr>
            <w:tcW w:w="2409" w:type="dxa"/>
            <w:tcBorders>
              <w:top w:val="single" w:sz="4" w:space="0" w:color="auto"/>
              <w:bottom w:val="single" w:sz="12" w:space="0" w:color="auto"/>
            </w:tcBorders>
            <w:shd w:val="clear" w:color="auto" w:fill="FFFFFF" w:themeFill="background1"/>
            <w:vAlign w:val="center"/>
          </w:tcPr>
          <w:p w14:paraId="4976A70B" w14:textId="77777777" w:rsidR="007F5974" w:rsidRPr="00471859" w:rsidRDefault="007F5974" w:rsidP="007F5974">
            <w:pPr>
              <w:spacing w:after="0" w:line="240" w:lineRule="auto"/>
              <w:rPr>
                <w:rFonts w:ascii="Arial" w:eastAsia="Times New Roman" w:hAnsi="Arial" w:cs="Arial"/>
                <w:bCs/>
                <w:color w:val="000000"/>
                <w:sz w:val="24"/>
                <w:szCs w:val="24"/>
                <w:lang w:val="de-DE" w:eastAsia="de-DE"/>
              </w:rPr>
            </w:pPr>
            <w:proofErr w:type="spellStart"/>
            <w:r w:rsidRPr="00471859">
              <w:rPr>
                <w:rFonts w:ascii="Arial" w:eastAsia="Times New Roman" w:hAnsi="Arial" w:cs="Arial"/>
                <w:bCs/>
                <w:color w:val="000000"/>
                <w:sz w:val="24"/>
                <w:szCs w:val="24"/>
                <w:lang w:val="de-DE" w:eastAsia="de-DE"/>
              </w:rPr>
              <w:t>Literature</w:t>
            </w:r>
            <w:proofErr w:type="spellEnd"/>
          </w:p>
        </w:tc>
      </w:tr>
      <w:tr w:rsidR="007F5974" w:rsidRPr="00471859" w14:paraId="182A45CD" w14:textId="77777777" w:rsidTr="007F5974">
        <w:trPr>
          <w:trHeight w:val="288"/>
        </w:trPr>
        <w:tc>
          <w:tcPr>
            <w:tcW w:w="4111" w:type="dxa"/>
            <w:tcBorders>
              <w:top w:val="single" w:sz="12" w:space="0" w:color="auto"/>
            </w:tcBorders>
            <w:shd w:val="clear" w:color="auto" w:fill="FFFFFF" w:themeFill="background1"/>
            <w:noWrap/>
            <w:vAlign w:val="center"/>
            <w:hideMark/>
          </w:tcPr>
          <w:p w14:paraId="78D00D9D"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D-(+)-Glucose</w:t>
            </w:r>
          </w:p>
        </w:tc>
        <w:tc>
          <w:tcPr>
            <w:tcW w:w="992" w:type="dxa"/>
            <w:tcBorders>
              <w:top w:val="single" w:sz="12" w:space="0" w:color="auto"/>
            </w:tcBorders>
            <w:shd w:val="clear" w:color="auto" w:fill="FFFFFF" w:themeFill="background1"/>
            <w:noWrap/>
            <w:vAlign w:val="center"/>
            <w:hideMark/>
          </w:tcPr>
          <w:p w14:paraId="60A748C7"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         </w:t>
            </w:r>
          </w:p>
        </w:tc>
        <w:tc>
          <w:tcPr>
            <w:tcW w:w="1560" w:type="dxa"/>
            <w:tcBorders>
              <w:top w:val="single" w:sz="12" w:space="0" w:color="auto"/>
            </w:tcBorders>
            <w:shd w:val="clear" w:color="auto" w:fill="FFFFFF" w:themeFill="background1"/>
            <w:noWrap/>
            <w:vAlign w:val="center"/>
            <w:hideMark/>
          </w:tcPr>
          <w:p w14:paraId="0C9FE72B"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proofErr w:type="spellStart"/>
            <w:r w:rsidRPr="00471859">
              <w:rPr>
                <w:rFonts w:ascii="Arial" w:eastAsia="Times New Roman" w:hAnsi="Arial" w:cs="Arial"/>
                <w:bCs/>
                <w:color w:val="000000"/>
                <w:sz w:val="20"/>
                <w:szCs w:val="20"/>
                <w:lang w:val="de-DE" w:eastAsia="de-DE"/>
              </w:rPr>
              <w:t>Fluka</w:t>
            </w:r>
            <w:proofErr w:type="spellEnd"/>
          </w:p>
        </w:tc>
        <w:tc>
          <w:tcPr>
            <w:tcW w:w="2409" w:type="dxa"/>
            <w:tcBorders>
              <w:top w:val="single" w:sz="12" w:space="0" w:color="auto"/>
            </w:tcBorders>
            <w:shd w:val="clear" w:color="auto" w:fill="FFFFFF" w:themeFill="background1"/>
            <w:vAlign w:val="center"/>
          </w:tcPr>
          <w:p w14:paraId="6D740D2C" w14:textId="77777777" w:rsidR="007F5974" w:rsidRPr="00471859" w:rsidRDefault="007F5974" w:rsidP="00881ECF">
            <w:pPr>
              <w:spacing w:after="0" w:line="240" w:lineRule="auto"/>
              <w:rPr>
                <w:sz w:val="14"/>
                <w:lang w:val="de-DE"/>
              </w:rPr>
            </w:pPr>
            <w:r w:rsidRPr="00471859">
              <w:rPr>
                <w:sz w:val="14"/>
              </w:rPr>
              <w:fldChar w:fldCharType="begin"/>
            </w:r>
            <w:r w:rsidRPr="00471859">
              <w:rPr>
                <w:sz w:val="14"/>
                <w:lang w:val="de-DE"/>
              </w:rPr>
              <w:instrText xml:space="preserve"> ADDIN ZOTERO_ITEM CSL_CITATION {"citationID":"26mqcsur7f","properties":{"formattedCitation":"{\\rtf (Zhang et al. 2004; M\\uc0\\u252{}ller et al. 2014)}","plainCitation":"(Zhang et al. 2004; Müller et al. 2014)"},"citationItems":[{"id":2828,"uris":["http://zotero.org/users/1099718/items/2Z5PGJSJ"],"uri":["http://zotero.org/users/1099718/items/2Z5PGJSJ"],"itemData":{"id":2828,"type":"article-journal","title":"Effects of Sugar Addition Before Drying on Wet-Flexibility of Redispersed Kraft Fibers","container-title":"J. Pulp Paper Sci.","page":"29-34","volume":"30","issue":"1","author":[{"family":"Zhang","given":"Min"},{"family":"Hubbe","given":"Martin A."},{"family":"Venditti","given":"Richard A."},{"family":"Heitmann","given":"John A."}],"issued":{"date-parts":[["2004"]]}}},{"id":2350,"uris":["http://zotero.org/users/1099718/items/QPNWHAKN"],"uri":["http://zotero.org/users/1099718/items/QPNWHAKN"],"itemData":{"id":2350,"type":"article-journal","title":"Bacterial nanocellulose with a shape-memory effect as potential drug delivery system","container-title":"RSC Adv.","page":"57173-57184","volume":"4","issue":"100","source":"CrossRef","DOI":"10.1039/C4RA09898F","ISSN":"2046-2069","language":"en","author":[{"family":"Müller","given":"Astrid"},{"family":"Zink","given":"Matthias"},{"family":"Hessler","given":"Nadine"},{"family":"Wesarg","given":"Falko"},{"family":"Müller","given":"Frank A."},{"family":"Kralisch","given":"Dana"},{"family":"Fischer","given":"Dagmar"}],"issued":{"date-parts":[["2014",10,27]]}}}],"schema":"https://github.com/citation-style-language/schema/raw/master/csl-citation.json"} </w:instrText>
            </w:r>
            <w:r w:rsidRPr="00471859">
              <w:rPr>
                <w:sz w:val="14"/>
              </w:rPr>
              <w:fldChar w:fldCharType="separate"/>
            </w:r>
            <w:r w:rsidR="00881ECF" w:rsidRPr="00471859">
              <w:rPr>
                <w:rFonts w:ascii="Calibri" w:hAnsi="Calibri" w:cs="Times New Roman"/>
                <w:sz w:val="14"/>
                <w:szCs w:val="24"/>
                <w:lang w:val="de-AT"/>
              </w:rPr>
              <w:t>(Zhang et al. 2004; Müller et al. 2014)</w:t>
            </w:r>
            <w:r w:rsidRPr="00471859">
              <w:rPr>
                <w:sz w:val="14"/>
              </w:rPr>
              <w:fldChar w:fldCharType="end"/>
            </w:r>
          </w:p>
        </w:tc>
      </w:tr>
      <w:tr w:rsidR="007F5974" w:rsidRPr="00471859" w14:paraId="38B17C09" w14:textId="77777777" w:rsidTr="007F5974">
        <w:trPr>
          <w:trHeight w:val="288"/>
        </w:trPr>
        <w:tc>
          <w:tcPr>
            <w:tcW w:w="4111" w:type="dxa"/>
            <w:shd w:val="clear" w:color="auto" w:fill="FFFF00"/>
            <w:noWrap/>
            <w:vAlign w:val="center"/>
            <w:hideMark/>
          </w:tcPr>
          <w:p w14:paraId="28C483D8"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D(+)-Saccharose</w:t>
            </w:r>
          </w:p>
        </w:tc>
        <w:tc>
          <w:tcPr>
            <w:tcW w:w="992" w:type="dxa"/>
            <w:shd w:val="clear" w:color="auto" w:fill="FFFF00"/>
            <w:noWrap/>
            <w:vAlign w:val="center"/>
            <w:hideMark/>
          </w:tcPr>
          <w:p w14:paraId="1602BC0E"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99.5 %</w:t>
            </w:r>
          </w:p>
        </w:tc>
        <w:tc>
          <w:tcPr>
            <w:tcW w:w="1560" w:type="dxa"/>
            <w:shd w:val="clear" w:color="auto" w:fill="FFFF00"/>
            <w:noWrap/>
            <w:vAlign w:val="center"/>
            <w:hideMark/>
          </w:tcPr>
          <w:p w14:paraId="01F51C9D"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Roth</w:t>
            </w:r>
          </w:p>
        </w:tc>
        <w:tc>
          <w:tcPr>
            <w:tcW w:w="2409" w:type="dxa"/>
            <w:shd w:val="clear" w:color="auto" w:fill="FFFF00"/>
            <w:vAlign w:val="center"/>
          </w:tcPr>
          <w:p w14:paraId="33575700" w14:textId="77777777" w:rsidR="007F5974" w:rsidRPr="00471859" w:rsidRDefault="007F5974" w:rsidP="00881ECF">
            <w:pPr>
              <w:spacing w:after="0" w:line="240" w:lineRule="auto"/>
              <w:rPr>
                <w:sz w:val="14"/>
                <w:lang w:val="de-DE"/>
              </w:rPr>
            </w:pPr>
            <w:r w:rsidRPr="00471859">
              <w:rPr>
                <w:sz w:val="14"/>
              </w:rPr>
              <w:fldChar w:fldCharType="begin"/>
            </w:r>
            <w:r w:rsidRPr="00471859">
              <w:rPr>
                <w:sz w:val="14"/>
                <w:lang w:val="de-DE"/>
              </w:rPr>
              <w:instrText xml:space="preserve"> ADDIN ZOTERO_ITEM CSL_CITATION {"citationID":"2BUOdLPl","properties":{"formattedCitation":"{\\rtf (Zhang et al. 2004; M\\uc0\\u252{}ller et al. 2014)}","plainCitation":"(Zhang et al. 2004; Müller et al. 2014)"},"citationItems":[{"id":2828,"uris":["http://zotero.org/users/1099718/items/2Z5PGJSJ"],"uri":["http://zotero.org/users/1099718/items/2Z5PGJSJ"],"itemData":{"id":2828,"type":"article-journal","title":"Effects of Sugar Addition Before Drying on Wet-Flexibility of Redispersed Kraft Fibers","container-title":"J. Pulp Paper Sci.","page":"29-34","volume":"30","issue":"1","author":[{"family":"Zhang","given":"Min"},{"family":"Hubbe","given":"Martin A."},{"family":"Venditti","given":"Richard A."},{"family":"Heitmann","given":"John A."}],"issued":{"date-parts":[["2004"]]}}},{"id":2350,"uris":["http://zotero.org/users/1099718/items/QPNWHAKN"],"uri":["http://zotero.org/users/1099718/items/QPNWHAKN"],"itemData":{"id":2350,"type":"article-journal","title":"Bacterial nanocellulose with a shape-memory effect as potential drug delivery system","container-title":"RSC Adv.","page":"57173-57184","volume":"4","issue":"100","source":"CrossRef","DOI":"10.1039/C4RA09898F","ISSN":"2046-2069","language":"en","author":[{"family":"Müller","given":"Astrid"},{"family":"Zink","given":"Matthias"},{"family":"Hessler","given":"Nadine"},{"family":"Wesarg","given":"Falko"},{"family":"Müller","given":"Frank A."},{"family":"Kralisch","given":"Dana"},{"family":"Fischer","given":"Dagmar"}],"issued":{"date-parts":[["2014",10,27]]}}}],"schema":"https://github.com/citation-style-language/schema/raw/master/csl-citation.json"} </w:instrText>
            </w:r>
            <w:r w:rsidRPr="00471859">
              <w:rPr>
                <w:sz w:val="14"/>
              </w:rPr>
              <w:fldChar w:fldCharType="separate"/>
            </w:r>
            <w:r w:rsidR="00881ECF" w:rsidRPr="00471859">
              <w:rPr>
                <w:rFonts w:ascii="Calibri" w:hAnsi="Calibri" w:cs="Times New Roman"/>
                <w:sz w:val="14"/>
                <w:szCs w:val="24"/>
                <w:lang w:val="de-AT"/>
              </w:rPr>
              <w:t>(Zhang et al. 2004; Müller et al. 2014)</w:t>
            </w:r>
            <w:r w:rsidRPr="00471859">
              <w:rPr>
                <w:sz w:val="14"/>
              </w:rPr>
              <w:fldChar w:fldCharType="end"/>
            </w:r>
          </w:p>
        </w:tc>
      </w:tr>
      <w:tr w:rsidR="007F5974" w:rsidRPr="00471859" w14:paraId="45D0617F" w14:textId="77777777" w:rsidTr="007F5974">
        <w:trPr>
          <w:trHeight w:val="288"/>
        </w:trPr>
        <w:tc>
          <w:tcPr>
            <w:tcW w:w="4111" w:type="dxa"/>
            <w:shd w:val="clear" w:color="auto" w:fill="FFFFFF" w:themeFill="background1"/>
            <w:noWrap/>
            <w:vAlign w:val="center"/>
            <w:hideMark/>
          </w:tcPr>
          <w:p w14:paraId="0BF0385E"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proofErr w:type="spellStart"/>
            <w:r w:rsidRPr="00471859">
              <w:rPr>
                <w:rFonts w:ascii="Arial" w:eastAsia="Times New Roman" w:hAnsi="Arial" w:cs="Arial"/>
                <w:bCs/>
                <w:color w:val="000000"/>
                <w:sz w:val="20"/>
                <w:szCs w:val="20"/>
                <w:lang w:val="de-DE" w:eastAsia="de-DE"/>
              </w:rPr>
              <w:t>Alginic</w:t>
            </w:r>
            <w:proofErr w:type="spellEnd"/>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acid</w:t>
            </w:r>
            <w:proofErr w:type="spellEnd"/>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sodium</w:t>
            </w:r>
            <w:proofErr w:type="spellEnd"/>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salt</w:t>
            </w:r>
            <w:proofErr w:type="spellEnd"/>
            <w:r w:rsidRPr="00471859">
              <w:rPr>
                <w:rFonts w:ascii="Arial" w:eastAsia="Times New Roman" w:hAnsi="Arial" w:cs="Arial"/>
                <w:bCs/>
                <w:color w:val="000000"/>
                <w:sz w:val="20"/>
                <w:szCs w:val="20"/>
                <w:lang w:val="de-DE" w:eastAsia="de-DE"/>
              </w:rPr>
              <w:t xml:space="preserve"> </w:t>
            </w:r>
          </w:p>
        </w:tc>
        <w:tc>
          <w:tcPr>
            <w:tcW w:w="992" w:type="dxa"/>
            <w:shd w:val="clear" w:color="auto" w:fill="FFFFFF" w:themeFill="background1"/>
            <w:noWrap/>
            <w:vAlign w:val="center"/>
            <w:hideMark/>
          </w:tcPr>
          <w:p w14:paraId="19AF327C"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FF" w:themeFill="background1"/>
            <w:noWrap/>
            <w:vAlign w:val="center"/>
            <w:hideMark/>
          </w:tcPr>
          <w:p w14:paraId="71308BB2"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6E6C24E5"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6B413FBE" w14:textId="77777777" w:rsidTr="007F5974">
        <w:trPr>
          <w:trHeight w:val="288"/>
        </w:trPr>
        <w:tc>
          <w:tcPr>
            <w:tcW w:w="4111" w:type="dxa"/>
            <w:shd w:val="clear" w:color="auto" w:fill="FFFFFF" w:themeFill="background1"/>
            <w:noWrap/>
            <w:vAlign w:val="center"/>
            <w:hideMark/>
          </w:tcPr>
          <w:p w14:paraId="66392C29"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proofErr w:type="spellStart"/>
            <w:r w:rsidRPr="00471859">
              <w:rPr>
                <w:rFonts w:ascii="Arial" w:eastAsia="Times New Roman" w:hAnsi="Arial" w:cs="Arial"/>
                <w:bCs/>
                <w:color w:val="000000"/>
                <w:sz w:val="20"/>
                <w:szCs w:val="20"/>
                <w:lang w:val="de-DE" w:eastAsia="de-DE"/>
              </w:rPr>
              <w:t>Starch</w:t>
            </w:r>
            <w:proofErr w:type="spellEnd"/>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from</w:t>
            </w:r>
            <w:proofErr w:type="spellEnd"/>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potato</w:t>
            </w:r>
            <w:proofErr w:type="spellEnd"/>
          </w:p>
        </w:tc>
        <w:tc>
          <w:tcPr>
            <w:tcW w:w="992" w:type="dxa"/>
            <w:shd w:val="clear" w:color="auto" w:fill="FFFFFF" w:themeFill="background1"/>
            <w:noWrap/>
            <w:vAlign w:val="center"/>
            <w:hideMark/>
          </w:tcPr>
          <w:p w14:paraId="3A6017BB"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FF" w:themeFill="background1"/>
            <w:noWrap/>
            <w:vAlign w:val="center"/>
            <w:hideMark/>
          </w:tcPr>
          <w:p w14:paraId="137B3DEC"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7A034A2B"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6DB45FCE" w14:textId="77777777" w:rsidTr="007F5974">
        <w:trPr>
          <w:trHeight w:val="288"/>
        </w:trPr>
        <w:tc>
          <w:tcPr>
            <w:tcW w:w="4111" w:type="dxa"/>
            <w:shd w:val="clear" w:color="auto" w:fill="FFFFFF" w:themeFill="background1"/>
            <w:noWrap/>
            <w:vAlign w:val="center"/>
            <w:hideMark/>
          </w:tcPr>
          <w:p w14:paraId="41373A0F"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Cellulose </w:t>
            </w:r>
            <w:proofErr w:type="spellStart"/>
            <w:r w:rsidRPr="00471859">
              <w:rPr>
                <w:rFonts w:ascii="Arial" w:eastAsia="Times New Roman" w:hAnsi="Arial" w:cs="Arial"/>
                <w:bCs/>
                <w:color w:val="000000"/>
                <w:sz w:val="20"/>
                <w:szCs w:val="20"/>
                <w:lang w:val="de-DE" w:eastAsia="de-DE"/>
              </w:rPr>
              <w:t>acetate</w:t>
            </w:r>
            <w:proofErr w:type="spellEnd"/>
          </w:p>
        </w:tc>
        <w:tc>
          <w:tcPr>
            <w:tcW w:w="992" w:type="dxa"/>
            <w:shd w:val="clear" w:color="auto" w:fill="FFFFFF" w:themeFill="background1"/>
            <w:noWrap/>
            <w:vAlign w:val="center"/>
            <w:hideMark/>
          </w:tcPr>
          <w:p w14:paraId="7EBB29C9"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FF" w:themeFill="background1"/>
            <w:noWrap/>
            <w:vAlign w:val="center"/>
            <w:hideMark/>
          </w:tcPr>
          <w:p w14:paraId="6D3F0A24"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2674E650"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6EE7DDA0" w14:textId="77777777" w:rsidTr="007F5974">
        <w:trPr>
          <w:trHeight w:val="288"/>
        </w:trPr>
        <w:tc>
          <w:tcPr>
            <w:tcW w:w="4111" w:type="dxa"/>
            <w:shd w:val="clear" w:color="auto" w:fill="FFFF00"/>
            <w:noWrap/>
            <w:vAlign w:val="center"/>
            <w:hideMark/>
          </w:tcPr>
          <w:p w14:paraId="3BCC4C62"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Urea</w:t>
            </w:r>
          </w:p>
        </w:tc>
        <w:tc>
          <w:tcPr>
            <w:tcW w:w="992" w:type="dxa"/>
            <w:shd w:val="clear" w:color="auto" w:fill="FFFF00"/>
            <w:noWrap/>
            <w:vAlign w:val="center"/>
            <w:hideMark/>
          </w:tcPr>
          <w:p w14:paraId="279B30D5"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00"/>
            <w:noWrap/>
            <w:vAlign w:val="center"/>
            <w:hideMark/>
          </w:tcPr>
          <w:p w14:paraId="07AD1E12"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00"/>
            <w:vAlign w:val="center"/>
          </w:tcPr>
          <w:p w14:paraId="17673EFB"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6BF269F6" w14:textId="77777777" w:rsidTr="007F5974">
        <w:trPr>
          <w:trHeight w:val="288"/>
        </w:trPr>
        <w:tc>
          <w:tcPr>
            <w:tcW w:w="4111" w:type="dxa"/>
            <w:shd w:val="clear" w:color="auto" w:fill="FFFFFF" w:themeFill="background1"/>
            <w:noWrap/>
            <w:vAlign w:val="center"/>
            <w:hideMark/>
          </w:tcPr>
          <w:p w14:paraId="502E370A"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Methyl </w:t>
            </w:r>
            <w:proofErr w:type="spellStart"/>
            <w:r w:rsidRPr="00471859">
              <w:rPr>
                <w:rFonts w:ascii="Arial" w:eastAsia="Times New Roman" w:hAnsi="Arial" w:cs="Arial"/>
                <w:bCs/>
                <w:color w:val="000000"/>
                <w:sz w:val="20"/>
                <w:szCs w:val="20"/>
                <w:lang w:val="de-DE" w:eastAsia="de-DE"/>
              </w:rPr>
              <w:t>cellulose</w:t>
            </w:r>
            <w:proofErr w:type="spellEnd"/>
          </w:p>
        </w:tc>
        <w:tc>
          <w:tcPr>
            <w:tcW w:w="992" w:type="dxa"/>
            <w:shd w:val="clear" w:color="auto" w:fill="FFFFFF" w:themeFill="background1"/>
            <w:noWrap/>
            <w:vAlign w:val="center"/>
            <w:hideMark/>
          </w:tcPr>
          <w:p w14:paraId="18025479"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FF" w:themeFill="background1"/>
            <w:noWrap/>
            <w:vAlign w:val="center"/>
            <w:hideMark/>
          </w:tcPr>
          <w:p w14:paraId="2C6F77A1"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4B4D34E1"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072B0C78" w14:textId="77777777" w:rsidTr="007F5974">
        <w:trPr>
          <w:trHeight w:val="330"/>
        </w:trPr>
        <w:tc>
          <w:tcPr>
            <w:tcW w:w="4111" w:type="dxa"/>
            <w:shd w:val="clear" w:color="auto" w:fill="FFFFFF" w:themeFill="background1"/>
            <w:noWrap/>
            <w:vAlign w:val="center"/>
            <w:hideMark/>
          </w:tcPr>
          <w:p w14:paraId="4DD7F47C"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proofErr w:type="spellStart"/>
            <w:r w:rsidRPr="00471859">
              <w:rPr>
                <w:rFonts w:ascii="Arial" w:eastAsia="Times New Roman" w:hAnsi="Arial" w:cs="Arial"/>
                <w:bCs/>
                <w:color w:val="000000"/>
                <w:sz w:val="20"/>
                <w:szCs w:val="20"/>
                <w:lang w:val="en-US" w:eastAsia="de-DE"/>
              </w:rPr>
              <w:t>Carboxymethylcellulose</w:t>
            </w:r>
            <w:proofErr w:type="spellEnd"/>
            <w:r w:rsidRPr="00471859">
              <w:rPr>
                <w:rFonts w:ascii="Arial" w:eastAsia="Times New Roman" w:hAnsi="Arial" w:cs="Arial"/>
                <w:bCs/>
                <w:color w:val="000000"/>
                <w:sz w:val="20"/>
                <w:szCs w:val="20"/>
                <w:lang w:val="en-US" w:eastAsia="de-DE"/>
              </w:rPr>
              <w:t xml:space="preserve"> (CMC), DS 0.7</w:t>
            </w:r>
          </w:p>
        </w:tc>
        <w:tc>
          <w:tcPr>
            <w:tcW w:w="992" w:type="dxa"/>
            <w:shd w:val="clear" w:color="auto" w:fill="FFFFFF" w:themeFill="background1"/>
            <w:noWrap/>
            <w:vAlign w:val="center"/>
            <w:hideMark/>
          </w:tcPr>
          <w:p w14:paraId="70CB0519"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r w:rsidRPr="00471859">
              <w:rPr>
                <w:rFonts w:ascii="Arial" w:eastAsia="Times New Roman" w:hAnsi="Arial" w:cs="Arial"/>
                <w:bCs/>
                <w:color w:val="000000"/>
                <w:sz w:val="20"/>
                <w:szCs w:val="20"/>
                <w:lang w:val="en-US" w:eastAsia="de-DE"/>
              </w:rPr>
              <w:t> </w:t>
            </w:r>
          </w:p>
        </w:tc>
        <w:tc>
          <w:tcPr>
            <w:tcW w:w="1560" w:type="dxa"/>
            <w:shd w:val="clear" w:color="auto" w:fill="FFFFFF" w:themeFill="background1"/>
            <w:noWrap/>
            <w:vAlign w:val="center"/>
            <w:hideMark/>
          </w:tcPr>
          <w:p w14:paraId="378F77EF"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15F8DC60" w14:textId="77777777" w:rsidR="007F5974" w:rsidRPr="00471859" w:rsidRDefault="007F5974" w:rsidP="007F5974">
            <w:pPr>
              <w:spacing w:after="0" w:line="240" w:lineRule="auto"/>
              <w:rPr>
                <w:rFonts w:ascii="Arial" w:eastAsia="Times New Roman" w:hAnsi="Arial" w:cs="Arial"/>
                <w:bCs/>
                <w:color w:val="000000"/>
                <w:sz w:val="14"/>
                <w:szCs w:val="20"/>
                <w:lang w:val="en-US"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en-US" w:eastAsia="de-DE"/>
              </w:rPr>
              <w:instrText xml:space="preserve"> ADDIN ZOTERO_ITEM CSL_CITATION {"citationID":"1h5oia8tsu","properties":{"formattedCitation":"(Butchosa and Zhou 2014; Naderi et al. 2015)","plainCitation":"(Butchosa and Zhou 2014; Naderi et al. 2015)"},"citationItems":[{"id":1446,"uris":["http://zotero.org/users/1099718/items/JWB3RFZR"],"uri":["http://zotero.org/users/1099718/items/JWB3RFZR"],"itemData":{"id":1446,"type":"article-journal","title":"Water redispersible cellulose nanofibrils adsorbed with carboxymethyl cellulose","container-title":"Cellulose","page":"4349-4358","volume":"21","issue":"6","source":"CrossRef","DOI":"10.1007/s10570-014-0452-7","ISSN":"0969-0239, 1572-882X","language":"en","author":[{"family":"Butchosa","given":"Núria"},{"family":"Zhou","given":"Qi"}],"issued":{"date-parts":[["2014",12]]}}},{"id":1959,"uris":["http://zotero.org/users/1099718/items/6VP2D52G"],"uri":["http://zotero.org/users/1099718/items/6VP2D52G"],"itemData":{"id":1959,"type":"article-journal","title":"Can redispersible low-charged nanofibrillated cellulose be produced by the addition of carboxymethyl cellulose?","container-title":"Nordic Pulp &amp; Paper Research Journal","page":"568-77","volume":"30","issue":"4","abstract":"Carboxymethyl  cellulose  (CMC)  was \nadded  in  various  amounts  (&lt;  10%  (w/w))  to  a  lowcharged  (enzymatically  pre-treated)  NFC,  and  the suspensions were blended by either a low-shear propeller mixing-  or  high  shear  homogenization  protocol.  The suspensions  were  thereafter  oven-dried,  and  redispersed using a high shear protocol. It was found that the mixing method has a profound effect on the apparent rheology of the  never-dried systems. The addition of highly charged CMC-grades enabled, already at 1% (w/w) addition, the apparent  dispersion  of  dried  NFC.  The  rheological responses  (viscosity  and  storage  modulus)  of  the  neverdried  NFC-CMC  systems  were  judged  as  conserved, when  the  rheological  responses  of  the  redispersed systems  were  compared  with  those  of  never-dried systems that had been produced by propeller mixing. The rheological  responses  of the redispersed systems were on the other hand found to be  lower  when compared  to  the rheological responses of  the never-dried systems that had been  produced  by  high  shearing  mixing.  However,  the mechanical-  and  barrier  properties  of  the  redispersed systems  were  found  to  be  inferior  to  the  never-dried equivalents - regardless of the mixing protocol.","author":[{"family":"Naderi","given":"Ali"},{"family":"Lindström","given":"Tom"},{"family":"Sundström","given":"Jonas"},{"family":"Flodberg","given":"Göran"}],"issued":{"date-parts":[["2015"]]}}}],"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rPr>
              <w:t>(Butchosa and Zhou 2014; Naderi et al. 2015)</w:t>
            </w:r>
            <w:r w:rsidRPr="00471859">
              <w:rPr>
                <w:rFonts w:ascii="Arial" w:eastAsia="Times New Roman" w:hAnsi="Arial" w:cs="Arial"/>
                <w:bCs/>
                <w:color w:val="000000"/>
                <w:sz w:val="14"/>
                <w:szCs w:val="20"/>
                <w:lang w:val="de-DE" w:eastAsia="de-DE"/>
              </w:rPr>
              <w:fldChar w:fldCharType="end"/>
            </w:r>
          </w:p>
        </w:tc>
      </w:tr>
      <w:tr w:rsidR="007F5974" w:rsidRPr="00471859" w14:paraId="370082D8" w14:textId="77777777" w:rsidTr="007F5974">
        <w:trPr>
          <w:trHeight w:val="330"/>
        </w:trPr>
        <w:tc>
          <w:tcPr>
            <w:tcW w:w="4111" w:type="dxa"/>
            <w:shd w:val="clear" w:color="auto" w:fill="FFFFFF" w:themeFill="background1"/>
            <w:noWrap/>
            <w:vAlign w:val="center"/>
          </w:tcPr>
          <w:p w14:paraId="198A16E9"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r w:rsidRPr="00471859">
              <w:rPr>
                <w:rFonts w:ascii="Arial" w:eastAsia="Times New Roman" w:hAnsi="Arial" w:cs="Arial"/>
                <w:bCs/>
                <w:color w:val="000000"/>
                <w:sz w:val="20"/>
                <w:szCs w:val="20"/>
                <w:lang w:val="en-US" w:eastAsia="de-DE"/>
              </w:rPr>
              <w:t xml:space="preserve">CMC, </w:t>
            </w:r>
            <w:proofErr w:type="spellStart"/>
            <w:r w:rsidRPr="00471859">
              <w:rPr>
                <w:rFonts w:ascii="Arial" w:eastAsia="Times New Roman" w:hAnsi="Arial" w:cs="Arial"/>
                <w:bCs/>
                <w:color w:val="000000"/>
                <w:sz w:val="20"/>
                <w:szCs w:val="20"/>
                <w:lang w:val="en-US" w:eastAsia="de-DE"/>
              </w:rPr>
              <w:t>Walocel</w:t>
            </w:r>
            <w:proofErr w:type="spellEnd"/>
            <w:r w:rsidRPr="00471859">
              <w:rPr>
                <w:rFonts w:ascii="Arial" w:eastAsia="Times New Roman" w:hAnsi="Arial" w:cs="Arial"/>
                <w:bCs/>
                <w:color w:val="000000"/>
                <w:sz w:val="20"/>
                <w:szCs w:val="20"/>
                <w:lang w:val="en-US" w:eastAsia="de-DE"/>
              </w:rPr>
              <w:t xml:space="preserve"> CRT 2000 Pa, DS 0.82-0.95</w:t>
            </w:r>
          </w:p>
        </w:tc>
        <w:tc>
          <w:tcPr>
            <w:tcW w:w="992" w:type="dxa"/>
            <w:shd w:val="clear" w:color="auto" w:fill="FFFFFF" w:themeFill="background1"/>
            <w:noWrap/>
            <w:vAlign w:val="center"/>
          </w:tcPr>
          <w:p w14:paraId="619DAEC7"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p>
        </w:tc>
        <w:tc>
          <w:tcPr>
            <w:tcW w:w="1560" w:type="dxa"/>
            <w:shd w:val="clear" w:color="auto" w:fill="FFFFFF" w:themeFill="background1"/>
            <w:noWrap/>
            <w:vAlign w:val="center"/>
          </w:tcPr>
          <w:p w14:paraId="7946E2BA"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r w:rsidRPr="00471859">
              <w:rPr>
                <w:rFonts w:ascii="Arial" w:eastAsia="Times New Roman" w:hAnsi="Arial" w:cs="Arial"/>
                <w:bCs/>
                <w:color w:val="000000"/>
                <w:sz w:val="20"/>
                <w:szCs w:val="20"/>
                <w:lang w:val="en-US" w:eastAsia="de-DE"/>
              </w:rPr>
              <w:t xml:space="preserve">DuPont </w:t>
            </w:r>
            <w:proofErr w:type="spellStart"/>
            <w:r w:rsidRPr="00471859">
              <w:rPr>
                <w:rFonts w:ascii="Arial" w:eastAsia="Times New Roman" w:hAnsi="Arial" w:cs="Arial"/>
                <w:bCs/>
                <w:color w:val="000000"/>
                <w:sz w:val="20"/>
                <w:szCs w:val="20"/>
                <w:lang w:val="en-US" w:eastAsia="de-DE"/>
              </w:rPr>
              <w:t>Danisco</w:t>
            </w:r>
            <w:proofErr w:type="spellEnd"/>
          </w:p>
        </w:tc>
        <w:tc>
          <w:tcPr>
            <w:tcW w:w="2409" w:type="dxa"/>
            <w:shd w:val="clear" w:color="auto" w:fill="FFFFFF" w:themeFill="background1"/>
            <w:vAlign w:val="center"/>
          </w:tcPr>
          <w:p w14:paraId="2F7502FD" w14:textId="77777777" w:rsidR="007F5974" w:rsidRPr="00471859" w:rsidRDefault="007F5974" w:rsidP="007F5974">
            <w:pPr>
              <w:spacing w:after="0" w:line="240" w:lineRule="auto"/>
              <w:rPr>
                <w:rFonts w:ascii="Arial" w:eastAsia="Times New Roman" w:hAnsi="Arial" w:cs="Arial"/>
                <w:bCs/>
                <w:color w:val="000000"/>
                <w:sz w:val="14"/>
                <w:szCs w:val="20"/>
                <w:lang w:val="en-US"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en-US" w:eastAsia="de-DE"/>
              </w:rPr>
              <w:instrText xml:space="preserve"> ADDIN ZOTERO_ITEM CSL_CITATION {"citationID":"lTCMAH6n","properties":{"formattedCitation":"(Butchosa and Zhou 2014; Naderi et al. 2015)","plainCitation":"(Butchosa and Zhou 2014; Naderi et al. 2015)"},"citationItems":[{"id":1446,"uris":["http://zotero.org/users/1099718/items/JWB3RFZR"],"uri":["http://zotero.org/users/1099718/items/JWB3RFZR"],"itemData":{"id":1446,"type":"article-journal","title":"Water redispersible cellulose nanofibrils adsorbed with carboxymethyl cellulose","container-title":"Cellulose","page":"4349-4358","volume":"21","issue":"6","source":"CrossRef","DOI":"10.1007/s10570-014-0452-7","ISSN":"0969-0239, 1572-882X","language":"en","author":[{"family":"Butchosa","given":"Núria"},{"family":"Zhou","given":"Qi"}],"issued":{"date-parts":[["2014",12]]}}},{"id":1959,"uris":["http://zotero.org/users/1099718/items/6VP2D52G"],"uri":["http://zotero.org/users/1099718/items/6VP2D52G"],"itemData":{"id":1959,"type":"article-journal","title":"Can redispersible low-charged nanofibrillated cellulose be produced by the addition of carboxymethyl cellulose?","container-title":"Nordic Pulp &amp; Paper Research Journal","page":"568-77","volume":"30","issue":"4","abstract":"Carboxymethyl  cellulose  (CMC)  was \nadded  in  various  amounts  (&lt;  10%  (w/w))  to  a  lowcharged  (enzymatically  pre-treated)  NFC,  and  the suspensions were blended by either a low-shear propeller mixing-  or  high  shear  homogenization  protocol.  The suspensions  were  thereafter  oven-dried,  and  redispersed using a high shear protocol. It was found that the mixing method has a profound effect on the apparent rheology of the  never-dried systems. The addition of highly charged CMC-grades enabled, already at 1% (w/w) addition, the apparent  dispersion  of  dried  NFC.  The  rheological responses  (viscosity  and  storage  modulus)  of  the  neverdried  NFC-CMC  systems  were  judged  as  conserved, when  the  rheological  responses  of  the  redispersed systems  were  compared  with  those  of  never-dried systems that had been produced by propeller mixing. The rheological  responses  of the redispersed systems were on the other hand found to be  lower  when compared  to  the rheological responses of  the never-dried systems that had been  produced  by  high  shearing  mixing.  However,  the mechanical-  and  barrier  properties  of  the  redispersed systems  were  found  to  be  inferior  to  the  never-dried equivalents - regardless of the mixing protocol.","author":[{"family":"Naderi","given":"Ali"},{"family":"Lindström","given":"Tom"},{"family":"Sundström","given":"Jonas"},{"family":"Flodberg","given":"Göran"}],"issued":{"date-parts":[["2015"]]}}}],"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rPr>
              <w:t>(Butchosa and Zhou 2014; Naderi et al. 2015)</w:t>
            </w:r>
            <w:r w:rsidRPr="00471859">
              <w:rPr>
                <w:rFonts w:ascii="Arial" w:eastAsia="Times New Roman" w:hAnsi="Arial" w:cs="Arial"/>
                <w:bCs/>
                <w:color w:val="000000"/>
                <w:sz w:val="14"/>
                <w:szCs w:val="20"/>
                <w:lang w:val="de-DE" w:eastAsia="de-DE"/>
              </w:rPr>
              <w:fldChar w:fldCharType="end"/>
            </w:r>
          </w:p>
        </w:tc>
      </w:tr>
      <w:tr w:rsidR="007F5974" w:rsidRPr="00471859" w14:paraId="18D32565" w14:textId="77777777" w:rsidTr="007F5974">
        <w:trPr>
          <w:trHeight w:val="330"/>
        </w:trPr>
        <w:tc>
          <w:tcPr>
            <w:tcW w:w="4111" w:type="dxa"/>
            <w:shd w:val="clear" w:color="auto" w:fill="FFFF00"/>
            <w:noWrap/>
            <w:vAlign w:val="center"/>
          </w:tcPr>
          <w:p w14:paraId="29A877A1"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r w:rsidRPr="00471859">
              <w:rPr>
                <w:rFonts w:ascii="Arial" w:eastAsia="Times New Roman" w:hAnsi="Arial" w:cs="Arial"/>
                <w:bCs/>
                <w:color w:val="000000"/>
                <w:sz w:val="20"/>
                <w:szCs w:val="20"/>
                <w:lang w:val="en-US" w:eastAsia="de-DE"/>
              </w:rPr>
              <w:t xml:space="preserve">CMC, </w:t>
            </w:r>
            <w:proofErr w:type="spellStart"/>
            <w:r w:rsidRPr="00471859">
              <w:rPr>
                <w:rFonts w:ascii="Arial" w:eastAsia="Times New Roman" w:hAnsi="Arial" w:cs="Arial"/>
                <w:bCs/>
                <w:color w:val="000000"/>
                <w:sz w:val="20"/>
                <w:szCs w:val="20"/>
                <w:lang w:val="en-US" w:eastAsia="de-DE"/>
              </w:rPr>
              <w:t>Walocel</w:t>
            </w:r>
            <w:proofErr w:type="spellEnd"/>
            <w:r w:rsidRPr="00471859">
              <w:rPr>
                <w:rFonts w:ascii="Arial" w:eastAsia="Times New Roman" w:hAnsi="Arial" w:cs="Arial"/>
                <w:bCs/>
                <w:color w:val="000000"/>
                <w:sz w:val="20"/>
                <w:szCs w:val="20"/>
                <w:lang w:val="en-US" w:eastAsia="de-DE"/>
              </w:rPr>
              <w:t xml:space="preserve"> CRT 30000 Pa, DS 0.82-0.95</w:t>
            </w:r>
          </w:p>
        </w:tc>
        <w:tc>
          <w:tcPr>
            <w:tcW w:w="992" w:type="dxa"/>
            <w:shd w:val="clear" w:color="auto" w:fill="FFFF00"/>
            <w:noWrap/>
            <w:vAlign w:val="center"/>
          </w:tcPr>
          <w:p w14:paraId="3F022930"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p>
        </w:tc>
        <w:tc>
          <w:tcPr>
            <w:tcW w:w="1560" w:type="dxa"/>
            <w:shd w:val="clear" w:color="auto" w:fill="FFFF00"/>
            <w:noWrap/>
            <w:vAlign w:val="center"/>
          </w:tcPr>
          <w:p w14:paraId="50F2FE23"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r w:rsidRPr="00471859">
              <w:rPr>
                <w:rFonts w:ascii="Arial" w:eastAsia="Times New Roman" w:hAnsi="Arial" w:cs="Arial"/>
                <w:bCs/>
                <w:color w:val="000000"/>
                <w:sz w:val="20"/>
                <w:szCs w:val="20"/>
                <w:lang w:val="en-US" w:eastAsia="de-DE"/>
              </w:rPr>
              <w:t xml:space="preserve">DuPont </w:t>
            </w:r>
            <w:proofErr w:type="spellStart"/>
            <w:r w:rsidRPr="00471859">
              <w:rPr>
                <w:rFonts w:ascii="Arial" w:eastAsia="Times New Roman" w:hAnsi="Arial" w:cs="Arial"/>
                <w:bCs/>
                <w:color w:val="000000"/>
                <w:sz w:val="20"/>
                <w:szCs w:val="20"/>
                <w:lang w:val="en-US" w:eastAsia="de-DE"/>
              </w:rPr>
              <w:t>Danisco</w:t>
            </w:r>
            <w:proofErr w:type="spellEnd"/>
          </w:p>
        </w:tc>
        <w:tc>
          <w:tcPr>
            <w:tcW w:w="2409" w:type="dxa"/>
            <w:shd w:val="clear" w:color="auto" w:fill="FFFF00"/>
            <w:vAlign w:val="center"/>
          </w:tcPr>
          <w:p w14:paraId="150C6D8B" w14:textId="77777777" w:rsidR="007F5974" w:rsidRPr="00471859" w:rsidRDefault="007F5974" w:rsidP="007F5974">
            <w:pPr>
              <w:spacing w:after="0" w:line="240" w:lineRule="auto"/>
              <w:rPr>
                <w:rFonts w:ascii="Arial" w:eastAsia="Times New Roman" w:hAnsi="Arial" w:cs="Arial"/>
                <w:bCs/>
                <w:color w:val="000000"/>
                <w:sz w:val="14"/>
                <w:szCs w:val="20"/>
                <w:lang w:val="en-US"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en-US" w:eastAsia="de-DE"/>
              </w:rPr>
              <w:instrText xml:space="preserve"> ADDIN ZOTERO_ITEM CSL_CITATION {"citationID":"iYwBwQhE","properties":{"formattedCitation":"(Butchosa and Zhou 2014; Naderi et al. 2015)","plainCitation":"(Butchosa and Zhou 2014; Naderi et al. 2015)"},"citationItems":[{"id":1446,"uris":["http://zotero.org/users/1099718/items/JWB3RFZR"],"uri":["http://zotero.org/users/1099718/items/JWB3RFZR"],"itemData":{"id":1446,"type":"article-journal","title":"Water redispersible cellulose nanofibrils adsorbed with carboxymethyl cellulose","container-title":"Cellulose","page":"4349-4358","volume":"21","issue":"6","source":"CrossRef","DOI":"10.1007/s10570-014-0452-7","ISSN":"0969-0239, 1572-882X","language":"en","author":[{"family":"Butchosa","given":"Núria"},{"family":"Zhou","given":"Qi"}],"issued":{"date-parts":[["2014",12]]}}},{"id":1959,"uris":["http://zotero.org/users/1099718/items/6VP2D52G"],"uri":["http://zotero.org/users/1099718/items/6VP2D52G"],"itemData":{"id":1959,"type":"article-journal","title":"Can redispersible low-charged nanofibrillated cellulose be produced by the addition of carboxymethyl cellulose?","container-title":"Nordic Pulp &amp; Paper Research Journal","page":"568-77","volume":"30","issue":"4","abstract":"Carboxymethyl  cellulose  (CMC)  was \nadded  in  various  amounts  (&lt;  10%  (w/w))  to  a  lowcharged  (enzymatically  pre-treated)  NFC,  and  the suspensions were blended by either a low-shear propeller mixing-  or  high  shear  homogenization  protocol.  The suspensions  were  thereafter  oven-dried,  and  redispersed using a high shear protocol. It was found that the mixing method has a profound effect on the apparent rheology of the  never-dried systems. The addition of highly charged CMC-grades enabled, already at 1% (w/w) addition, the apparent  dispersion  of  dried  NFC.  The  rheological responses  (viscosity  and  storage  modulus)  of  the  neverdried  NFC-CMC  systems  were  judged  as  conserved, when  the  rheological  responses  of  the  redispersed systems  were  compared  with  those  of  never-dried systems that had been produced by propeller mixing. The rheological  responses  of the redispersed systems were on the other hand found to be  lower  when compared  to  the rheological responses of  the never-dried systems that had been  produced  by  high  shearing  mixing.  However,  the mechanical-  and  barrier  properties  of  the  redispersed systems  were  found  to  be  inferior  to  the  never-dried equivalents - regardless of the mixing protocol.","author":[{"family":"Naderi","given":"Ali"},{"family":"Lindström","given":"Tom"},{"family":"Sundström","given":"Jonas"},{"family":"Flodberg","given":"Göran"}],"issued":{"date-parts":[["2015"]]}}}],"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rPr>
              <w:t>(Butchosa and Zhou 2014; Naderi et al. 2015)</w:t>
            </w:r>
            <w:r w:rsidRPr="00471859">
              <w:rPr>
                <w:rFonts w:ascii="Arial" w:eastAsia="Times New Roman" w:hAnsi="Arial" w:cs="Arial"/>
                <w:bCs/>
                <w:color w:val="000000"/>
                <w:sz w:val="14"/>
                <w:szCs w:val="20"/>
                <w:lang w:val="de-DE" w:eastAsia="de-DE"/>
              </w:rPr>
              <w:fldChar w:fldCharType="end"/>
            </w:r>
          </w:p>
        </w:tc>
      </w:tr>
      <w:tr w:rsidR="007F5974" w:rsidRPr="00471859" w14:paraId="36D7C301" w14:textId="77777777" w:rsidTr="007F5974">
        <w:trPr>
          <w:trHeight w:val="330"/>
        </w:trPr>
        <w:tc>
          <w:tcPr>
            <w:tcW w:w="4111" w:type="dxa"/>
            <w:shd w:val="clear" w:color="auto" w:fill="FFFF00"/>
            <w:noWrap/>
            <w:vAlign w:val="center"/>
          </w:tcPr>
          <w:p w14:paraId="774E5A7F"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r w:rsidRPr="00471859">
              <w:rPr>
                <w:rFonts w:ascii="Arial" w:eastAsia="Times New Roman" w:hAnsi="Arial" w:cs="Arial"/>
                <w:bCs/>
                <w:color w:val="000000"/>
                <w:sz w:val="20"/>
                <w:szCs w:val="20"/>
                <w:lang w:val="en-US" w:eastAsia="de-DE"/>
              </w:rPr>
              <w:t>Xanthan, GRINDSTED</w:t>
            </w:r>
            <w:r w:rsidRPr="00471859">
              <w:rPr>
                <w:rFonts w:ascii="Arial" w:eastAsia="Times New Roman" w:hAnsi="Arial" w:cs="Arial"/>
                <w:bCs/>
                <w:color w:val="000000"/>
                <w:sz w:val="20"/>
                <w:szCs w:val="20"/>
                <w:vertAlign w:val="superscript"/>
                <w:lang w:val="en-US" w:eastAsia="de-DE"/>
              </w:rPr>
              <w:t>®</w:t>
            </w:r>
            <w:r w:rsidRPr="00471859">
              <w:rPr>
                <w:rFonts w:ascii="Arial" w:eastAsia="Times New Roman" w:hAnsi="Arial" w:cs="Arial"/>
                <w:bCs/>
                <w:color w:val="000000"/>
                <w:sz w:val="20"/>
                <w:szCs w:val="20"/>
                <w:lang w:val="en-US" w:eastAsia="de-DE"/>
              </w:rPr>
              <w:t xml:space="preserve"> Xanthan 80</w:t>
            </w:r>
          </w:p>
        </w:tc>
        <w:tc>
          <w:tcPr>
            <w:tcW w:w="992" w:type="dxa"/>
            <w:shd w:val="clear" w:color="auto" w:fill="FFFF00"/>
            <w:noWrap/>
            <w:vAlign w:val="center"/>
          </w:tcPr>
          <w:p w14:paraId="13F2ACEE"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p>
        </w:tc>
        <w:tc>
          <w:tcPr>
            <w:tcW w:w="1560" w:type="dxa"/>
            <w:shd w:val="clear" w:color="auto" w:fill="FFFF00"/>
            <w:noWrap/>
            <w:vAlign w:val="center"/>
          </w:tcPr>
          <w:p w14:paraId="5FE0E46D" w14:textId="77777777" w:rsidR="007F5974" w:rsidRPr="00471859" w:rsidRDefault="007F5974" w:rsidP="007F5974">
            <w:pPr>
              <w:spacing w:after="0" w:line="240" w:lineRule="auto"/>
              <w:rPr>
                <w:rFonts w:ascii="Arial" w:eastAsia="Times New Roman" w:hAnsi="Arial" w:cs="Arial"/>
                <w:bCs/>
                <w:color w:val="000000"/>
                <w:sz w:val="20"/>
                <w:szCs w:val="20"/>
                <w:lang w:val="en-US" w:eastAsia="de-DE"/>
              </w:rPr>
            </w:pPr>
            <w:r w:rsidRPr="00471859">
              <w:rPr>
                <w:rFonts w:ascii="Arial" w:eastAsia="Times New Roman" w:hAnsi="Arial" w:cs="Arial"/>
                <w:bCs/>
                <w:color w:val="000000"/>
                <w:sz w:val="20"/>
                <w:szCs w:val="20"/>
                <w:lang w:val="en-US" w:eastAsia="de-DE"/>
              </w:rPr>
              <w:t>Dow Chemical</w:t>
            </w:r>
          </w:p>
        </w:tc>
        <w:tc>
          <w:tcPr>
            <w:tcW w:w="2409" w:type="dxa"/>
            <w:shd w:val="clear" w:color="auto" w:fill="FFFF00"/>
            <w:vAlign w:val="center"/>
          </w:tcPr>
          <w:p w14:paraId="51A80BC1" w14:textId="77777777" w:rsidR="007F5974" w:rsidRPr="00471859" w:rsidRDefault="007F5974" w:rsidP="007F5974">
            <w:pPr>
              <w:spacing w:after="0" w:line="240" w:lineRule="auto"/>
              <w:rPr>
                <w:rFonts w:ascii="Arial" w:eastAsia="Times New Roman" w:hAnsi="Arial" w:cs="Arial"/>
                <w:bCs/>
                <w:color w:val="000000"/>
                <w:sz w:val="14"/>
                <w:szCs w:val="20"/>
                <w:lang w:val="en-US" w:eastAsia="de-DE"/>
              </w:rPr>
            </w:pPr>
          </w:p>
        </w:tc>
      </w:tr>
      <w:tr w:rsidR="007F5974" w:rsidRPr="00471859" w14:paraId="0F35AF55" w14:textId="77777777" w:rsidTr="007F5974">
        <w:trPr>
          <w:trHeight w:val="288"/>
        </w:trPr>
        <w:tc>
          <w:tcPr>
            <w:tcW w:w="4111" w:type="dxa"/>
            <w:shd w:val="clear" w:color="auto" w:fill="FFFFFF" w:themeFill="background1"/>
            <w:noWrap/>
            <w:vAlign w:val="center"/>
            <w:hideMark/>
          </w:tcPr>
          <w:p w14:paraId="0E60D9AE"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proofErr w:type="spellStart"/>
            <w:r w:rsidRPr="00471859">
              <w:rPr>
                <w:rFonts w:ascii="Arial" w:eastAsia="Times New Roman" w:hAnsi="Arial" w:cs="Arial"/>
                <w:bCs/>
                <w:color w:val="000000"/>
                <w:sz w:val="20"/>
                <w:szCs w:val="20"/>
                <w:lang w:val="de-DE" w:eastAsia="de-DE"/>
              </w:rPr>
              <w:t>Hexadecyltrimethylammoniumbromide</w:t>
            </w:r>
            <w:proofErr w:type="spellEnd"/>
          </w:p>
        </w:tc>
        <w:tc>
          <w:tcPr>
            <w:tcW w:w="992" w:type="dxa"/>
            <w:shd w:val="clear" w:color="auto" w:fill="FFFFFF" w:themeFill="background1"/>
            <w:noWrap/>
            <w:vAlign w:val="center"/>
            <w:hideMark/>
          </w:tcPr>
          <w:p w14:paraId="348B934C"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98%</w:t>
            </w:r>
          </w:p>
        </w:tc>
        <w:tc>
          <w:tcPr>
            <w:tcW w:w="1560" w:type="dxa"/>
            <w:shd w:val="clear" w:color="auto" w:fill="FFFFFF" w:themeFill="background1"/>
            <w:noWrap/>
            <w:vAlign w:val="center"/>
            <w:hideMark/>
          </w:tcPr>
          <w:p w14:paraId="699E8F17"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02E46650"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de-DE" w:eastAsia="de-DE"/>
              </w:rPr>
              <w:instrText xml:space="preserve"> ADDIN ZOTERO_ITEM CSL_CITATION {"citationID":"pd8bhjju9","properties":{"formattedCitation":"(Fairman 2014)","plainCitation":"(Fairman 2014)"},"citationItems":[{"id":899,"uris":["http://zotero.org/users/1099718/items/9XUDMRG7"],"uri":["http://zotero.org/users/1099718/items/9XUDMRG7"],"itemData":{"id":899,"type":"thesis","title":"Avoiding aggregation during drying and rehydration of nanocellulose","publisher":"University of Maine","publisher-place":"Main","number-of-pages":"60","event-place":"Main","abstract":"Nanocellulose has attracted attention from academic researchers and industrial \ncorporations worldwide. It is a sustainable raw material with remarkable strength and \nrheological properties. The industrial production of nanocellulose is an aqueous process; \nhowever, many of its valuable properties are lost upon water removal. Indeed, once dried, \nnanocellulose irreversibly assembles into a plastic-like material. Currently it can be too \nexpensive to transport the aqueous suspensions. In order to mitigate high transportation \ncosts, a method must be developed to dry and rehydrate nanocellulose whilst maintaining \nits nano-morphology . The current work demonstrates that the introduction of a cationic \nsurfactant into the aqueous nanocellulose suspension yields a chemical dewatering effect \nsimilar to that observed in papermaking, weakening the intercellulosic hydrogen bonds \nand allowing for reduced energy requirements during redispersion. \nSpecifically, the current study employs cetyltrimethylammonium bromide \n(CTAB), a cationic surfactant in an effort to rehydrate nanocellulose whilst maintaining \nthe desired nano-scale morphology. Fiber size has been characterized in both the liquid \nand solid phases using laser diffraction and scanning electron microscopy (SEM), \nrespectively. In addition, it has been demonstrated that recovery of CTAB from dried \nnanocellulose pads may be achieved by soaking dried pads in an organic solvent. The \nrecovery of CTAB will allow for a recycling step after the proposed drying process.","URL":"http://digitalcommons.library.umaine.edu/cgi/viewcontent.cgi?article=1171&amp;context=honors","language":"English","author":[{"family":"Fairman","given":"Evelyn M."}],"issued":{"date-parts":[["2014",5]]},"accessed":{"date-parts":[["2014",12,15]]}}}],"schema":"https://github.com/citation-style-language/schema/raw/master/csl-citation.json"}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rPr>
              <w:t>(Fairman 2014)</w:t>
            </w:r>
            <w:r w:rsidRPr="00471859">
              <w:rPr>
                <w:rFonts w:ascii="Arial" w:eastAsia="Times New Roman" w:hAnsi="Arial" w:cs="Arial"/>
                <w:bCs/>
                <w:color w:val="000000"/>
                <w:sz w:val="14"/>
                <w:szCs w:val="20"/>
                <w:lang w:val="de-DE" w:eastAsia="de-DE"/>
              </w:rPr>
              <w:fldChar w:fldCharType="end"/>
            </w:r>
          </w:p>
        </w:tc>
      </w:tr>
      <w:tr w:rsidR="007F5974" w:rsidRPr="00471859" w14:paraId="0143D302" w14:textId="77777777" w:rsidTr="007F5974">
        <w:trPr>
          <w:trHeight w:val="288"/>
        </w:trPr>
        <w:tc>
          <w:tcPr>
            <w:tcW w:w="4111" w:type="dxa"/>
            <w:shd w:val="clear" w:color="auto" w:fill="FFFFFF" w:themeFill="background1"/>
            <w:noWrap/>
            <w:vAlign w:val="center"/>
            <w:hideMark/>
          </w:tcPr>
          <w:p w14:paraId="19940010"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Polyethylene </w:t>
            </w:r>
            <w:proofErr w:type="spellStart"/>
            <w:r w:rsidRPr="00471859">
              <w:rPr>
                <w:rFonts w:ascii="Arial" w:eastAsia="Times New Roman" w:hAnsi="Arial" w:cs="Arial"/>
                <w:bCs/>
                <w:color w:val="000000"/>
                <w:sz w:val="20"/>
                <w:szCs w:val="20"/>
                <w:lang w:val="de-DE" w:eastAsia="de-DE"/>
              </w:rPr>
              <w:t>glycol</w:t>
            </w:r>
            <w:proofErr w:type="spellEnd"/>
            <w:r w:rsidRPr="00471859">
              <w:rPr>
                <w:rFonts w:ascii="Arial" w:eastAsia="Times New Roman" w:hAnsi="Arial" w:cs="Arial"/>
                <w:bCs/>
                <w:color w:val="000000"/>
                <w:sz w:val="20"/>
                <w:szCs w:val="20"/>
                <w:lang w:val="de-DE" w:eastAsia="de-DE"/>
              </w:rPr>
              <w:t xml:space="preserve"> 4000</w:t>
            </w:r>
          </w:p>
        </w:tc>
        <w:tc>
          <w:tcPr>
            <w:tcW w:w="992" w:type="dxa"/>
            <w:shd w:val="clear" w:color="auto" w:fill="FFFFFF" w:themeFill="background1"/>
            <w:noWrap/>
            <w:vAlign w:val="center"/>
            <w:hideMark/>
          </w:tcPr>
          <w:p w14:paraId="5DD3286C"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FF" w:themeFill="background1"/>
            <w:noWrap/>
            <w:vAlign w:val="center"/>
            <w:hideMark/>
          </w:tcPr>
          <w:p w14:paraId="08C2A36F"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Alfa </w:t>
            </w:r>
            <w:proofErr w:type="spellStart"/>
            <w:r w:rsidRPr="00471859">
              <w:rPr>
                <w:rFonts w:ascii="Arial" w:eastAsia="Times New Roman" w:hAnsi="Arial" w:cs="Arial"/>
                <w:bCs/>
                <w:color w:val="000000"/>
                <w:sz w:val="20"/>
                <w:szCs w:val="20"/>
                <w:lang w:val="de-DE" w:eastAsia="de-DE"/>
              </w:rPr>
              <w:t>Aesar</w:t>
            </w:r>
            <w:proofErr w:type="spellEnd"/>
          </w:p>
        </w:tc>
        <w:tc>
          <w:tcPr>
            <w:tcW w:w="2409" w:type="dxa"/>
            <w:shd w:val="clear" w:color="auto" w:fill="FFFFFF" w:themeFill="background1"/>
            <w:vAlign w:val="center"/>
          </w:tcPr>
          <w:p w14:paraId="2E0497E4" w14:textId="77777777" w:rsidR="007F5974" w:rsidRPr="00471859" w:rsidRDefault="007F5974" w:rsidP="00881ECF">
            <w:pPr>
              <w:spacing w:after="0" w:line="240" w:lineRule="auto"/>
              <w:rPr>
                <w:rFonts w:ascii="Arial" w:eastAsia="Times New Roman" w:hAnsi="Arial" w:cs="Arial"/>
                <w:bCs/>
                <w:color w:val="000000"/>
                <w:sz w:val="14"/>
                <w:szCs w:val="20"/>
                <w:lang w:val="de-DE"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de-DE" w:eastAsia="de-DE"/>
              </w:rPr>
              <w:instrText xml:space="preserve"> ADDIN ZOTERO_ITEM CSL_CITATION {"citationID":"jbitMePr","properties":{"formattedCitation":"{\\rtf (M\\uc0\\u252{}ller et al. 2014)}","plainCitation":"(Müller et al. 2014)"},"citationItems":[{"id":2350,"uris":["http://zotero.org/users/1099718/items/QPNWHAKN"],"uri":["http://zotero.org/users/1099718/items/QPNWHAKN"],"itemData":{"id":2350,"type":"article-journal","title":"Bacterial nanocellulose with a shape-memory effect as potential drug delivery system","container-title":"RSC Adv.","page":"57173-57184","volume":"4","issue":"100","source":"CrossRef","DOI":"10.1039/C4RA09898F","ISSN":"2046-2069","language":"en","author":[{"family":"Müller","given":"Astrid"},{"family":"Zink","given":"Matthias"},{"family":"Hessler","given":"Nadine"},{"family":"Wesarg","given":"Falko"},{"family":"Müller","given":"Frank A."},{"family":"Kralisch","given":"Dana"},{"family":"Fischer","given":"Dagmar"}],"issued":{"date-parts":[["2014",10,27]]}}}],"schema":"https://github.com/citation-style-language/schema/raw/master/csl-citation.json"}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szCs w:val="24"/>
              </w:rPr>
              <w:t>(Müller et al. 2014)</w:t>
            </w:r>
            <w:r w:rsidRPr="00471859">
              <w:rPr>
                <w:rFonts w:ascii="Arial" w:eastAsia="Times New Roman" w:hAnsi="Arial" w:cs="Arial"/>
                <w:bCs/>
                <w:color w:val="000000"/>
                <w:sz w:val="14"/>
                <w:szCs w:val="20"/>
                <w:lang w:val="de-DE" w:eastAsia="de-DE"/>
              </w:rPr>
              <w:fldChar w:fldCharType="end"/>
            </w:r>
          </w:p>
        </w:tc>
      </w:tr>
      <w:tr w:rsidR="007F5974" w:rsidRPr="00471859" w14:paraId="26655D47" w14:textId="77777777" w:rsidTr="007F5974">
        <w:trPr>
          <w:trHeight w:val="288"/>
        </w:trPr>
        <w:tc>
          <w:tcPr>
            <w:tcW w:w="4111" w:type="dxa"/>
            <w:shd w:val="clear" w:color="auto" w:fill="FFFF00"/>
            <w:noWrap/>
            <w:vAlign w:val="center"/>
          </w:tcPr>
          <w:p w14:paraId="2202AAA7"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Polyethylene </w:t>
            </w:r>
            <w:proofErr w:type="spellStart"/>
            <w:r w:rsidRPr="00471859">
              <w:rPr>
                <w:rFonts w:ascii="Arial" w:eastAsia="Times New Roman" w:hAnsi="Arial" w:cs="Arial"/>
                <w:bCs/>
                <w:color w:val="000000"/>
                <w:sz w:val="20"/>
                <w:szCs w:val="20"/>
                <w:lang w:val="de-DE" w:eastAsia="de-DE"/>
              </w:rPr>
              <w:t>glycol</w:t>
            </w:r>
            <w:proofErr w:type="spellEnd"/>
            <w:r w:rsidRPr="00471859">
              <w:rPr>
                <w:rFonts w:ascii="Arial" w:eastAsia="Times New Roman" w:hAnsi="Arial" w:cs="Arial"/>
                <w:bCs/>
                <w:color w:val="000000"/>
                <w:sz w:val="20"/>
                <w:szCs w:val="20"/>
                <w:lang w:val="de-DE" w:eastAsia="de-DE"/>
              </w:rPr>
              <w:t xml:space="preserve"> 400</w:t>
            </w:r>
          </w:p>
        </w:tc>
        <w:tc>
          <w:tcPr>
            <w:tcW w:w="992" w:type="dxa"/>
            <w:shd w:val="clear" w:color="auto" w:fill="FFFF00"/>
            <w:noWrap/>
            <w:vAlign w:val="center"/>
          </w:tcPr>
          <w:p w14:paraId="5B59819D"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p>
        </w:tc>
        <w:tc>
          <w:tcPr>
            <w:tcW w:w="1560" w:type="dxa"/>
            <w:shd w:val="clear" w:color="auto" w:fill="FFFF00"/>
            <w:noWrap/>
            <w:vAlign w:val="center"/>
          </w:tcPr>
          <w:p w14:paraId="13CE4B2D"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Roth</w:t>
            </w:r>
          </w:p>
        </w:tc>
        <w:tc>
          <w:tcPr>
            <w:tcW w:w="2409" w:type="dxa"/>
            <w:shd w:val="clear" w:color="auto" w:fill="FFFF00"/>
            <w:vAlign w:val="center"/>
          </w:tcPr>
          <w:p w14:paraId="6C26C520" w14:textId="77777777" w:rsidR="007F5974" w:rsidRPr="00471859" w:rsidRDefault="007F5974" w:rsidP="00881ECF">
            <w:pPr>
              <w:spacing w:after="0" w:line="240" w:lineRule="auto"/>
              <w:rPr>
                <w:rFonts w:ascii="Arial" w:eastAsia="Times New Roman" w:hAnsi="Arial" w:cs="Arial"/>
                <w:bCs/>
                <w:color w:val="000000"/>
                <w:sz w:val="14"/>
                <w:szCs w:val="20"/>
                <w:lang w:val="de-DE"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de-DE" w:eastAsia="de-DE"/>
              </w:rPr>
              <w:instrText xml:space="preserve"> ADDIN ZOTERO_ITEM CSL_CITATION {"citationID":"su0lrNRx","properties":{"formattedCitation":"{\\rtf (M\\uc0\\u252{}ller et al. 2014)}","plainCitation":"(Müller et al. 2014)"},"citationItems":[{"id":2350,"uris":["http://zotero.org/users/1099718/items/QPNWHAKN"],"uri":["http://zotero.org/users/1099718/items/QPNWHAKN"],"itemData":{"id":2350,"type":"article-journal","title":"Bacterial nanocellulose with a shape-memory effect as potential drug delivery system","container-title":"RSC Adv.","page":"57173-57184","volume":"4","issue":"100","source":"CrossRef","DOI":"10.1039/C4RA09898F","ISSN":"2046-2069","language":"en","author":[{"family":"Müller","given":"Astrid"},{"family":"Zink","given":"Matthias"},{"family":"Hessler","given":"Nadine"},{"family":"Wesarg","given":"Falko"},{"family":"Müller","given":"Frank A."},{"family":"Kralisch","given":"Dana"},{"family":"Fischer","given":"Dagmar"}],"issued":{"date-parts":[["2014",10,27]]}}}],"schema":"https://github.com/citation-style-language/schema/raw/master/csl-citation.json"}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szCs w:val="24"/>
              </w:rPr>
              <w:t>(Müller et al. 2014)</w:t>
            </w:r>
            <w:r w:rsidRPr="00471859">
              <w:rPr>
                <w:rFonts w:ascii="Arial" w:eastAsia="Times New Roman" w:hAnsi="Arial" w:cs="Arial"/>
                <w:bCs/>
                <w:color w:val="000000"/>
                <w:sz w:val="14"/>
                <w:szCs w:val="20"/>
                <w:lang w:val="de-DE" w:eastAsia="de-DE"/>
              </w:rPr>
              <w:fldChar w:fldCharType="end"/>
            </w:r>
          </w:p>
        </w:tc>
      </w:tr>
      <w:tr w:rsidR="007F5974" w:rsidRPr="00471859" w14:paraId="7E7CFE13" w14:textId="77777777" w:rsidTr="007F5974">
        <w:trPr>
          <w:trHeight w:val="288"/>
        </w:trPr>
        <w:tc>
          <w:tcPr>
            <w:tcW w:w="4111" w:type="dxa"/>
            <w:shd w:val="clear" w:color="auto" w:fill="FFFFFF" w:themeFill="background1"/>
            <w:noWrap/>
            <w:vAlign w:val="center"/>
            <w:hideMark/>
          </w:tcPr>
          <w:p w14:paraId="19B841FD"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Li</w:t>
            </w:r>
            <w:r w:rsidRPr="00471859">
              <w:rPr>
                <w:rFonts w:ascii="Arial" w:eastAsia="Times New Roman" w:hAnsi="Arial" w:cs="Arial"/>
                <w:bCs/>
                <w:color w:val="000000"/>
                <w:sz w:val="20"/>
                <w:szCs w:val="20"/>
                <w:vertAlign w:val="subscript"/>
                <w:lang w:val="de-DE" w:eastAsia="de-DE"/>
              </w:rPr>
              <w:t>2</w:t>
            </w:r>
            <w:r w:rsidRPr="00471859">
              <w:rPr>
                <w:rFonts w:ascii="Arial" w:eastAsia="Times New Roman" w:hAnsi="Arial" w:cs="Arial"/>
                <w:bCs/>
                <w:color w:val="000000"/>
                <w:sz w:val="20"/>
                <w:szCs w:val="20"/>
                <w:lang w:val="de-DE" w:eastAsia="de-DE"/>
              </w:rPr>
              <w:t>SO</w:t>
            </w:r>
            <w:r w:rsidRPr="00471859">
              <w:rPr>
                <w:rFonts w:ascii="Arial" w:eastAsia="Times New Roman" w:hAnsi="Arial" w:cs="Arial"/>
                <w:bCs/>
                <w:color w:val="000000"/>
                <w:sz w:val="20"/>
                <w:szCs w:val="20"/>
                <w:vertAlign w:val="subscript"/>
                <w:lang w:val="de-DE" w:eastAsia="de-DE"/>
              </w:rPr>
              <w:t>4</w:t>
            </w:r>
          </w:p>
        </w:tc>
        <w:tc>
          <w:tcPr>
            <w:tcW w:w="992" w:type="dxa"/>
            <w:shd w:val="clear" w:color="auto" w:fill="FFFFFF" w:themeFill="background1"/>
            <w:noWrap/>
            <w:vAlign w:val="center"/>
            <w:hideMark/>
          </w:tcPr>
          <w:p w14:paraId="4CC84E8B"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98.5%</w:t>
            </w:r>
          </w:p>
        </w:tc>
        <w:tc>
          <w:tcPr>
            <w:tcW w:w="1560" w:type="dxa"/>
            <w:shd w:val="clear" w:color="auto" w:fill="FFFFFF" w:themeFill="background1"/>
            <w:noWrap/>
            <w:vAlign w:val="center"/>
            <w:hideMark/>
          </w:tcPr>
          <w:p w14:paraId="3B79F6D9"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50FFC031"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0C437C4E" w14:textId="77777777" w:rsidTr="007F5974">
        <w:trPr>
          <w:trHeight w:val="288"/>
        </w:trPr>
        <w:tc>
          <w:tcPr>
            <w:tcW w:w="4111" w:type="dxa"/>
            <w:shd w:val="clear" w:color="auto" w:fill="FFFFFF" w:themeFill="background1"/>
            <w:noWrap/>
            <w:vAlign w:val="center"/>
            <w:hideMark/>
          </w:tcPr>
          <w:p w14:paraId="1C2C1CC9"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Calcium </w:t>
            </w:r>
            <w:proofErr w:type="spellStart"/>
            <w:r w:rsidRPr="00471859">
              <w:rPr>
                <w:rFonts w:ascii="Arial" w:eastAsia="Times New Roman" w:hAnsi="Arial" w:cs="Arial"/>
                <w:bCs/>
                <w:color w:val="000000"/>
                <w:sz w:val="20"/>
                <w:szCs w:val="20"/>
                <w:lang w:val="de-DE" w:eastAsia="de-DE"/>
              </w:rPr>
              <w:t>acetate</w:t>
            </w:r>
            <w:proofErr w:type="spellEnd"/>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hydrate</w:t>
            </w:r>
            <w:proofErr w:type="spellEnd"/>
            <w:r w:rsidRPr="00471859">
              <w:rPr>
                <w:rFonts w:ascii="Arial" w:eastAsia="Times New Roman" w:hAnsi="Arial" w:cs="Arial"/>
                <w:bCs/>
                <w:color w:val="000000"/>
                <w:sz w:val="20"/>
                <w:szCs w:val="20"/>
                <w:lang w:val="de-DE" w:eastAsia="de-DE"/>
              </w:rPr>
              <w:t xml:space="preserve"> </w:t>
            </w:r>
          </w:p>
        </w:tc>
        <w:tc>
          <w:tcPr>
            <w:tcW w:w="992" w:type="dxa"/>
            <w:shd w:val="clear" w:color="auto" w:fill="FFFFFF" w:themeFill="background1"/>
            <w:noWrap/>
            <w:vAlign w:val="center"/>
            <w:hideMark/>
          </w:tcPr>
          <w:p w14:paraId="6359047D"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99%</w:t>
            </w:r>
          </w:p>
        </w:tc>
        <w:tc>
          <w:tcPr>
            <w:tcW w:w="1560" w:type="dxa"/>
            <w:shd w:val="clear" w:color="auto" w:fill="FFFFFF" w:themeFill="background1"/>
            <w:noWrap/>
            <w:vAlign w:val="center"/>
            <w:hideMark/>
          </w:tcPr>
          <w:p w14:paraId="690E1576"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5C5A38D7"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77ECCA1E" w14:textId="77777777" w:rsidTr="007F5974">
        <w:trPr>
          <w:trHeight w:val="288"/>
        </w:trPr>
        <w:tc>
          <w:tcPr>
            <w:tcW w:w="4111" w:type="dxa"/>
            <w:shd w:val="clear" w:color="auto" w:fill="FFFFFF" w:themeFill="background1"/>
            <w:noWrap/>
            <w:vAlign w:val="center"/>
            <w:hideMark/>
          </w:tcPr>
          <w:p w14:paraId="14047AE7"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CaCl</w:t>
            </w:r>
            <w:r w:rsidRPr="00471859">
              <w:rPr>
                <w:rFonts w:ascii="Arial" w:eastAsia="Times New Roman" w:hAnsi="Arial" w:cs="Arial"/>
                <w:bCs/>
                <w:color w:val="000000"/>
                <w:sz w:val="20"/>
                <w:szCs w:val="20"/>
                <w:vertAlign w:val="subscript"/>
                <w:lang w:val="de-DE" w:eastAsia="de-DE"/>
              </w:rPr>
              <w:t>2</w:t>
            </w:r>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dihydrate</w:t>
            </w:r>
            <w:proofErr w:type="spellEnd"/>
            <w:r w:rsidRPr="00471859">
              <w:rPr>
                <w:rFonts w:ascii="Arial" w:eastAsia="Times New Roman" w:hAnsi="Arial" w:cs="Arial"/>
                <w:bCs/>
                <w:color w:val="000000"/>
                <w:sz w:val="20"/>
                <w:szCs w:val="20"/>
                <w:lang w:val="de-DE" w:eastAsia="de-DE"/>
              </w:rPr>
              <w:t xml:space="preserve"> </w:t>
            </w:r>
          </w:p>
        </w:tc>
        <w:tc>
          <w:tcPr>
            <w:tcW w:w="992" w:type="dxa"/>
            <w:shd w:val="clear" w:color="auto" w:fill="FFFFFF" w:themeFill="background1"/>
            <w:noWrap/>
            <w:vAlign w:val="center"/>
            <w:hideMark/>
          </w:tcPr>
          <w:p w14:paraId="0AEBBD19"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FF" w:themeFill="background1"/>
            <w:noWrap/>
            <w:vAlign w:val="center"/>
            <w:hideMark/>
          </w:tcPr>
          <w:p w14:paraId="10C21F02"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VWR</w:t>
            </w:r>
          </w:p>
        </w:tc>
        <w:tc>
          <w:tcPr>
            <w:tcW w:w="2409" w:type="dxa"/>
            <w:shd w:val="clear" w:color="auto" w:fill="FFFFFF" w:themeFill="background1"/>
            <w:vAlign w:val="center"/>
          </w:tcPr>
          <w:p w14:paraId="022C48AD"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437F2220" w14:textId="77777777" w:rsidTr="007F5974">
        <w:trPr>
          <w:trHeight w:val="288"/>
        </w:trPr>
        <w:tc>
          <w:tcPr>
            <w:tcW w:w="4111" w:type="dxa"/>
            <w:shd w:val="clear" w:color="auto" w:fill="FFFFFF" w:themeFill="background1"/>
            <w:noWrap/>
            <w:vAlign w:val="center"/>
            <w:hideMark/>
          </w:tcPr>
          <w:p w14:paraId="5212E6B9"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proofErr w:type="spellStart"/>
            <w:r w:rsidRPr="00471859">
              <w:rPr>
                <w:rFonts w:ascii="Arial" w:eastAsia="Times New Roman" w:hAnsi="Arial" w:cs="Arial"/>
                <w:bCs/>
                <w:color w:val="000000"/>
                <w:sz w:val="20"/>
                <w:szCs w:val="20"/>
                <w:lang w:val="de-DE" w:eastAsia="de-DE"/>
              </w:rPr>
              <w:t>LiCl</w:t>
            </w:r>
            <w:proofErr w:type="spellEnd"/>
          </w:p>
        </w:tc>
        <w:tc>
          <w:tcPr>
            <w:tcW w:w="992" w:type="dxa"/>
            <w:shd w:val="clear" w:color="auto" w:fill="FFFFFF" w:themeFill="background1"/>
            <w:noWrap/>
            <w:vAlign w:val="center"/>
            <w:hideMark/>
          </w:tcPr>
          <w:p w14:paraId="3A2A217F"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w:t>
            </w:r>
          </w:p>
        </w:tc>
        <w:tc>
          <w:tcPr>
            <w:tcW w:w="1560" w:type="dxa"/>
            <w:shd w:val="clear" w:color="auto" w:fill="FFFFFF" w:themeFill="background1"/>
            <w:noWrap/>
            <w:vAlign w:val="center"/>
            <w:hideMark/>
          </w:tcPr>
          <w:p w14:paraId="7D53DA40"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VWR</w:t>
            </w:r>
          </w:p>
        </w:tc>
        <w:tc>
          <w:tcPr>
            <w:tcW w:w="2409" w:type="dxa"/>
            <w:shd w:val="clear" w:color="auto" w:fill="FFFFFF" w:themeFill="background1"/>
            <w:vAlign w:val="center"/>
          </w:tcPr>
          <w:p w14:paraId="14E8D6A5"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7F5974" w:rsidRPr="00471859" w14:paraId="4871BC8E" w14:textId="77777777" w:rsidTr="007F5974">
        <w:trPr>
          <w:trHeight w:val="288"/>
        </w:trPr>
        <w:tc>
          <w:tcPr>
            <w:tcW w:w="4111" w:type="dxa"/>
            <w:shd w:val="clear" w:color="auto" w:fill="FFFFFF" w:themeFill="background1"/>
            <w:noWrap/>
            <w:vAlign w:val="center"/>
            <w:hideMark/>
          </w:tcPr>
          <w:p w14:paraId="7F4D0993"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MgCl</w:t>
            </w:r>
            <w:r w:rsidRPr="00471859">
              <w:rPr>
                <w:rFonts w:ascii="Arial" w:eastAsia="Times New Roman" w:hAnsi="Arial" w:cs="Arial"/>
                <w:bCs/>
                <w:color w:val="000000"/>
                <w:sz w:val="20"/>
                <w:szCs w:val="20"/>
                <w:vertAlign w:val="subscript"/>
                <w:lang w:val="de-DE" w:eastAsia="de-DE"/>
              </w:rPr>
              <w:t xml:space="preserve">2 </w:t>
            </w:r>
            <w:proofErr w:type="spellStart"/>
            <w:r w:rsidRPr="00471859">
              <w:rPr>
                <w:rFonts w:ascii="Arial" w:eastAsia="Times New Roman" w:hAnsi="Arial" w:cs="Arial"/>
                <w:bCs/>
                <w:color w:val="000000"/>
                <w:sz w:val="20"/>
                <w:szCs w:val="20"/>
                <w:lang w:val="de-DE" w:eastAsia="de-DE"/>
              </w:rPr>
              <w:t>anhydrous</w:t>
            </w:r>
            <w:proofErr w:type="spellEnd"/>
          </w:p>
        </w:tc>
        <w:tc>
          <w:tcPr>
            <w:tcW w:w="992" w:type="dxa"/>
            <w:shd w:val="clear" w:color="auto" w:fill="FFFFFF" w:themeFill="background1"/>
            <w:noWrap/>
            <w:vAlign w:val="center"/>
            <w:hideMark/>
          </w:tcPr>
          <w:p w14:paraId="49755871"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98%</w:t>
            </w:r>
          </w:p>
        </w:tc>
        <w:tc>
          <w:tcPr>
            <w:tcW w:w="1560" w:type="dxa"/>
            <w:shd w:val="clear" w:color="auto" w:fill="FFFFFF" w:themeFill="background1"/>
            <w:noWrap/>
            <w:vAlign w:val="center"/>
            <w:hideMark/>
          </w:tcPr>
          <w:p w14:paraId="35CED39F"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5A995C2B" w14:textId="77777777" w:rsidR="007F5974" w:rsidRPr="00471859" w:rsidRDefault="007F5974" w:rsidP="00881ECF">
            <w:pPr>
              <w:spacing w:after="0" w:line="240" w:lineRule="auto"/>
              <w:rPr>
                <w:rFonts w:ascii="Arial" w:eastAsia="Times New Roman" w:hAnsi="Arial" w:cs="Arial"/>
                <w:bCs/>
                <w:color w:val="000000"/>
                <w:sz w:val="14"/>
                <w:szCs w:val="20"/>
                <w:lang w:val="de-DE"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de-DE" w:eastAsia="de-DE"/>
              </w:rPr>
              <w:instrText xml:space="preserve"> ADDIN ZOTERO_ITEM CSL_CITATION {"citationID":"uhO4wgXU","properties":{"formattedCitation":"{\\rtf (M\\uc0\\u252{}ller et al. 2014)}","plainCitation":"(Müller et al. 2014)"},"citationItems":[{"id":2350,"uris":["http://zotero.org/users/1099718/items/QPNWHAKN"],"uri":["http://zotero.org/users/1099718/items/QPNWHAKN"],"itemData":{"id":2350,"type":"article-journal","title":"Bacterial nanocellulose with a shape-memory effect as potential drug delivery system","container-title":"RSC Adv.","page":"57173-57184","volume":"4","issue":"100","source":"CrossRef","DOI":"10.1039/C4RA09898F","ISSN":"2046-2069","language":"en","author":[{"family":"Müller","given":"Astrid"},{"family":"Zink","given":"Matthias"},{"family":"Hessler","given":"Nadine"},{"family":"Wesarg","given":"Falko"},{"family":"Müller","given":"Frank A."},{"family":"Kralisch","given":"Dana"},{"family":"Fischer","given":"Dagmar"}],"issued":{"date-parts":[["2014",10,27]]}}}],"schema":"https://github.com/citation-style-language/schema/raw/master/csl-citation.json"}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szCs w:val="24"/>
              </w:rPr>
              <w:t>(Müller et al. 2014)</w:t>
            </w:r>
            <w:r w:rsidRPr="00471859">
              <w:rPr>
                <w:rFonts w:ascii="Arial" w:eastAsia="Times New Roman" w:hAnsi="Arial" w:cs="Arial"/>
                <w:bCs/>
                <w:color w:val="000000"/>
                <w:sz w:val="14"/>
                <w:szCs w:val="20"/>
                <w:lang w:val="de-DE" w:eastAsia="de-DE"/>
              </w:rPr>
              <w:fldChar w:fldCharType="end"/>
            </w:r>
          </w:p>
        </w:tc>
      </w:tr>
      <w:tr w:rsidR="007F5974" w:rsidRPr="00471859" w14:paraId="54BB3AE2" w14:textId="77777777" w:rsidTr="007F5974">
        <w:trPr>
          <w:trHeight w:val="288"/>
        </w:trPr>
        <w:tc>
          <w:tcPr>
            <w:tcW w:w="4111" w:type="dxa"/>
            <w:shd w:val="clear" w:color="auto" w:fill="FFFFFF" w:themeFill="background1"/>
            <w:noWrap/>
            <w:vAlign w:val="center"/>
            <w:hideMark/>
          </w:tcPr>
          <w:p w14:paraId="4E5B72BF"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Ammonium </w:t>
            </w:r>
            <w:proofErr w:type="spellStart"/>
            <w:r w:rsidRPr="00471859">
              <w:rPr>
                <w:rFonts w:ascii="Arial" w:eastAsia="Times New Roman" w:hAnsi="Arial" w:cs="Arial"/>
                <w:bCs/>
                <w:color w:val="000000"/>
                <w:sz w:val="20"/>
                <w:szCs w:val="20"/>
                <w:lang w:val="de-DE" w:eastAsia="de-DE"/>
              </w:rPr>
              <w:t>acetate</w:t>
            </w:r>
            <w:proofErr w:type="spellEnd"/>
          </w:p>
        </w:tc>
        <w:tc>
          <w:tcPr>
            <w:tcW w:w="992" w:type="dxa"/>
            <w:shd w:val="clear" w:color="auto" w:fill="FFFFFF" w:themeFill="background1"/>
            <w:noWrap/>
            <w:vAlign w:val="center"/>
            <w:hideMark/>
          </w:tcPr>
          <w:p w14:paraId="254DD717"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98%</w:t>
            </w:r>
          </w:p>
        </w:tc>
        <w:tc>
          <w:tcPr>
            <w:tcW w:w="1560" w:type="dxa"/>
            <w:shd w:val="clear" w:color="auto" w:fill="FFFFFF" w:themeFill="background1"/>
            <w:noWrap/>
            <w:vAlign w:val="center"/>
            <w:hideMark/>
          </w:tcPr>
          <w:p w14:paraId="36414EB2" w14:textId="77777777" w:rsidR="007F5974" w:rsidRPr="00471859" w:rsidRDefault="007F5974" w:rsidP="007F5974">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0274C521" w14:textId="77777777" w:rsidR="007F5974" w:rsidRPr="00471859" w:rsidRDefault="007F5974" w:rsidP="007F5974">
            <w:pPr>
              <w:spacing w:after="0" w:line="240" w:lineRule="auto"/>
              <w:rPr>
                <w:rFonts w:ascii="Arial" w:eastAsia="Times New Roman" w:hAnsi="Arial" w:cs="Arial"/>
                <w:bCs/>
                <w:color w:val="000000"/>
                <w:sz w:val="14"/>
                <w:szCs w:val="20"/>
                <w:lang w:val="de-DE" w:eastAsia="de-DE"/>
              </w:rPr>
            </w:pPr>
          </w:p>
        </w:tc>
      </w:tr>
      <w:tr w:rsidR="006C1A28" w:rsidRPr="00471859" w14:paraId="2AAA1EB8" w14:textId="77777777" w:rsidTr="007F5974">
        <w:trPr>
          <w:trHeight w:val="288"/>
        </w:trPr>
        <w:tc>
          <w:tcPr>
            <w:tcW w:w="4111" w:type="dxa"/>
            <w:shd w:val="clear" w:color="auto" w:fill="FFFFFF" w:themeFill="background1"/>
            <w:noWrap/>
            <w:vAlign w:val="center"/>
            <w:hideMark/>
          </w:tcPr>
          <w:p w14:paraId="2DCEDD47"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proofErr w:type="spellStart"/>
            <w:r w:rsidRPr="00471859">
              <w:rPr>
                <w:rFonts w:ascii="Arial" w:eastAsia="Times New Roman" w:hAnsi="Arial" w:cs="Arial"/>
                <w:bCs/>
                <w:color w:val="000000"/>
                <w:sz w:val="20"/>
                <w:szCs w:val="20"/>
                <w:lang w:val="de-DE" w:eastAsia="de-DE"/>
              </w:rPr>
              <w:t>Tween</w:t>
            </w:r>
            <w:proofErr w:type="spellEnd"/>
            <w:r w:rsidRPr="00471859">
              <w:rPr>
                <w:rFonts w:ascii="Arial" w:eastAsia="Times New Roman" w:hAnsi="Arial" w:cs="Arial"/>
                <w:bCs/>
                <w:color w:val="000000"/>
                <w:sz w:val="20"/>
                <w:szCs w:val="20"/>
                <w:lang w:val="de-DE" w:eastAsia="de-DE"/>
              </w:rPr>
              <w:t xml:space="preserve"> 80</w:t>
            </w:r>
          </w:p>
        </w:tc>
        <w:tc>
          <w:tcPr>
            <w:tcW w:w="992" w:type="dxa"/>
            <w:shd w:val="clear" w:color="auto" w:fill="FFFFFF" w:themeFill="background1"/>
            <w:noWrap/>
            <w:vAlign w:val="center"/>
            <w:hideMark/>
          </w:tcPr>
          <w:p w14:paraId="740BA9DB"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pure</w:t>
            </w:r>
          </w:p>
        </w:tc>
        <w:tc>
          <w:tcPr>
            <w:tcW w:w="1560" w:type="dxa"/>
            <w:shd w:val="clear" w:color="auto" w:fill="FFFFFF" w:themeFill="background1"/>
            <w:noWrap/>
            <w:vAlign w:val="center"/>
            <w:hideMark/>
          </w:tcPr>
          <w:p w14:paraId="7E80382E"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17F84635" w14:textId="77777777" w:rsidR="006C1A28" w:rsidRPr="00471859" w:rsidRDefault="006C1A28" w:rsidP="006C1A28">
            <w:pPr>
              <w:spacing w:after="0" w:line="240" w:lineRule="auto"/>
              <w:rPr>
                <w:rFonts w:ascii="Arial" w:eastAsia="Times New Roman" w:hAnsi="Arial" w:cs="Arial"/>
                <w:bCs/>
                <w:color w:val="000000"/>
                <w:sz w:val="14"/>
                <w:szCs w:val="20"/>
                <w:lang w:val="de-DE" w:eastAsia="de-DE"/>
              </w:rPr>
            </w:pPr>
          </w:p>
        </w:tc>
      </w:tr>
      <w:tr w:rsidR="006C1A28" w:rsidRPr="00471859" w14:paraId="38947128" w14:textId="77777777" w:rsidTr="007F5974">
        <w:trPr>
          <w:trHeight w:val="288"/>
        </w:trPr>
        <w:tc>
          <w:tcPr>
            <w:tcW w:w="4111" w:type="dxa"/>
            <w:shd w:val="clear" w:color="auto" w:fill="FFFFFF" w:themeFill="background1"/>
            <w:noWrap/>
            <w:vAlign w:val="center"/>
            <w:hideMark/>
          </w:tcPr>
          <w:p w14:paraId="5B694CE9"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proofErr w:type="spellStart"/>
            <w:r w:rsidRPr="00471859">
              <w:rPr>
                <w:rFonts w:ascii="Arial" w:eastAsia="Times New Roman" w:hAnsi="Arial" w:cs="Arial"/>
                <w:bCs/>
                <w:color w:val="000000"/>
                <w:sz w:val="20"/>
                <w:szCs w:val="20"/>
                <w:lang w:val="de-DE" w:eastAsia="de-DE"/>
              </w:rPr>
              <w:t>Polyethyleneimine</w:t>
            </w:r>
            <w:proofErr w:type="spellEnd"/>
            <w:r w:rsidRPr="00471859">
              <w:rPr>
                <w:rFonts w:ascii="Arial" w:eastAsia="Times New Roman" w:hAnsi="Arial" w:cs="Arial"/>
                <w:bCs/>
                <w:color w:val="000000"/>
                <w:sz w:val="20"/>
                <w:szCs w:val="20"/>
                <w:lang w:val="de-DE" w:eastAsia="de-DE"/>
              </w:rPr>
              <w:t xml:space="preserve"> </w:t>
            </w:r>
            <w:proofErr w:type="spellStart"/>
            <w:r w:rsidRPr="00471859">
              <w:rPr>
                <w:rFonts w:ascii="Arial" w:eastAsia="Times New Roman" w:hAnsi="Arial" w:cs="Arial"/>
                <w:bCs/>
                <w:color w:val="000000"/>
                <w:sz w:val="20"/>
                <w:szCs w:val="20"/>
                <w:lang w:val="de-DE" w:eastAsia="de-DE"/>
              </w:rPr>
              <w:t>solution</w:t>
            </w:r>
            <w:proofErr w:type="spellEnd"/>
          </w:p>
        </w:tc>
        <w:tc>
          <w:tcPr>
            <w:tcW w:w="992" w:type="dxa"/>
            <w:shd w:val="clear" w:color="auto" w:fill="FFFFFF" w:themeFill="background1"/>
            <w:noWrap/>
            <w:vAlign w:val="center"/>
            <w:hideMark/>
          </w:tcPr>
          <w:p w14:paraId="71B87F34"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xml:space="preserve">50 </w:t>
            </w:r>
            <w:proofErr w:type="spellStart"/>
            <w:r w:rsidRPr="00471859">
              <w:rPr>
                <w:rFonts w:ascii="Arial" w:eastAsia="Times New Roman" w:hAnsi="Arial" w:cs="Arial"/>
                <w:bCs/>
                <w:color w:val="000000"/>
                <w:sz w:val="20"/>
                <w:szCs w:val="20"/>
                <w:lang w:val="de-DE" w:eastAsia="de-DE"/>
              </w:rPr>
              <w:t>wt</w:t>
            </w:r>
            <w:proofErr w:type="spellEnd"/>
            <w:r w:rsidRPr="00471859">
              <w:rPr>
                <w:rFonts w:ascii="Arial" w:eastAsia="Times New Roman" w:hAnsi="Arial" w:cs="Arial"/>
                <w:bCs/>
                <w:color w:val="000000"/>
                <w:sz w:val="20"/>
                <w:szCs w:val="20"/>
                <w:lang w:val="de-DE" w:eastAsia="de-DE"/>
              </w:rPr>
              <w:t>%</w:t>
            </w:r>
          </w:p>
        </w:tc>
        <w:tc>
          <w:tcPr>
            <w:tcW w:w="1560" w:type="dxa"/>
            <w:shd w:val="clear" w:color="auto" w:fill="FFFFFF" w:themeFill="background1"/>
            <w:noWrap/>
            <w:vAlign w:val="center"/>
            <w:hideMark/>
          </w:tcPr>
          <w:p w14:paraId="4DF4D1B2"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shd w:val="clear" w:color="auto" w:fill="FFFFFF" w:themeFill="background1"/>
            <w:vAlign w:val="center"/>
          </w:tcPr>
          <w:p w14:paraId="441D7168" w14:textId="77777777" w:rsidR="006C1A28" w:rsidRPr="00471859" w:rsidRDefault="006C1A28" w:rsidP="006C1A28">
            <w:pPr>
              <w:spacing w:after="0" w:line="240" w:lineRule="auto"/>
              <w:rPr>
                <w:rFonts w:ascii="Arial" w:eastAsia="Times New Roman" w:hAnsi="Arial" w:cs="Arial"/>
                <w:bCs/>
                <w:color w:val="000000"/>
                <w:sz w:val="14"/>
                <w:szCs w:val="20"/>
                <w:lang w:val="de-DE" w:eastAsia="de-DE"/>
              </w:rPr>
            </w:pPr>
          </w:p>
        </w:tc>
      </w:tr>
      <w:tr w:rsidR="006C1A28" w:rsidRPr="00471859" w14:paraId="184C1B85" w14:textId="77777777" w:rsidTr="007F5974">
        <w:trPr>
          <w:trHeight w:val="288"/>
        </w:trPr>
        <w:tc>
          <w:tcPr>
            <w:tcW w:w="4111" w:type="dxa"/>
            <w:tcBorders>
              <w:bottom w:val="single" w:sz="4" w:space="0" w:color="auto"/>
            </w:tcBorders>
            <w:shd w:val="clear" w:color="auto" w:fill="FFFF00"/>
            <w:noWrap/>
            <w:vAlign w:val="center"/>
            <w:hideMark/>
          </w:tcPr>
          <w:p w14:paraId="31C5E539"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NaCl</w:t>
            </w:r>
          </w:p>
        </w:tc>
        <w:tc>
          <w:tcPr>
            <w:tcW w:w="992" w:type="dxa"/>
            <w:tcBorders>
              <w:bottom w:val="single" w:sz="4" w:space="0" w:color="auto"/>
            </w:tcBorders>
            <w:shd w:val="clear" w:color="auto" w:fill="FFFF00"/>
            <w:noWrap/>
            <w:vAlign w:val="center"/>
            <w:hideMark/>
          </w:tcPr>
          <w:p w14:paraId="0FF77F72"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 99.8%</w:t>
            </w:r>
          </w:p>
        </w:tc>
        <w:tc>
          <w:tcPr>
            <w:tcW w:w="1560" w:type="dxa"/>
            <w:tcBorders>
              <w:bottom w:val="single" w:sz="4" w:space="0" w:color="auto"/>
            </w:tcBorders>
            <w:shd w:val="clear" w:color="auto" w:fill="FFFF00"/>
            <w:noWrap/>
            <w:vAlign w:val="center"/>
            <w:hideMark/>
          </w:tcPr>
          <w:p w14:paraId="24E0F3AF" w14:textId="77777777" w:rsidR="006C1A28" w:rsidRPr="00471859" w:rsidRDefault="006C1A28" w:rsidP="006C1A28">
            <w:pPr>
              <w:spacing w:after="0" w:line="240" w:lineRule="auto"/>
              <w:rPr>
                <w:rFonts w:ascii="Arial" w:eastAsia="Times New Roman" w:hAnsi="Arial" w:cs="Arial"/>
                <w:bCs/>
                <w:color w:val="000000"/>
                <w:sz w:val="20"/>
                <w:szCs w:val="20"/>
                <w:lang w:val="de-DE" w:eastAsia="de-DE"/>
              </w:rPr>
            </w:pPr>
            <w:r w:rsidRPr="00471859">
              <w:rPr>
                <w:rFonts w:ascii="Arial" w:eastAsia="Times New Roman" w:hAnsi="Arial" w:cs="Arial"/>
                <w:bCs/>
                <w:color w:val="000000"/>
                <w:sz w:val="20"/>
                <w:szCs w:val="20"/>
                <w:lang w:val="de-DE" w:eastAsia="de-DE"/>
              </w:rPr>
              <w:t>Sigma-Aldrich</w:t>
            </w:r>
          </w:p>
        </w:tc>
        <w:tc>
          <w:tcPr>
            <w:tcW w:w="2409" w:type="dxa"/>
            <w:tcBorders>
              <w:bottom w:val="single" w:sz="4" w:space="0" w:color="auto"/>
            </w:tcBorders>
            <w:shd w:val="clear" w:color="auto" w:fill="FFFF00"/>
            <w:vAlign w:val="center"/>
          </w:tcPr>
          <w:p w14:paraId="64F14E0C" w14:textId="77777777" w:rsidR="006C1A28" w:rsidRPr="00471859" w:rsidRDefault="006C1A28" w:rsidP="00881ECF">
            <w:pPr>
              <w:spacing w:after="0" w:line="240" w:lineRule="auto"/>
              <w:rPr>
                <w:rFonts w:ascii="Arial" w:eastAsia="Times New Roman" w:hAnsi="Arial" w:cs="Arial"/>
                <w:bCs/>
                <w:color w:val="000000"/>
                <w:sz w:val="14"/>
                <w:szCs w:val="20"/>
                <w:lang w:val="de-DE" w:eastAsia="de-DE"/>
              </w:rPr>
            </w:pPr>
            <w:r w:rsidRPr="00471859">
              <w:rPr>
                <w:rFonts w:ascii="Arial" w:eastAsia="Times New Roman" w:hAnsi="Arial" w:cs="Arial"/>
                <w:bCs/>
                <w:color w:val="000000"/>
                <w:sz w:val="14"/>
                <w:szCs w:val="20"/>
                <w:lang w:val="de-DE" w:eastAsia="de-DE"/>
              </w:rPr>
              <w:fldChar w:fldCharType="begin"/>
            </w:r>
            <w:r w:rsidRPr="00471859">
              <w:rPr>
                <w:rFonts w:ascii="Arial" w:eastAsia="Times New Roman" w:hAnsi="Arial" w:cs="Arial"/>
                <w:bCs/>
                <w:color w:val="000000"/>
                <w:sz w:val="14"/>
                <w:szCs w:val="20"/>
                <w:lang w:val="de-DE" w:eastAsia="de-DE"/>
              </w:rPr>
              <w:instrText xml:space="preserve"> ADDIN ZOTERO_ITEM CSL_CITATION {"citationID":"1jl5halg74","properties":{"formattedCitation":"{\\rtf (Missoum et al. 2012; M\\uc0\\u252{}ller et al. 2014)}","plainCitation":"(Missoum et al. 2012; Müller et al. 2014)"},"citationItems":[{"id":1820,"uris":["http://zotero.org/users/1099718/items/BSTJGS3W"],"uri":["http://zotero.org/users/1099718/items/BSTJGS3W"],"itemData":{"id":1820,"type":"article-journal","title":"Water Redispersible Dried Nanofibrillated Cellulose by Adding Sodium Chloride","container-title":"Biomacromolecules","page":"4118-4125","volume":"13","issue":"12","source":"ACS Publications","abstract":"The present study reports for the first time a method to obtain water redispersible dried NFC using freeze-drying. No chemical surface modification was required to get this kind of product. Salt addition (sodium chloride: NaCl) strategy has been selected to block and then to regenerate hydrogen bonds during the drying and the redispersion steps, respectively. Several samples were produced at different pH (i.e., 4, 6, 8, and 10). All the redispersed NFC were characterized by different techniques (e.g., FE-SEM, XRD, EPMA-EDX) to check the effect of salt on NFC aggregation. The interactions between NFC and NaCl at different pH conditions have been discussed and the rheology of the redispersed NFC suspension has been performed. All the results prove a perfect water redispersion at pH 8 and exactly similar suspension is obtained after water dispersion of dried NFC following our procedure. These results are very promising for increasing application of NFC.","DOI":"10.1021/bm301378n","ISSN":"1525-7797","journalAbbreviation":"Biomacromolecules","author":[{"family":"Missoum","given":"Karim"},{"family":"Bras","given":"Julien"},{"family":"Belgacem","given":"Mohamed Naceur"}],"issued":{"date-parts":[["2012"]],"season":"Dezember"}}},{"id":2350,"uris":["http://zotero.org/users/1099718/items/QPNWHAKN"],"uri":["http://zotero.org/users/1099718/items/QPNWHAKN"],"itemData":{"id":2350,"type":"article-journal","title":"Bacterial nanocellulose with a shape-memory effect as potential drug delivery system","container-title":"RSC Adv.","page":"57173-57184","volume":"4","issue":"100","source":"CrossRef","DOI":"10.1039/C4RA09898F","ISSN":"2046-2069","language":"en","author":[{"family":"Müller","given":"Astrid"},{"family":"Zink","given":"Matthias"},{"family":"Hessler","given":"Nadine"},{"family":"Wesarg","given":"Falko"},{"family":"Müller","given":"Frank A."},{"family":"Kralisch","given":"Dana"},{"family":"Fischer","given":"Dagmar"}],"issued":{"date-parts":[["2014",10,27]]}}}],"schema":"https://github.com/citation-style-language/schema/raw/master/csl-citation.json"} </w:instrText>
            </w:r>
            <w:r w:rsidRPr="00471859">
              <w:rPr>
                <w:rFonts w:ascii="Arial" w:eastAsia="Times New Roman" w:hAnsi="Arial" w:cs="Arial"/>
                <w:bCs/>
                <w:color w:val="000000"/>
                <w:sz w:val="14"/>
                <w:szCs w:val="20"/>
                <w:lang w:val="de-DE" w:eastAsia="de-DE"/>
              </w:rPr>
              <w:fldChar w:fldCharType="separate"/>
            </w:r>
            <w:r w:rsidR="00881ECF" w:rsidRPr="00471859">
              <w:rPr>
                <w:rFonts w:ascii="Arial" w:hAnsi="Arial" w:cs="Arial"/>
                <w:sz w:val="14"/>
                <w:szCs w:val="24"/>
                <w:lang w:val="de-DE"/>
              </w:rPr>
              <w:t>(Missoum et al. 2012; Müller et al. 2014)</w:t>
            </w:r>
            <w:r w:rsidRPr="00471859">
              <w:rPr>
                <w:rFonts w:ascii="Arial" w:eastAsia="Times New Roman" w:hAnsi="Arial" w:cs="Arial"/>
                <w:bCs/>
                <w:color w:val="000000"/>
                <w:sz w:val="14"/>
                <w:szCs w:val="20"/>
                <w:lang w:val="de-DE" w:eastAsia="de-DE"/>
              </w:rPr>
              <w:fldChar w:fldCharType="end"/>
            </w:r>
          </w:p>
        </w:tc>
      </w:tr>
    </w:tbl>
    <w:p w14:paraId="3AC88C24" w14:textId="77777777" w:rsidR="0045146C" w:rsidRPr="00471859" w:rsidRDefault="0045146C" w:rsidP="00166F4B">
      <w:pPr>
        <w:spacing w:line="360" w:lineRule="auto"/>
        <w:rPr>
          <w:rFonts w:ascii="Arial" w:hAnsi="Arial" w:cs="Arial"/>
          <w:sz w:val="24"/>
          <w:szCs w:val="24"/>
          <w:lang w:val="de-DE"/>
        </w:rPr>
      </w:pPr>
    </w:p>
    <w:p w14:paraId="3AB51E37" w14:textId="77777777" w:rsidR="0045146C" w:rsidRPr="00471859" w:rsidRDefault="0045146C" w:rsidP="00166F4B">
      <w:pPr>
        <w:spacing w:line="360" w:lineRule="auto"/>
        <w:rPr>
          <w:rFonts w:ascii="Arial" w:hAnsi="Arial" w:cs="Arial"/>
          <w:sz w:val="24"/>
          <w:szCs w:val="24"/>
          <w:lang w:val="de-DE"/>
        </w:rPr>
      </w:pPr>
    </w:p>
    <w:p w14:paraId="5154F55A" w14:textId="77777777" w:rsidR="00166F4B" w:rsidRPr="00471859" w:rsidRDefault="0045146C" w:rsidP="00166F4B">
      <w:pPr>
        <w:spacing w:line="360" w:lineRule="auto"/>
        <w:rPr>
          <w:rFonts w:ascii="Arial" w:hAnsi="Arial" w:cs="Arial"/>
          <w:sz w:val="24"/>
          <w:szCs w:val="24"/>
          <w:lang w:val="de-DE"/>
        </w:rPr>
      </w:pPr>
      <w:r w:rsidRPr="00471859">
        <w:rPr>
          <w:rFonts w:ascii="Arial" w:hAnsi="Arial" w:cs="Arial"/>
          <w:sz w:val="24"/>
          <w:szCs w:val="24"/>
          <w:lang w:val="de-DE"/>
        </w:rPr>
        <w:br w:type="column"/>
      </w:r>
      <w:r w:rsidRPr="00471859">
        <w:rPr>
          <w:rFonts w:ascii="Arial" w:hAnsi="Arial" w:cs="Arial"/>
          <w:noProof/>
          <w:sz w:val="24"/>
          <w:szCs w:val="24"/>
          <w:lang w:val="de-DE" w:eastAsia="de-DE"/>
        </w:rPr>
        <w:lastRenderedPageBreak/>
        <w:drawing>
          <wp:inline distT="0" distB="0" distL="0" distR="0" wp14:anchorId="2A42D812" wp14:editId="6168068D">
            <wp:extent cx="5760000" cy="3718819"/>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7"/>
                    <a:srcRect t="8329"/>
                    <a:stretch/>
                  </pic:blipFill>
                  <pic:spPr>
                    <a:xfrm>
                      <a:off x="0" y="0"/>
                      <a:ext cx="5760000" cy="3718819"/>
                    </a:xfrm>
                    <a:prstGeom prst="rect">
                      <a:avLst/>
                    </a:prstGeom>
                  </pic:spPr>
                </pic:pic>
              </a:graphicData>
            </a:graphic>
          </wp:inline>
        </w:drawing>
      </w:r>
    </w:p>
    <w:p w14:paraId="43556193" w14:textId="77777777" w:rsidR="004D3B74" w:rsidRPr="00471859" w:rsidRDefault="004D3B74" w:rsidP="00166F4B">
      <w:pPr>
        <w:spacing w:line="360" w:lineRule="auto"/>
        <w:rPr>
          <w:rFonts w:ascii="Arial" w:hAnsi="Arial" w:cs="Arial"/>
          <w:sz w:val="24"/>
          <w:szCs w:val="24"/>
          <w:lang w:val="en-US"/>
        </w:rPr>
      </w:pPr>
      <w:r w:rsidRPr="00471859">
        <w:rPr>
          <w:rFonts w:ascii="Arial" w:hAnsi="Arial" w:cs="Arial"/>
          <w:sz w:val="24"/>
          <w:szCs w:val="24"/>
          <w:lang w:val="en-US"/>
        </w:rPr>
        <w:t xml:space="preserve">Figure S1: </w:t>
      </w:r>
      <w:r w:rsidRPr="00471859">
        <w:rPr>
          <w:rFonts w:ascii="Arial" w:hAnsi="Arial" w:cs="Arial"/>
          <w:sz w:val="24"/>
          <w:szCs w:val="24"/>
        </w:rPr>
        <w:t>SEM micrographs of CNF cryogels using different freezing conditions.</w:t>
      </w:r>
    </w:p>
    <w:p w14:paraId="3D8D231D" w14:textId="77777777" w:rsidR="00937438" w:rsidRPr="00471859" w:rsidRDefault="00937438">
      <w:pPr>
        <w:rPr>
          <w:rFonts w:ascii="Arial" w:hAnsi="Arial" w:cs="Arial"/>
          <w:sz w:val="24"/>
          <w:szCs w:val="24"/>
          <w:lang w:val="en-US"/>
        </w:rPr>
      </w:pPr>
      <w:r w:rsidRPr="00471859">
        <w:rPr>
          <w:rFonts w:ascii="Arial" w:hAnsi="Arial" w:cs="Arial"/>
          <w:sz w:val="24"/>
          <w:szCs w:val="24"/>
          <w:lang w:val="en-US"/>
        </w:rPr>
        <w:br w:type="page"/>
      </w:r>
    </w:p>
    <w:p w14:paraId="6A88D9C9" w14:textId="77777777" w:rsidR="0045146C" w:rsidRPr="00471859" w:rsidRDefault="0045146C" w:rsidP="00166F4B">
      <w:pPr>
        <w:spacing w:line="360" w:lineRule="auto"/>
        <w:rPr>
          <w:rFonts w:ascii="Arial" w:hAnsi="Arial" w:cs="Arial"/>
          <w:sz w:val="24"/>
          <w:szCs w:val="24"/>
          <w:lang w:val="de-DE"/>
        </w:rPr>
      </w:pPr>
      <w:r w:rsidRPr="00471859">
        <w:rPr>
          <w:rFonts w:ascii="Arial" w:hAnsi="Arial" w:cs="Arial"/>
          <w:noProof/>
          <w:sz w:val="24"/>
          <w:szCs w:val="24"/>
          <w:lang w:val="de-DE" w:eastAsia="de-DE"/>
        </w:rPr>
        <w:lastRenderedPageBreak/>
        <w:drawing>
          <wp:inline distT="0" distB="0" distL="0" distR="0" wp14:anchorId="6ED02B28" wp14:editId="431498DD">
            <wp:extent cx="4663524" cy="2397012"/>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6343" cy="2413881"/>
                    </a:xfrm>
                    <a:prstGeom prst="rect">
                      <a:avLst/>
                    </a:prstGeom>
                    <a:noFill/>
                  </pic:spPr>
                </pic:pic>
              </a:graphicData>
            </a:graphic>
          </wp:inline>
        </w:drawing>
      </w:r>
    </w:p>
    <w:p w14:paraId="1F17F473" w14:textId="77777777" w:rsidR="004D3B74" w:rsidRPr="00471859" w:rsidRDefault="004D3B74" w:rsidP="00166F4B">
      <w:pPr>
        <w:spacing w:line="360" w:lineRule="auto"/>
        <w:rPr>
          <w:rFonts w:ascii="Arial" w:hAnsi="Arial" w:cs="Arial"/>
          <w:sz w:val="24"/>
          <w:szCs w:val="24"/>
          <w:lang w:val="en-US"/>
        </w:rPr>
      </w:pPr>
      <w:r w:rsidRPr="00471859">
        <w:rPr>
          <w:rFonts w:ascii="Arial" w:hAnsi="Arial" w:cs="Arial"/>
          <w:sz w:val="24"/>
          <w:szCs w:val="24"/>
          <w:lang w:val="en-US"/>
        </w:rPr>
        <w:t xml:space="preserve">Figure S2: </w:t>
      </w:r>
      <w:r w:rsidRPr="00471859">
        <w:rPr>
          <w:rFonts w:ascii="Arial" w:hAnsi="Arial" w:cs="Arial"/>
          <w:sz w:val="24"/>
          <w:szCs w:val="24"/>
        </w:rPr>
        <w:t xml:space="preserve">WRV of the redispersed CNF cryogels (1 </w:t>
      </w:r>
      <w:proofErr w:type="spellStart"/>
      <w:r w:rsidRPr="00471859">
        <w:rPr>
          <w:rFonts w:ascii="Arial" w:hAnsi="Arial" w:cs="Arial"/>
          <w:sz w:val="24"/>
          <w:szCs w:val="24"/>
        </w:rPr>
        <w:t>wt</w:t>
      </w:r>
      <w:proofErr w:type="spellEnd"/>
      <w:r w:rsidRPr="00471859">
        <w:rPr>
          <w:rFonts w:ascii="Arial" w:hAnsi="Arial" w:cs="Arial"/>
          <w:sz w:val="24"/>
          <w:szCs w:val="24"/>
        </w:rPr>
        <w:t>%) in water.</w:t>
      </w:r>
    </w:p>
    <w:p w14:paraId="75099FFD" w14:textId="77777777" w:rsidR="00937438" w:rsidRPr="00471859" w:rsidRDefault="00937438">
      <w:pPr>
        <w:rPr>
          <w:rFonts w:ascii="Arial" w:hAnsi="Arial" w:cs="Arial"/>
          <w:sz w:val="24"/>
          <w:szCs w:val="24"/>
          <w:lang w:val="en-US"/>
        </w:rPr>
      </w:pPr>
      <w:r w:rsidRPr="00471859">
        <w:rPr>
          <w:rFonts w:ascii="Arial" w:hAnsi="Arial" w:cs="Arial"/>
          <w:sz w:val="24"/>
          <w:szCs w:val="24"/>
          <w:lang w:val="en-US"/>
        </w:rPr>
        <w:br w:type="page"/>
      </w:r>
    </w:p>
    <w:p w14:paraId="0D4BA04E" w14:textId="77777777" w:rsidR="004D3B74" w:rsidRPr="00471859" w:rsidRDefault="004D3B74" w:rsidP="00166F4B">
      <w:pPr>
        <w:spacing w:line="360" w:lineRule="auto"/>
        <w:rPr>
          <w:rFonts w:ascii="Arial" w:hAnsi="Arial" w:cs="Arial"/>
          <w:sz w:val="24"/>
          <w:szCs w:val="24"/>
          <w:lang w:val="en-US"/>
        </w:rPr>
      </w:pPr>
    </w:p>
    <w:p w14:paraId="29517953" w14:textId="77777777" w:rsidR="00DA747C" w:rsidRPr="00471859" w:rsidRDefault="00DA747C" w:rsidP="00166F4B">
      <w:pPr>
        <w:spacing w:line="360" w:lineRule="auto"/>
        <w:rPr>
          <w:rFonts w:ascii="Arial" w:hAnsi="Arial" w:cs="Arial"/>
          <w:sz w:val="24"/>
          <w:szCs w:val="24"/>
          <w:lang w:val="de-DE"/>
        </w:rPr>
      </w:pPr>
      <w:r w:rsidRPr="00471859">
        <w:rPr>
          <w:rFonts w:ascii="Arial" w:hAnsi="Arial" w:cs="Arial"/>
          <w:noProof/>
          <w:sz w:val="24"/>
          <w:szCs w:val="24"/>
          <w:lang w:val="de-DE" w:eastAsia="de-DE"/>
        </w:rPr>
        <w:drawing>
          <wp:anchor distT="0" distB="0" distL="114300" distR="114300" simplePos="0" relativeHeight="251658240" behindDoc="0" locked="0" layoutInCell="1" allowOverlap="1" wp14:anchorId="08392F87" wp14:editId="14E10E56">
            <wp:simplePos x="895350" y="7391400"/>
            <wp:positionH relativeFrom="column">
              <wp:align>left</wp:align>
            </wp:positionH>
            <wp:positionV relativeFrom="paragraph">
              <wp:align>top</wp:align>
            </wp:positionV>
            <wp:extent cx="2700000" cy="14562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000" cy="1456260"/>
                    </a:xfrm>
                    <a:prstGeom prst="rect">
                      <a:avLst/>
                    </a:prstGeom>
                    <a:noFill/>
                  </pic:spPr>
                </pic:pic>
              </a:graphicData>
            </a:graphic>
            <wp14:sizeRelH relativeFrom="margin">
              <wp14:pctWidth>0</wp14:pctWidth>
            </wp14:sizeRelH>
            <wp14:sizeRelV relativeFrom="margin">
              <wp14:pctHeight>0</wp14:pctHeight>
            </wp14:sizeRelV>
          </wp:anchor>
        </w:drawing>
      </w:r>
      <w:r w:rsidRPr="00471859">
        <w:rPr>
          <w:rFonts w:ascii="Arial" w:hAnsi="Arial" w:cs="Arial"/>
          <w:noProof/>
          <w:sz w:val="24"/>
          <w:szCs w:val="24"/>
          <w:lang w:val="de-DE" w:eastAsia="de-DE"/>
        </w:rPr>
        <w:drawing>
          <wp:inline distT="0" distB="0" distL="0" distR="0" wp14:anchorId="18EFA6E0" wp14:editId="3CE1AA9B">
            <wp:extent cx="2700000" cy="17014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000" cy="1701460"/>
                    </a:xfrm>
                    <a:prstGeom prst="rect">
                      <a:avLst/>
                    </a:prstGeom>
                    <a:noFill/>
                  </pic:spPr>
                </pic:pic>
              </a:graphicData>
            </a:graphic>
          </wp:inline>
        </w:drawing>
      </w:r>
    </w:p>
    <w:p w14:paraId="35A82657" w14:textId="77777777" w:rsidR="004D3B74" w:rsidRPr="00471859" w:rsidRDefault="004D3B74" w:rsidP="00166F4B">
      <w:pPr>
        <w:spacing w:line="360" w:lineRule="auto"/>
        <w:rPr>
          <w:rFonts w:ascii="Arial" w:hAnsi="Arial" w:cs="Arial"/>
          <w:sz w:val="24"/>
          <w:szCs w:val="24"/>
          <w:lang w:val="en-US"/>
        </w:rPr>
      </w:pPr>
      <w:r w:rsidRPr="00471859">
        <w:rPr>
          <w:rFonts w:ascii="Arial" w:hAnsi="Arial" w:cs="Arial"/>
          <w:sz w:val="24"/>
          <w:szCs w:val="24"/>
          <w:lang w:val="en-US"/>
        </w:rPr>
        <w:t xml:space="preserve">Figure S3: Comparison of CMC of different viscosities and degree of substitutions. </w:t>
      </w:r>
      <w:r w:rsidR="00093821" w:rsidRPr="00471859">
        <w:rPr>
          <w:rFonts w:ascii="Arial" w:hAnsi="Arial" w:cs="Arial"/>
          <w:sz w:val="24"/>
          <w:szCs w:val="24"/>
          <w:lang w:val="en-US"/>
        </w:rPr>
        <w:t>Redispersed samples with CMC showed similar colloidal stabilities. But a</w:t>
      </w:r>
      <w:r w:rsidR="00B9268C" w:rsidRPr="00471859">
        <w:rPr>
          <w:rFonts w:ascii="Arial" w:hAnsi="Arial" w:cs="Arial"/>
          <w:sz w:val="24"/>
          <w:szCs w:val="24"/>
          <w:lang w:val="en-US"/>
        </w:rPr>
        <w:t xml:space="preserve"> higher WRV was obtained </w:t>
      </w:r>
      <w:r w:rsidR="00093821" w:rsidRPr="00471859">
        <w:rPr>
          <w:rFonts w:ascii="Arial" w:hAnsi="Arial" w:cs="Arial"/>
          <w:sz w:val="24"/>
          <w:szCs w:val="24"/>
          <w:lang w:val="en-US"/>
        </w:rPr>
        <w:t>for</w:t>
      </w:r>
      <w:r w:rsidR="00B9268C" w:rsidRPr="00471859">
        <w:rPr>
          <w:rFonts w:ascii="Arial" w:hAnsi="Arial" w:cs="Arial"/>
          <w:sz w:val="24"/>
          <w:szCs w:val="24"/>
          <w:lang w:val="en-US"/>
        </w:rPr>
        <w:t xml:space="preserve"> CMC </w:t>
      </w:r>
      <w:r w:rsidR="00093821" w:rsidRPr="00471859">
        <w:rPr>
          <w:rFonts w:ascii="Arial" w:hAnsi="Arial" w:cs="Arial"/>
          <w:sz w:val="24"/>
          <w:szCs w:val="24"/>
          <w:lang w:val="en-US"/>
        </w:rPr>
        <w:t>with a DS of 0.82-0.95</w:t>
      </w:r>
      <w:r w:rsidR="00B9268C" w:rsidRPr="00471859">
        <w:rPr>
          <w:rFonts w:ascii="Arial" w:hAnsi="Arial" w:cs="Arial"/>
          <w:sz w:val="24"/>
          <w:szCs w:val="24"/>
          <w:lang w:val="en-US"/>
        </w:rPr>
        <w:t xml:space="preserve">. </w:t>
      </w:r>
    </w:p>
    <w:p w14:paraId="0ED3B27F" w14:textId="77777777" w:rsidR="00937438" w:rsidRPr="00471859" w:rsidRDefault="00937438">
      <w:pPr>
        <w:rPr>
          <w:rFonts w:ascii="Arial" w:hAnsi="Arial" w:cs="Arial"/>
          <w:b/>
          <w:sz w:val="30"/>
          <w:szCs w:val="30"/>
          <w:lang w:val="en-US"/>
        </w:rPr>
      </w:pPr>
      <w:bookmarkStart w:id="0" w:name="_GoBack"/>
      <w:bookmarkEnd w:id="0"/>
      <w:r w:rsidRPr="00471859">
        <w:rPr>
          <w:rFonts w:ascii="Arial" w:hAnsi="Arial" w:cs="Arial"/>
          <w:b/>
          <w:sz w:val="30"/>
          <w:szCs w:val="30"/>
          <w:lang w:val="en-US"/>
        </w:rPr>
        <w:br w:type="page"/>
      </w:r>
    </w:p>
    <w:p w14:paraId="6A737246" w14:textId="77777777" w:rsidR="00166F4B" w:rsidRPr="00471859" w:rsidRDefault="00881ECF" w:rsidP="00166F4B">
      <w:pPr>
        <w:spacing w:line="360" w:lineRule="auto"/>
        <w:rPr>
          <w:rFonts w:ascii="Arial" w:hAnsi="Arial" w:cs="Arial"/>
          <w:b/>
          <w:sz w:val="30"/>
          <w:szCs w:val="30"/>
          <w:lang w:val="en-US"/>
        </w:rPr>
      </w:pPr>
      <w:r w:rsidRPr="00471859">
        <w:rPr>
          <w:rFonts w:ascii="Arial" w:hAnsi="Arial" w:cs="Arial"/>
          <w:b/>
          <w:sz w:val="30"/>
          <w:szCs w:val="30"/>
          <w:lang w:val="en-US"/>
        </w:rPr>
        <w:lastRenderedPageBreak/>
        <w:t>Literature</w:t>
      </w:r>
    </w:p>
    <w:p w14:paraId="69F3D3D9" w14:textId="77777777" w:rsidR="00881ECF" w:rsidRPr="00471859" w:rsidRDefault="00881ECF" w:rsidP="00881ECF">
      <w:pPr>
        <w:pStyle w:val="Literaturverzeichnis"/>
        <w:rPr>
          <w:rFonts w:ascii="Arial" w:hAnsi="Arial" w:cs="Arial"/>
          <w:sz w:val="24"/>
        </w:rPr>
      </w:pPr>
      <w:r w:rsidRPr="00471859">
        <w:rPr>
          <w:rFonts w:ascii="Arial" w:hAnsi="Arial" w:cs="Arial"/>
          <w:b/>
          <w:lang w:val="en-US"/>
        </w:rPr>
        <w:fldChar w:fldCharType="begin"/>
      </w:r>
      <w:r w:rsidRPr="00471859">
        <w:rPr>
          <w:rFonts w:ascii="Arial" w:hAnsi="Arial" w:cs="Arial"/>
          <w:b/>
          <w:lang w:val="en-US"/>
        </w:rPr>
        <w:instrText xml:space="preserve"> ADDIN ZOTERO_BIBL {"custom":[]} CSL_BIBLIOGRAPHY </w:instrText>
      </w:r>
      <w:r w:rsidRPr="00471859">
        <w:rPr>
          <w:rFonts w:ascii="Arial" w:hAnsi="Arial" w:cs="Arial"/>
          <w:b/>
          <w:lang w:val="en-US"/>
        </w:rPr>
        <w:fldChar w:fldCharType="separate"/>
      </w:r>
      <w:r w:rsidRPr="00471859">
        <w:rPr>
          <w:rFonts w:ascii="Arial" w:hAnsi="Arial" w:cs="Arial"/>
          <w:sz w:val="24"/>
        </w:rPr>
        <w:t>Butchosa N, Zhou Q (2014) Water redispersible cellulose nanofibrils adsorbed with carboxymethyl cellulose. Cellulose 21:4349–4358. doi: 10.1007/s10570-014-0452-7</w:t>
      </w:r>
    </w:p>
    <w:p w14:paraId="4A1325AA" w14:textId="77777777" w:rsidR="00881ECF" w:rsidRPr="00471859" w:rsidRDefault="00881ECF" w:rsidP="00881ECF">
      <w:pPr>
        <w:pStyle w:val="Literaturverzeichnis"/>
        <w:rPr>
          <w:rFonts w:ascii="Arial" w:hAnsi="Arial" w:cs="Arial"/>
          <w:sz w:val="24"/>
        </w:rPr>
      </w:pPr>
      <w:r w:rsidRPr="00471859">
        <w:rPr>
          <w:rFonts w:ascii="Arial" w:hAnsi="Arial" w:cs="Arial"/>
          <w:sz w:val="24"/>
        </w:rPr>
        <w:t>Fairman EM (2014) Avoiding aggregation during drying and rehydration of nanocellulose. University of Maine</w:t>
      </w:r>
    </w:p>
    <w:p w14:paraId="5B98D1EF" w14:textId="77777777" w:rsidR="00881ECF" w:rsidRPr="00471859" w:rsidRDefault="00881ECF" w:rsidP="00881ECF">
      <w:pPr>
        <w:pStyle w:val="Literaturverzeichnis"/>
        <w:rPr>
          <w:rFonts w:ascii="Arial" w:hAnsi="Arial" w:cs="Arial"/>
          <w:sz w:val="24"/>
        </w:rPr>
      </w:pPr>
      <w:r w:rsidRPr="00471859">
        <w:rPr>
          <w:rFonts w:ascii="Arial" w:hAnsi="Arial" w:cs="Arial"/>
          <w:sz w:val="24"/>
        </w:rPr>
        <w:t>Missoum K, Bras J, Belgacem MN (2012) Water Redispersible Dried Nanofibrillated Cellulose by Adding Sodium Chloride. Biomacromolecules 13:4118–4125. doi: 10.1021/bm301378n</w:t>
      </w:r>
    </w:p>
    <w:p w14:paraId="10BA9C3D" w14:textId="77777777" w:rsidR="00881ECF" w:rsidRPr="00471859" w:rsidRDefault="00881ECF" w:rsidP="00881ECF">
      <w:pPr>
        <w:pStyle w:val="Literaturverzeichnis"/>
        <w:rPr>
          <w:rFonts w:ascii="Arial" w:hAnsi="Arial" w:cs="Arial"/>
          <w:sz w:val="24"/>
        </w:rPr>
      </w:pPr>
      <w:r w:rsidRPr="00471859">
        <w:rPr>
          <w:rFonts w:ascii="Arial" w:hAnsi="Arial" w:cs="Arial"/>
          <w:sz w:val="24"/>
        </w:rPr>
        <w:t>Müller A, Zink M, Hessler N, et al (2014) Bacterial nanocellulose with a shape-memory effect as potential drug delivery system. RSC Adv 4:57173–57184. doi: 10.1039/C4RA09898F</w:t>
      </w:r>
    </w:p>
    <w:p w14:paraId="62087E8A" w14:textId="77777777" w:rsidR="00881ECF" w:rsidRPr="00471859" w:rsidRDefault="00881ECF" w:rsidP="00881ECF">
      <w:pPr>
        <w:pStyle w:val="Literaturverzeichnis"/>
        <w:rPr>
          <w:rFonts w:ascii="Arial" w:hAnsi="Arial" w:cs="Arial"/>
          <w:sz w:val="24"/>
        </w:rPr>
      </w:pPr>
      <w:r w:rsidRPr="00471859">
        <w:rPr>
          <w:rFonts w:ascii="Arial" w:hAnsi="Arial" w:cs="Arial"/>
          <w:sz w:val="24"/>
        </w:rPr>
        <w:t>Naderi A, Lindström T, Sundström J, Flodberg G (2015) Can redispersible low-charged nanofibrillated cellulose be produced by the addition of carboxymethyl cellulose? Nord Pulp Pap Res J 30:568–77.</w:t>
      </w:r>
    </w:p>
    <w:p w14:paraId="7AEB5EAD" w14:textId="77777777" w:rsidR="00881ECF" w:rsidRPr="00471859" w:rsidRDefault="00881ECF" w:rsidP="00881ECF">
      <w:pPr>
        <w:pStyle w:val="Literaturverzeichnis"/>
        <w:rPr>
          <w:rFonts w:ascii="Arial" w:hAnsi="Arial" w:cs="Arial"/>
          <w:sz w:val="24"/>
        </w:rPr>
      </w:pPr>
      <w:r w:rsidRPr="00471859">
        <w:rPr>
          <w:rFonts w:ascii="Arial" w:hAnsi="Arial" w:cs="Arial"/>
          <w:sz w:val="24"/>
        </w:rPr>
        <w:t>Zhang M, Hubbe MA, Venditti RA, Heitmann JA (2004) Effects of Sugar Addition Before Drying on Wet-Flexibility of Redispersed Kraft Fibers. J Pulp Pap Sci 30:29–34.</w:t>
      </w:r>
    </w:p>
    <w:p w14:paraId="329C1E4A" w14:textId="77777777" w:rsidR="00881ECF" w:rsidRPr="00166F4B" w:rsidRDefault="00881ECF" w:rsidP="00166F4B">
      <w:pPr>
        <w:spacing w:line="360" w:lineRule="auto"/>
        <w:rPr>
          <w:rFonts w:ascii="Arial" w:hAnsi="Arial" w:cs="Arial"/>
          <w:b/>
          <w:sz w:val="30"/>
          <w:szCs w:val="30"/>
          <w:lang w:val="en-US"/>
        </w:rPr>
      </w:pPr>
      <w:r w:rsidRPr="00471859">
        <w:rPr>
          <w:rFonts w:ascii="Arial" w:hAnsi="Arial" w:cs="Arial"/>
          <w:b/>
          <w:sz w:val="24"/>
          <w:szCs w:val="24"/>
          <w:lang w:val="en-US"/>
        </w:rPr>
        <w:fldChar w:fldCharType="end"/>
      </w:r>
    </w:p>
    <w:sectPr w:rsidR="00881ECF" w:rsidRPr="00166F4B">
      <w:headerReference w:type="default" r:id="rId11"/>
      <w:footerReference w:type="default" r:id="rId12"/>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D9B5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A9CED" w14:textId="77777777" w:rsidR="001915D5" w:rsidRDefault="001915D5" w:rsidP="00937438">
      <w:pPr>
        <w:spacing w:after="0" w:line="240" w:lineRule="auto"/>
      </w:pPr>
      <w:r>
        <w:separator/>
      </w:r>
    </w:p>
  </w:endnote>
  <w:endnote w:type="continuationSeparator" w:id="0">
    <w:p w14:paraId="52EC6C4F" w14:textId="77777777" w:rsidR="001915D5" w:rsidRDefault="001915D5" w:rsidP="0093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101894"/>
      <w:docPartObj>
        <w:docPartGallery w:val="Page Numbers (Bottom of Page)"/>
        <w:docPartUnique/>
      </w:docPartObj>
    </w:sdtPr>
    <w:sdtEndPr/>
    <w:sdtContent>
      <w:p w14:paraId="191418A8" w14:textId="77777777" w:rsidR="00937438" w:rsidRDefault="00937438">
        <w:pPr>
          <w:pStyle w:val="Fuzeile"/>
          <w:jc w:val="center"/>
        </w:pPr>
        <w:r>
          <w:fldChar w:fldCharType="begin"/>
        </w:r>
        <w:r>
          <w:instrText>PAGE   \* MERGEFORMAT</w:instrText>
        </w:r>
        <w:r>
          <w:fldChar w:fldCharType="separate"/>
        </w:r>
        <w:r w:rsidR="00471859" w:rsidRPr="00471859">
          <w:rPr>
            <w:noProof/>
            <w:lang w:val="de-DE"/>
          </w:rPr>
          <w:t>5</w:t>
        </w:r>
        <w:r>
          <w:fldChar w:fldCharType="end"/>
        </w:r>
      </w:p>
    </w:sdtContent>
  </w:sdt>
  <w:p w14:paraId="3302AD1D" w14:textId="77777777" w:rsidR="00937438" w:rsidRDefault="0093743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43382" w14:textId="77777777" w:rsidR="001915D5" w:rsidRDefault="001915D5" w:rsidP="00937438">
      <w:pPr>
        <w:spacing w:after="0" w:line="240" w:lineRule="auto"/>
      </w:pPr>
      <w:r>
        <w:separator/>
      </w:r>
    </w:p>
  </w:footnote>
  <w:footnote w:type="continuationSeparator" w:id="0">
    <w:p w14:paraId="399A575B" w14:textId="77777777" w:rsidR="001915D5" w:rsidRDefault="001915D5" w:rsidP="009374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E3FCA" w14:textId="77777777" w:rsidR="00937438" w:rsidRDefault="00937438" w:rsidP="00B73EA1">
    <w:pPr>
      <w:pStyle w:val="Kopfzeile"/>
      <w:tabs>
        <w:tab w:val="clear" w:pos="9072"/>
        <w:tab w:val="left" w:pos="5244"/>
      </w:tab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o Beaumont">
    <w15:presenceInfo w15:providerId="None" w15:userId="Marco Beaumo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F4B"/>
    <w:rsid w:val="00093821"/>
    <w:rsid w:val="00166F4B"/>
    <w:rsid w:val="001915D5"/>
    <w:rsid w:val="0044655C"/>
    <w:rsid w:val="0045146C"/>
    <w:rsid w:val="00471859"/>
    <w:rsid w:val="00480326"/>
    <w:rsid w:val="004D3B74"/>
    <w:rsid w:val="00613BD0"/>
    <w:rsid w:val="006A0A69"/>
    <w:rsid w:val="006C1A28"/>
    <w:rsid w:val="0074427E"/>
    <w:rsid w:val="007F5974"/>
    <w:rsid w:val="00881ECF"/>
    <w:rsid w:val="00911674"/>
    <w:rsid w:val="00937438"/>
    <w:rsid w:val="00990366"/>
    <w:rsid w:val="00B460BC"/>
    <w:rsid w:val="00B73EA1"/>
    <w:rsid w:val="00B9268C"/>
    <w:rsid w:val="00BF04AE"/>
    <w:rsid w:val="00C75546"/>
    <w:rsid w:val="00CB57DA"/>
    <w:rsid w:val="00DA747C"/>
    <w:rsid w:val="00DE335F"/>
    <w:rsid w:val="00E27E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ames">
    <w:name w:val="names"/>
    <w:basedOn w:val="Standard"/>
    <w:qFormat/>
    <w:rsid w:val="00166F4B"/>
    <w:pPr>
      <w:spacing w:after="0" w:line="240" w:lineRule="auto"/>
      <w:jc w:val="center"/>
    </w:pPr>
    <w:rPr>
      <w:rFonts w:ascii="Times New Roman" w:eastAsia="Times New Roman" w:hAnsi="Times New Roman" w:cs="Times New Roman"/>
      <w:sz w:val="24"/>
      <w:szCs w:val="20"/>
      <w:lang w:val="en-US" w:eastAsia="de-DE"/>
    </w:rPr>
  </w:style>
  <w:style w:type="paragraph" w:customStyle="1" w:styleId="BCAuthorAddress">
    <w:name w:val="BC_Author_Address"/>
    <w:basedOn w:val="Standard"/>
    <w:next w:val="Standard"/>
    <w:rsid w:val="00166F4B"/>
    <w:pPr>
      <w:spacing w:after="240" w:line="480" w:lineRule="auto"/>
      <w:jc w:val="center"/>
    </w:pPr>
    <w:rPr>
      <w:rFonts w:ascii="Times" w:eastAsia="Times New Roman" w:hAnsi="Times" w:cs="Times New Roman"/>
      <w:sz w:val="24"/>
      <w:szCs w:val="20"/>
      <w:lang w:val="en-US"/>
    </w:rPr>
  </w:style>
  <w:style w:type="paragraph" w:styleId="Literaturverzeichnis">
    <w:name w:val="Bibliography"/>
    <w:basedOn w:val="Standard"/>
    <w:next w:val="Standard"/>
    <w:uiPriority w:val="37"/>
    <w:unhideWhenUsed/>
    <w:rsid w:val="00881ECF"/>
    <w:pPr>
      <w:spacing w:after="240" w:line="240" w:lineRule="auto"/>
      <w:ind w:left="720" w:hanging="720"/>
    </w:pPr>
  </w:style>
  <w:style w:type="character" w:styleId="Kommentarzeichen">
    <w:name w:val="annotation reference"/>
    <w:basedOn w:val="Absatz-Standardschriftart"/>
    <w:uiPriority w:val="99"/>
    <w:semiHidden/>
    <w:unhideWhenUsed/>
    <w:rsid w:val="00937438"/>
    <w:rPr>
      <w:sz w:val="16"/>
      <w:szCs w:val="16"/>
    </w:rPr>
  </w:style>
  <w:style w:type="paragraph" w:styleId="Kommentartext">
    <w:name w:val="annotation text"/>
    <w:basedOn w:val="Standard"/>
    <w:link w:val="KommentartextZchn"/>
    <w:uiPriority w:val="99"/>
    <w:semiHidden/>
    <w:unhideWhenUsed/>
    <w:rsid w:val="0093743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37438"/>
    <w:rPr>
      <w:sz w:val="20"/>
      <w:szCs w:val="20"/>
      <w:lang w:val="en-GB"/>
    </w:rPr>
  </w:style>
  <w:style w:type="paragraph" w:styleId="Kommentarthema">
    <w:name w:val="annotation subject"/>
    <w:basedOn w:val="Kommentartext"/>
    <w:next w:val="Kommentartext"/>
    <w:link w:val="KommentarthemaZchn"/>
    <w:uiPriority w:val="99"/>
    <w:semiHidden/>
    <w:unhideWhenUsed/>
    <w:rsid w:val="00937438"/>
    <w:rPr>
      <w:b/>
      <w:bCs/>
    </w:rPr>
  </w:style>
  <w:style w:type="character" w:customStyle="1" w:styleId="KommentarthemaZchn">
    <w:name w:val="Kommentarthema Zchn"/>
    <w:basedOn w:val="KommentartextZchn"/>
    <w:link w:val="Kommentarthema"/>
    <w:uiPriority w:val="99"/>
    <w:semiHidden/>
    <w:rsid w:val="00937438"/>
    <w:rPr>
      <w:b/>
      <w:bCs/>
      <w:sz w:val="20"/>
      <w:szCs w:val="20"/>
      <w:lang w:val="en-GB"/>
    </w:rPr>
  </w:style>
  <w:style w:type="paragraph" w:styleId="Sprechblasentext">
    <w:name w:val="Balloon Text"/>
    <w:basedOn w:val="Standard"/>
    <w:link w:val="SprechblasentextZchn"/>
    <w:uiPriority w:val="99"/>
    <w:semiHidden/>
    <w:unhideWhenUsed/>
    <w:rsid w:val="009374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7438"/>
    <w:rPr>
      <w:rFonts w:ascii="Tahoma" w:hAnsi="Tahoma" w:cs="Tahoma"/>
      <w:sz w:val="16"/>
      <w:szCs w:val="16"/>
      <w:lang w:val="en-GB"/>
    </w:rPr>
  </w:style>
  <w:style w:type="paragraph" w:styleId="Kopfzeile">
    <w:name w:val="header"/>
    <w:basedOn w:val="Standard"/>
    <w:link w:val="KopfzeileZchn"/>
    <w:uiPriority w:val="99"/>
    <w:unhideWhenUsed/>
    <w:rsid w:val="0093743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7438"/>
    <w:rPr>
      <w:lang w:val="en-GB"/>
    </w:rPr>
  </w:style>
  <w:style w:type="paragraph" w:styleId="Fuzeile">
    <w:name w:val="footer"/>
    <w:basedOn w:val="Standard"/>
    <w:link w:val="FuzeileZchn"/>
    <w:uiPriority w:val="99"/>
    <w:unhideWhenUsed/>
    <w:rsid w:val="009374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7438"/>
    <w:rPr>
      <w:lang w:val="en-GB"/>
    </w:rPr>
  </w:style>
  <w:style w:type="paragraph" w:styleId="berarbeitung">
    <w:name w:val="Revision"/>
    <w:hidden/>
    <w:uiPriority w:val="99"/>
    <w:semiHidden/>
    <w:rsid w:val="00B73EA1"/>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ames">
    <w:name w:val="names"/>
    <w:basedOn w:val="Standard"/>
    <w:qFormat/>
    <w:rsid w:val="00166F4B"/>
    <w:pPr>
      <w:spacing w:after="0" w:line="240" w:lineRule="auto"/>
      <w:jc w:val="center"/>
    </w:pPr>
    <w:rPr>
      <w:rFonts w:ascii="Times New Roman" w:eastAsia="Times New Roman" w:hAnsi="Times New Roman" w:cs="Times New Roman"/>
      <w:sz w:val="24"/>
      <w:szCs w:val="20"/>
      <w:lang w:val="en-US" w:eastAsia="de-DE"/>
    </w:rPr>
  </w:style>
  <w:style w:type="paragraph" w:customStyle="1" w:styleId="BCAuthorAddress">
    <w:name w:val="BC_Author_Address"/>
    <w:basedOn w:val="Standard"/>
    <w:next w:val="Standard"/>
    <w:rsid w:val="00166F4B"/>
    <w:pPr>
      <w:spacing w:after="240" w:line="480" w:lineRule="auto"/>
      <w:jc w:val="center"/>
    </w:pPr>
    <w:rPr>
      <w:rFonts w:ascii="Times" w:eastAsia="Times New Roman" w:hAnsi="Times" w:cs="Times New Roman"/>
      <w:sz w:val="24"/>
      <w:szCs w:val="20"/>
      <w:lang w:val="en-US"/>
    </w:rPr>
  </w:style>
  <w:style w:type="paragraph" w:styleId="Literaturverzeichnis">
    <w:name w:val="Bibliography"/>
    <w:basedOn w:val="Standard"/>
    <w:next w:val="Standard"/>
    <w:uiPriority w:val="37"/>
    <w:unhideWhenUsed/>
    <w:rsid w:val="00881ECF"/>
    <w:pPr>
      <w:spacing w:after="240" w:line="240" w:lineRule="auto"/>
      <w:ind w:left="720" w:hanging="720"/>
    </w:pPr>
  </w:style>
  <w:style w:type="character" w:styleId="Kommentarzeichen">
    <w:name w:val="annotation reference"/>
    <w:basedOn w:val="Absatz-Standardschriftart"/>
    <w:uiPriority w:val="99"/>
    <w:semiHidden/>
    <w:unhideWhenUsed/>
    <w:rsid w:val="00937438"/>
    <w:rPr>
      <w:sz w:val="16"/>
      <w:szCs w:val="16"/>
    </w:rPr>
  </w:style>
  <w:style w:type="paragraph" w:styleId="Kommentartext">
    <w:name w:val="annotation text"/>
    <w:basedOn w:val="Standard"/>
    <w:link w:val="KommentartextZchn"/>
    <w:uiPriority w:val="99"/>
    <w:semiHidden/>
    <w:unhideWhenUsed/>
    <w:rsid w:val="0093743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37438"/>
    <w:rPr>
      <w:sz w:val="20"/>
      <w:szCs w:val="20"/>
      <w:lang w:val="en-GB"/>
    </w:rPr>
  </w:style>
  <w:style w:type="paragraph" w:styleId="Kommentarthema">
    <w:name w:val="annotation subject"/>
    <w:basedOn w:val="Kommentartext"/>
    <w:next w:val="Kommentartext"/>
    <w:link w:val="KommentarthemaZchn"/>
    <w:uiPriority w:val="99"/>
    <w:semiHidden/>
    <w:unhideWhenUsed/>
    <w:rsid w:val="00937438"/>
    <w:rPr>
      <w:b/>
      <w:bCs/>
    </w:rPr>
  </w:style>
  <w:style w:type="character" w:customStyle="1" w:styleId="KommentarthemaZchn">
    <w:name w:val="Kommentarthema Zchn"/>
    <w:basedOn w:val="KommentartextZchn"/>
    <w:link w:val="Kommentarthema"/>
    <w:uiPriority w:val="99"/>
    <w:semiHidden/>
    <w:rsid w:val="00937438"/>
    <w:rPr>
      <w:b/>
      <w:bCs/>
      <w:sz w:val="20"/>
      <w:szCs w:val="20"/>
      <w:lang w:val="en-GB"/>
    </w:rPr>
  </w:style>
  <w:style w:type="paragraph" w:styleId="Sprechblasentext">
    <w:name w:val="Balloon Text"/>
    <w:basedOn w:val="Standard"/>
    <w:link w:val="SprechblasentextZchn"/>
    <w:uiPriority w:val="99"/>
    <w:semiHidden/>
    <w:unhideWhenUsed/>
    <w:rsid w:val="009374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7438"/>
    <w:rPr>
      <w:rFonts w:ascii="Tahoma" w:hAnsi="Tahoma" w:cs="Tahoma"/>
      <w:sz w:val="16"/>
      <w:szCs w:val="16"/>
      <w:lang w:val="en-GB"/>
    </w:rPr>
  </w:style>
  <w:style w:type="paragraph" w:styleId="Kopfzeile">
    <w:name w:val="header"/>
    <w:basedOn w:val="Standard"/>
    <w:link w:val="KopfzeileZchn"/>
    <w:uiPriority w:val="99"/>
    <w:unhideWhenUsed/>
    <w:rsid w:val="0093743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7438"/>
    <w:rPr>
      <w:lang w:val="en-GB"/>
    </w:rPr>
  </w:style>
  <w:style w:type="paragraph" w:styleId="Fuzeile">
    <w:name w:val="footer"/>
    <w:basedOn w:val="Standard"/>
    <w:link w:val="FuzeileZchn"/>
    <w:uiPriority w:val="99"/>
    <w:unhideWhenUsed/>
    <w:rsid w:val="009374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7438"/>
    <w:rPr>
      <w:lang w:val="en-GB"/>
    </w:rPr>
  </w:style>
  <w:style w:type="paragraph" w:styleId="berarbeitung">
    <w:name w:val="Revision"/>
    <w:hidden/>
    <w:uiPriority w:val="99"/>
    <w:semiHidden/>
    <w:rsid w:val="00B73EA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8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3207</Words>
  <Characters>20205</Characters>
  <Application>Microsoft Office Word</Application>
  <DocSecurity>0</DocSecurity>
  <Lines>168</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Rosi</cp:lastModifiedBy>
  <cp:revision>8</cp:revision>
  <dcterms:created xsi:type="dcterms:W3CDTF">2016-10-02T19:29:00Z</dcterms:created>
  <dcterms:modified xsi:type="dcterms:W3CDTF">2016-12-08T17:44:00Z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id="5l3s9cKD"/&gt;&lt;style id="http://www.zotero.org/styles/cellulose" hasBibliography="1" bibliographyStyleHasBeenSet="1"/&gt;&lt;prefs&gt;&lt;pref name="fieldType" value="Field"/&gt;&lt;pref name="storeReferences" val</vt:lpwstr>
  </property>
  <property fmtid="{D5CDD505-2E9C-101B-9397-08002B2CF9AE}" pid="3" name="ZOTERO_PREF_2">
    <vt:lpwstr>ue="true"/&gt;&lt;pref name="automaticJournalAbbreviations" value="true"/&gt;&lt;pref name="noteType" value=""/&gt;&lt;/prefs&gt;&lt;/data&gt;</vt:lpwstr>
  </property>
</Properties>
</file>