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F39" w:rsidRPr="00557EE2" w:rsidRDefault="00E70F39" w:rsidP="00E70F39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557EE2">
        <w:rPr>
          <w:rFonts w:ascii="Times New Roman" w:hAnsi="Times New Roman" w:cs="Times New Roman"/>
          <w:b/>
          <w:sz w:val="20"/>
          <w:szCs w:val="20"/>
        </w:rPr>
        <w:t xml:space="preserve">Retinal pigment epithelium and photoreceptor preconditioning protection requires </w:t>
      </w:r>
      <w:proofErr w:type="spellStart"/>
      <w:r w:rsidRPr="00557EE2">
        <w:rPr>
          <w:rFonts w:ascii="Times New Roman" w:hAnsi="Times New Roman" w:cs="Times New Roman"/>
          <w:b/>
          <w:sz w:val="20"/>
          <w:szCs w:val="20"/>
        </w:rPr>
        <w:t>docosanoid</w:t>
      </w:r>
      <w:proofErr w:type="spellEnd"/>
      <w:r w:rsidRPr="00557EE2">
        <w:rPr>
          <w:rFonts w:ascii="Times New Roman" w:hAnsi="Times New Roman" w:cs="Times New Roman"/>
          <w:b/>
          <w:sz w:val="20"/>
          <w:szCs w:val="20"/>
        </w:rPr>
        <w:t xml:space="preserve"> signaling</w:t>
      </w:r>
    </w:p>
    <w:p w:rsidR="00E70F39" w:rsidRPr="00557EE2" w:rsidRDefault="00E70F39" w:rsidP="00E70F39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70F39" w:rsidRPr="00557EE2" w:rsidRDefault="00E70F39" w:rsidP="00E70F39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70F39" w:rsidRPr="00557EE2" w:rsidRDefault="00E70F39" w:rsidP="00E70F39">
      <w:pPr>
        <w:spacing w:line="48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557EE2">
        <w:rPr>
          <w:rFonts w:ascii="Times New Roman" w:hAnsi="Times New Roman" w:cs="Times New Roman"/>
          <w:b/>
          <w:sz w:val="20"/>
          <w:szCs w:val="20"/>
        </w:rPr>
        <w:t xml:space="preserve">Running title:  Retina preconditioning is mediated by </w:t>
      </w:r>
      <w:proofErr w:type="spellStart"/>
      <w:r w:rsidRPr="00557EE2">
        <w:rPr>
          <w:rFonts w:ascii="Times New Roman" w:hAnsi="Times New Roman" w:cs="Times New Roman"/>
          <w:b/>
          <w:sz w:val="20"/>
          <w:szCs w:val="20"/>
        </w:rPr>
        <w:t>docosanoid</w:t>
      </w:r>
      <w:proofErr w:type="spellEnd"/>
      <w:r w:rsidRPr="00557EE2">
        <w:rPr>
          <w:rFonts w:ascii="Times New Roman" w:hAnsi="Times New Roman" w:cs="Times New Roman"/>
          <w:b/>
          <w:sz w:val="20"/>
          <w:szCs w:val="20"/>
        </w:rPr>
        <w:t xml:space="preserve"> signaling</w:t>
      </w:r>
      <w:r w:rsidR="00A11B48">
        <w:rPr>
          <w:rFonts w:ascii="Times New Roman" w:hAnsi="Times New Roman" w:cs="Times New Roman"/>
          <w:b/>
          <w:sz w:val="20"/>
          <w:szCs w:val="20"/>
        </w:rPr>
        <w:t xml:space="preserve"> in males</w:t>
      </w:r>
      <w:r w:rsidRPr="00557EE2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E70F39" w:rsidRPr="00557EE2" w:rsidRDefault="00E70F39" w:rsidP="00E70F39">
      <w:pPr>
        <w:spacing w:line="48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57EE2">
        <w:rPr>
          <w:rFonts w:ascii="Times New Roman" w:hAnsi="Times New Roman" w:cs="Times New Roman"/>
          <w:sz w:val="20"/>
          <w:szCs w:val="20"/>
        </w:rPr>
        <w:t>Eric J. Knott</w:t>
      </w:r>
      <w:r w:rsidRPr="00557EE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557EE2">
        <w:rPr>
          <w:rFonts w:ascii="Times New Roman" w:hAnsi="Times New Roman" w:cs="Times New Roman"/>
          <w:sz w:val="20"/>
          <w:szCs w:val="20"/>
        </w:rPr>
        <w:t>, William C. Gordon</w:t>
      </w:r>
      <w:r w:rsidRPr="00557EE2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557EE2">
        <w:rPr>
          <w:rFonts w:ascii="Times New Roman" w:hAnsi="Times New Roman" w:cs="Times New Roman"/>
          <w:sz w:val="20"/>
          <w:szCs w:val="20"/>
        </w:rPr>
        <w:t xml:space="preserve">, </w:t>
      </w:r>
      <w:r w:rsidR="00FD70AD">
        <w:rPr>
          <w:rFonts w:ascii="Times New Roman" w:hAnsi="Times New Roman" w:cs="Times New Roman"/>
          <w:sz w:val="20"/>
          <w:szCs w:val="20"/>
        </w:rPr>
        <w:t>Bokkyoo Jun</w:t>
      </w:r>
      <w:r w:rsidR="00FD70AD" w:rsidRPr="00851B9D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FD70AD">
        <w:rPr>
          <w:rFonts w:ascii="Times New Roman" w:hAnsi="Times New Roman" w:cs="Times New Roman"/>
          <w:sz w:val="20"/>
          <w:szCs w:val="20"/>
        </w:rPr>
        <w:t>, K</w:t>
      </w:r>
      <w:r w:rsidR="00130EAA">
        <w:rPr>
          <w:rFonts w:ascii="Times New Roman" w:hAnsi="Times New Roman" w:cs="Times New Roman"/>
          <w:sz w:val="20"/>
          <w:szCs w:val="20"/>
        </w:rPr>
        <w:t>h</w:t>
      </w:r>
      <w:r w:rsidR="00FD70AD">
        <w:rPr>
          <w:rFonts w:ascii="Times New Roman" w:hAnsi="Times New Roman" w:cs="Times New Roman"/>
          <w:sz w:val="20"/>
          <w:szCs w:val="20"/>
        </w:rPr>
        <w:t>an</w:t>
      </w:r>
      <w:r w:rsidR="00130EAA">
        <w:rPr>
          <w:rFonts w:ascii="Times New Roman" w:hAnsi="Times New Roman" w:cs="Times New Roman"/>
          <w:sz w:val="20"/>
          <w:szCs w:val="20"/>
        </w:rPr>
        <w:t>h</w:t>
      </w:r>
      <w:r w:rsidR="00FD70AD">
        <w:rPr>
          <w:rFonts w:ascii="Times New Roman" w:hAnsi="Times New Roman" w:cs="Times New Roman"/>
          <w:sz w:val="20"/>
          <w:szCs w:val="20"/>
        </w:rPr>
        <w:t xml:space="preserve"> Do</w:t>
      </w:r>
      <w:r w:rsidR="00FD70AD" w:rsidRPr="00851B9D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="00FD70AD">
        <w:rPr>
          <w:rFonts w:ascii="Times New Roman" w:hAnsi="Times New Roman" w:cs="Times New Roman"/>
          <w:sz w:val="20"/>
          <w:szCs w:val="20"/>
        </w:rPr>
        <w:t xml:space="preserve">, </w:t>
      </w:r>
      <w:r w:rsidRPr="00557EE2">
        <w:rPr>
          <w:rFonts w:ascii="Times New Roman" w:hAnsi="Times New Roman" w:cs="Times New Roman"/>
          <w:sz w:val="20"/>
          <w:szCs w:val="20"/>
        </w:rPr>
        <w:t>Nicolas G. Bazan</w:t>
      </w:r>
      <w:r w:rsidRPr="00557EE2">
        <w:rPr>
          <w:rFonts w:ascii="Times New Roman" w:hAnsi="Times New Roman" w:cs="Times New Roman"/>
          <w:sz w:val="20"/>
          <w:szCs w:val="20"/>
          <w:vertAlign w:val="superscript"/>
        </w:rPr>
        <w:t>2</w:t>
      </w:r>
    </w:p>
    <w:p w:rsidR="00E70F39" w:rsidRPr="00557EE2" w:rsidRDefault="00E70F39" w:rsidP="00E70F39">
      <w:pPr>
        <w:spacing w:line="48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57EE2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557EE2">
        <w:rPr>
          <w:rFonts w:ascii="Times New Roman" w:hAnsi="Times New Roman" w:cs="Times New Roman"/>
          <w:sz w:val="20"/>
          <w:szCs w:val="20"/>
        </w:rPr>
        <w:t>Pennington Biomedical Research Center, Louisiana State University, Baton Rouge, Louisiana, 70808, USA</w:t>
      </w:r>
    </w:p>
    <w:p w:rsidR="00E70F39" w:rsidRPr="00557EE2" w:rsidRDefault="00E70F39" w:rsidP="00E70F39">
      <w:pPr>
        <w:spacing w:line="48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57EE2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557EE2">
        <w:rPr>
          <w:rFonts w:ascii="Times New Roman" w:hAnsi="Times New Roman" w:cs="Times New Roman"/>
          <w:sz w:val="20"/>
          <w:szCs w:val="20"/>
        </w:rPr>
        <w:t>Neuroscience Center of Excellence, School of Medicine, Louisiana State University Health New Orleans, New Orleans, Louisiana, 70112, USA</w:t>
      </w:r>
    </w:p>
    <w:p w:rsidR="00E70F39" w:rsidRPr="00557EE2" w:rsidRDefault="00E70F39" w:rsidP="00E70F39">
      <w:pPr>
        <w:spacing w:line="48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E70F39" w:rsidRPr="00557EE2" w:rsidRDefault="00E70F39" w:rsidP="00E70F39">
      <w:pPr>
        <w:spacing w:line="48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557EE2">
        <w:rPr>
          <w:rFonts w:ascii="Times New Roman" w:hAnsi="Times New Roman" w:cs="Times New Roman"/>
          <w:sz w:val="20"/>
          <w:szCs w:val="20"/>
        </w:rPr>
        <w:t xml:space="preserve">Correspondence should be addressed to Dr. Nicolas G. Bazan, Neuroscience Center of Excellence, School of Medicine, Louisiana State University Health New Orleans, </w:t>
      </w:r>
      <w:proofErr w:type="gramStart"/>
      <w:r w:rsidRPr="00557EE2">
        <w:rPr>
          <w:rFonts w:ascii="Times New Roman" w:hAnsi="Times New Roman" w:cs="Times New Roman"/>
          <w:sz w:val="20"/>
          <w:szCs w:val="20"/>
        </w:rPr>
        <w:t>New</w:t>
      </w:r>
      <w:proofErr w:type="gramEnd"/>
      <w:r w:rsidRPr="00557EE2">
        <w:rPr>
          <w:rFonts w:ascii="Times New Roman" w:hAnsi="Times New Roman" w:cs="Times New Roman"/>
          <w:sz w:val="20"/>
          <w:szCs w:val="20"/>
        </w:rPr>
        <w:t xml:space="preserve"> Orleans, Louisiana, 70112, USA. E-mail: </w:t>
      </w:r>
      <w:hyperlink r:id="rId5" w:history="1">
        <w:r w:rsidRPr="00557EE2">
          <w:rPr>
            <w:rStyle w:val="Hyperlink"/>
            <w:rFonts w:ascii="Times New Roman" w:hAnsi="Times New Roman" w:cs="Times New Roman"/>
            <w:sz w:val="20"/>
            <w:szCs w:val="20"/>
          </w:rPr>
          <w:t>nbazan@lsuhsc.edu</w:t>
        </w:r>
      </w:hyperlink>
    </w:p>
    <w:p w:rsidR="00E70F39" w:rsidRDefault="00E70F39" w:rsidP="00E70F39">
      <w:pPr>
        <w:spacing w:line="48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70F39" w:rsidRDefault="00E70F39" w:rsidP="00E70F39">
      <w:pPr>
        <w:spacing w:line="48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proofErr w:type="gramStart"/>
      <w:r>
        <w:rPr>
          <w:rFonts w:ascii="Times New Roman" w:hAnsi="Times New Roman" w:cs="Times New Roman"/>
          <w:b/>
          <w:sz w:val="20"/>
          <w:szCs w:val="20"/>
          <w:u w:val="single"/>
        </w:rPr>
        <w:t>Supplementary Figure</w:t>
      </w:r>
      <w:r w:rsidR="00017722">
        <w:rPr>
          <w:rFonts w:ascii="Times New Roman" w:hAnsi="Times New Roman" w:cs="Times New Roman"/>
          <w:b/>
          <w:sz w:val="20"/>
          <w:szCs w:val="20"/>
          <w:u w:val="single"/>
        </w:rPr>
        <w:t xml:space="preserve"> descriptions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  <w:proofErr w:type="gramEnd"/>
    </w:p>
    <w:p w:rsidR="00E70F39" w:rsidRDefault="00E70F39">
      <w:pPr>
        <w:spacing w:after="160" w:line="259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br w:type="page"/>
      </w:r>
    </w:p>
    <w:p w:rsidR="00E70F39" w:rsidRDefault="00E70F39" w:rsidP="00017722">
      <w:pPr>
        <w:spacing w:after="0" w:line="48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lastRenderedPageBreak/>
        <w:t>Figure S1</w:t>
      </w:r>
    </w:p>
    <w:p w:rsidR="00E70F39" w:rsidRPr="00017722" w:rsidRDefault="00E70F39" w:rsidP="00017722">
      <w:pPr>
        <w:spacing w:after="0" w:line="48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proofErr w:type="gramStart"/>
      <w:r w:rsidRPr="00017722">
        <w:rPr>
          <w:rFonts w:ascii="Times New Roman" w:hAnsi="Times New Roman" w:cs="Times New Roman"/>
          <w:b/>
          <w:sz w:val="20"/>
          <w:szCs w:val="20"/>
        </w:rPr>
        <w:t>Arachidonic acid and Docosahexaenoic acid mediator pathways</w:t>
      </w:r>
      <w:r w:rsidR="00017722" w:rsidRPr="00017722">
        <w:rPr>
          <w:rFonts w:ascii="Times New Roman" w:hAnsi="Times New Roman" w:cs="Times New Roman"/>
          <w:b/>
          <w:sz w:val="20"/>
          <w:szCs w:val="20"/>
        </w:rPr>
        <w:t>.</w:t>
      </w:r>
      <w:proofErr w:type="gramEnd"/>
    </w:p>
    <w:p w:rsidR="00E70F39" w:rsidRDefault="00E70F39" w:rsidP="00017722">
      <w:pPr>
        <w:spacing w:after="0" w:line="480" w:lineRule="auto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Summary of the stress-induced pathways of omega-6 arachidonic acid (AA) and omega-3 docosahexaenoic acid (DHA).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Molecular products are indicated in boxes and relevant enzymes are indicated by the arrows. </w:t>
      </w:r>
    </w:p>
    <w:p w:rsidR="00E70F39" w:rsidRDefault="00E70F39" w:rsidP="00761097">
      <w:pPr>
        <w:spacing w:after="0" w:line="48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70F39" w:rsidRDefault="00E70F39" w:rsidP="00761097">
      <w:pPr>
        <w:spacing w:after="0" w:line="48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Figure S2</w:t>
      </w:r>
    </w:p>
    <w:p w:rsidR="00E70F39" w:rsidRDefault="00E70F39" w:rsidP="00761097">
      <w:pPr>
        <w:spacing w:after="0" w:line="48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Representative lethal OS stress concentration curves for non-</w:t>
      </w:r>
      <w:proofErr w:type="spellStart"/>
      <w:r>
        <w:rPr>
          <w:rFonts w:ascii="Times New Roman" w:hAnsi="Times New Roman" w:cs="Times New Roman"/>
          <w:sz w:val="20"/>
          <w:szCs w:val="20"/>
        </w:rPr>
        <w:t>pyknotic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nuclei of ARP-19 cells </w:t>
      </w:r>
      <w:proofErr w:type="gramStart"/>
      <w:r>
        <w:rPr>
          <w:rFonts w:ascii="Times New Roman" w:hAnsi="Times New Roman" w:cs="Times New Roman"/>
          <w:sz w:val="20"/>
          <w:szCs w:val="20"/>
        </w:rPr>
        <w:t>of  passage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22, 27, and 33.</w:t>
      </w:r>
    </w:p>
    <w:p w:rsidR="00E70F39" w:rsidRDefault="00E70F39" w:rsidP="00761097">
      <w:pPr>
        <w:spacing w:after="0" w:line="48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E70F39" w:rsidRDefault="00E70F39" w:rsidP="00761097">
      <w:pPr>
        <w:spacing w:after="0" w:line="480" w:lineRule="auto"/>
        <w:jc w:val="both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0"/>
          <w:szCs w:val="20"/>
          <w:u w:val="single"/>
        </w:rPr>
        <w:t>Figure S3</w:t>
      </w:r>
    </w:p>
    <w:p w:rsidR="00E70F39" w:rsidRDefault="00E70F39" w:rsidP="00761097">
      <w:pPr>
        <w:spacing w:after="0" w:line="480" w:lineRule="auto"/>
        <w:jc w:val="both"/>
        <w:outlineLvl w:val="0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Nuclei size Frequency Plots</w:t>
      </w:r>
    </w:p>
    <w:p w:rsidR="00FD70AD" w:rsidRDefault="00E70F39" w:rsidP="00017722">
      <w:pPr>
        <w:spacing w:after="0" w:line="48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Nuclear size frequency histogram plots for RPE cells treated with (A) 17 -HDHA ± PC (B) DHA and PEDF (C) PEDF Fragments 34 or 44-mer ± DHA (D) PEDF ± PC  (E) PEDF ± PD 146176 (F) NPD1 (G) NPD1 ± PC (H) MPC + PD 146176 + 15 HETE or NPD1. All cells were challenged with OS for 16 hours prior to unbiased cell </w:t>
      </w:r>
      <w:r w:rsidRPr="00FD70AD">
        <w:rPr>
          <w:rFonts w:ascii="Times New Roman" w:hAnsi="Times New Roman" w:cs="Times New Roman"/>
          <w:sz w:val="20"/>
          <w:szCs w:val="20"/>
        </w:rPr>
        <w:t xml:space="preserve">survival quantification. </w:t>
      </w:r>
    </w:p>
    <w:p w:rsidR="00017722" w:rsidRPr="00FD70AD" w:rsidRDefault="00017722" w:rsidP="00761097">
      <w:pPr>
        <w:spacing w:after="0" w:line="48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D70AD" w:rsidRPr="00FD70AD" w:rsidRDefault="00FD70AD" w:rsidP="00761097">
      <w:pPr>
        <w:spacing w:after="0" w:line="48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D70AD">
        <w:rPr>
          <w:rFonts w:ascii="Times New Roman" w:hAnsi="Times New Roman" w:cs="Times New Roman"/>
          <w:b/>
          <w:sz w:val="20"/>
          <w:szCs w:val="20"/>
          <w:u w:val="single"/>
        </w:rPr>
        <w:t>Figure S4</w:t>
      </w:r>
    </w:p>
    <w:p w:rsidR="00761097" w:rsidRDefault="00FD70AD" w:rsidP="00761097">
      <w:pPr>
        <w:spacing w:after="0" w:line="480" w:lineRule="auto"/>
        <w:rPr>
          <w:rFonts w:ascii="Times New Roman" w:hAnsi="Times New Roman" w:cs="Times New Roman"/>
          <w:sz w:val="20"/>
          <w:szCs w:val="20"/>
        </w:rPr>
      </w:pPr>
      <w:r w:rsidRPr="00017722">
        <w:rPr>
          <w:rFonts w:ascii="Times New Roman" w:hAnsi="Times New Roman" w:cs="Times New Roman"/>
          <w:b/>
          <w:sz w:val="20"/>
          <w:szCs w:val="20"/>
        </w:rPr>
        <w:t>ARPE-19 and primary-human Retinal Pigment Epithelial cells (</w:t>
      </w:r>
      <w:proofErr w:type="spellStart"/>
      <w:r w:rsidRPr="00017722">
        <w:rPr>
          <w:rFonts w:ascii="Times New Roman" w:hAnsi="Times New Roman" w:cs="Times New Roman"/>
          <w:b/>
          <w:sz w:val="20"/>
          <w:szCs w:val="20"/>
        </w:rPr>
        <w:t>hRPE</w:t>
      </w:r>
      <w:proofErr w:type="spellEnd"/>
      <w:r w:rsidRPr="00017722">
        <w:rPr>
          <w:rFonts w:ascii="Times New Roman" w:hAnsi="Times New Roman" w:cs="Times New Roman"/>
          <w:b/>
          <w:sz w:val="20"/>
          <w:szCs w:val="20"/>
        </w:rPr>
        <w:t xml:space="preserve">) express </w:t>
      </w:r>
      <w:proofErr w:type="spellStart"/>
      <w:r w:rsidRPr="00017722">
        <w:rPr>
          <w:rFonts w:ascii="Times New Roman" w:hAnsi="Times New Roman" w:cs="Times New Roman"/>
          <w:b/>
          <w:sz w:val="20"/>
          <w:szCs w:val="20"/>
        </w:rPr>
        <w:t>hRPE</w:t>
      </w:r>
      <w:proofErr w:type="spellEnd"/>
      <w:r w:rsidRPr="00017722">
        <w:rPr>
          <w:rFonts w:ascii="Times New Roman" w:hAnsi="Times New Roman" w:cs="Times New Roman"/>
          <w:b/>
          <w:sz w:val="20"/>
          <w:szCs w:val="20"/>
        </w:rPr>
        <w:t xml:space="preserve"> cell gene characteristics.</w:t>
      </w:r>
      <w:r w:rsidRPr="00FD70A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D70AD" w:rsidRPr="00FD70AD" w:rsidRDefault="00FD70AD" w:rsidP="00761097">
      <w:pPr>
        <w:spacing w:after="0" w:line="480" w:lineRule="auto"/>
        <w:rPr>
          <w:rFonts w:ascii="Times New Roman" w:hAnsi="Times New Roman" w:cs="Times New Roman"/>
          <w:sz w:val="20"/>
          <w:szCs w:val="20"/>
        </w:rPr>
      </w:pPr>
      <w:r w:rsidRPr="00FD70AD">
        <w:rPr>
          <w:rFonts w:ascii="Times New Roman" w:hAnsi="Times New Roman" w:cs="Times New Roman"/>
          <w:sz w:val="20"/>
          <w:szCs w:val="20"/>
        </w:rPr>
        <w:t xml:space="preserve">Total RNA was isolated from human fibroblasts (Lifeline Cell Technology, Frederick, MD; #FC-0024), APRE-19 cells, and human Primary RPE cells using RNeasy </w:t>
      </w:r>
      <w:proofErr w:type="gramStart"/>
      <w:r w:rsidRPr="00FD70AD">
        <w:rPr>
          <w:rFonts w:ascii="Times New Roman" w:hAnsi="Times New Roman" w:cs="Times New Roman"/>
          <w:sz w:val="20"/>
          <w:szCs w:val="20"/>
        </w:rPr>
        <w:t>Plus</w:t>
      </w:r>
      <w:proofErr w:type="gramEnd"/>
      <w:r w:rsidRPr="00FD70AD">
        <w:rPr>
          <w:rFonts w:ascii="Times New Roman" w:hAnsi="Times New Roman" w:cs="Times New Roman"/>
          <w:sz w:val="20"/>
          <w:szCs w:val="20"/>
        </w:rPr>
        <w:t xml:space="preserve"> Mini Kit (</w:t>
      </w:r>
      <w:proofErr w:type="spellStart"/>
      <w:r w:rsidRPr="00FD70AD">
        <w:rPr>
          <w:rFonts w:ascii="Times New Roman" w:hAnsi="Times New Roman" w:cs="Times New Roman"/>
          <w:sz w:val="20"/>
          <w:szCs w:val="20"/>
        </w:rPr>
        <w:t>Qiagen</w:t>
      </w:r>
      <w:proofErr w:type="spellEnd"/>
      <w:r w:rsidRPr="00FD70AD">
        <w:rPr>
          <w:rFonts w:ascii="Times New Roman" w:hAnsi="Times New Roman" w:cs="Times New Roman"/>
          <w:sz w:val="20"/>
          <w:szCs w:val="20"/>
        </w:rPr>
        <w:t xml:space="preserve">). 1000 ng of RNA was reverse transcribed into cDNA with </w:t>
      </w:r>
      <w:proofErr w:type="spellStart"/>
      <w:r w:rsidRPr="00FD70AD">
        <w:rPr>
          <w:rFonts w:ascii="Times New Roman" w:hAnsi="Times New Roman" w:cs="Times New Roman"/>
          <w:sz w:val="20"/>
          <w:szCs w:val="20"/>
        </w:rPr>
        <w:t>iScript</w:t>
      </w:r>
      <w:proofErr w:type="spellEnd"/>
      <w:r w:rsidRPr="00FD70AD">
        <w:rPr>
          <w:rFonts w:ascii="Times New Roman" w:hAnsi="Times New Roman" w:cs="Times New Roman"/>
          <w:sz w:val="20"/>
          <w:szCs w:val="20"/>
        </w:rPr>
        <w:t xml:space="preserve"> cDNA synthesis Kit (Bio-Rad). Expression levels were measured using quantitative </w:t>
      </w:r>
      <w:proofErr w:type="spellStart"/>
      <w:r w:rsidRPr="00FD70AD">
        <w:rPr>
          <w:rFonts w:ascii="Times New Roman" w:hAnsi="Times New Roman" w:cs="Times New Roman"/>
          <w:sz w:val="20"/>
          <w:szCs w:val="20"/>
        </w:rPr>
        <w:t>BrightGreen</w:t>
      </w:r>
      <w:proofErr w:type="spellEnd"/>
      <w:r w:rsidRPr="00FD70AD">
        <w:rPr>
          <w:rFonts w:ascii="Times New Roman" w:hAnsi="Times New Roman" w:cs="Times New Roman"/>
          <w:sz w:val="20"/>
          <w:szCs w:val="20"/>
        </w:rPr>
        <w:t xml:space="preserve"> 2X qPCR </w:t>
      </w:r>
      <w:proofErr w:type="spellStart"/>
      <w:r w:rsidRPr="00FD70AD">
        <w:rPr>
          <w:rFonts w:ascii="Times New Roman" w:hAnsi="Times New Roman" w:cs="Times New Roman"/>
          <w:sz w:val="20"/>
          <w:szCs w:val="20"/>
        </w:rPr>
        <w:t>MasterMix</w:t>
      </w:r>
      <w:proofErr w:type="spellEnd"/>
      <w:r w:rsidRPr="00FD70AD">
        <w:rPr>
          <w:rFonts w:ascii="Times New Roman" w:hAnsi="Times New Roman" w:cs="Times New Roman"/>
          <w:sz w:val="20"/>
          <w:szCs w:val="20"/>
        </w:rPr>
        <w:t xml:space="preserve"> (Applied Biological Materials Inc., Richmond, British Columbia, Canada) in a CFX-384 PCR system (Bio-Rad). (A) Example micrographs of fibroblasts, APRE-19 cells (passages 25 and 33), and primary </w:t>
      </w:r>
      <w:proofErr w:type="spellStart"/>
      <w:r w:rsidRPr="00FD70AD">
        <w:rPr>
          <w:rFonts w:ascii="Times New Roman" w:hAnsi="Times New Roman" w:cs="Times New Roman"/>
          <w:sz w:val="20"/>
          <w:szCs w:val="20"/>
        </w:rPr>
        <w:t>hRPE</w:t>
      </w:r>
      <w:proofErr w:type="spellEnd"/>
      <w:r w:rsidRPr="00FD70AD">
        <w:rPr>
          <w:rFonts w:ascii="Times New Roman" w:hAnsi="Times New Roman" w:cs="Times New Roman"/>
          <w:sz w:val="20"/>
          <w:szCs w:val="20"/>
        </w:rPr>
        <w:t xml:space="preserve"> cells (ABC cells, passage 4). (B) Real-time PCR quantification of primary human RPE and (C) human fibroblast gene expression which was (D) loaded on 2% agarose gels. (E) Primer sequences. Data was normalized using Delta-Delta-Ct (</w:t>
      </w:r>
      <w:r>
        <w:rPr>
          <w:rFonts w:ascii="Times New Roman" w:hAnsi="Times New Roman" w:cs="Times New Roman"/>
          <w:sz w:val="20"/>
          <w:szCs w:val="20"/>
        </w:rPr>
        <w:t>∆∆</w:t>
      </w:r>
      <w:r w:rsidRPr="00FD70AD">
        <w:rPr>
          <w:rFonts w:ascii="Times New Roman" w:hAnsi="Times New Roman" w:cs="Times New Roman"/>
          <w:sz w:val="20"/>
          <w:szCs w:val="20"/>
        </w:rPr>
        <w:t xml:space="preserve">Ct). All Results are expressed as means </w:t>
      </w:r>
      <w:r>
        <w:rPr>
          <w:rFonts w:ascii="Times New Roman" w:hAnsi="Times New Roman" w:cs="Times New Roman"/>
          <w:sz w:val="20"/>
          <w:szCs w:val="20"/>
        </w:rPr>
        <w:t>±</w:t>
      </w:r>
      <w:r w:rsidRPr="00FD70AD">
        <w:rPr>
          <w:rFonts w:ascii="Times New Roman" w:hAnsi="Times New Roman" w:cs="Times New Roman"/>
          <w:sz w:val="20"/>
          <w:szCs w:val="20"/>
        </w:rPr>
        <w:t xml:space="preserve"> SEM, n=3, Scale Bar= 50 </w:t>
      </w:r>
      <w:proofErr w:type="spellStart"/>
      <w:r>
        <w:rPr>
          <w:rFonts w:ascii="Times New Roman" w:hAnsi="Times New Roman" w:cs="Times New Roman"/>
          <w:sz w:val="20"/>
          <w:szCs w:val="20"/>
        </w:rPr>
        <w:t>μ</w:t>
      </w:r>
      <w:r w:rsidRPr="00FD70AD">
        <w:rPr>
          <w:rFonts w:ascii="Times New Roman" w:hAnsi="Times New Roman" w:cs="Times New Roman"/>
          <w:sz w:val="20"/>
          <w:szCs w:val="20"/>
        </w:rPr>
        <w:t>m</w:t>
      </w:r>
      <w:proofErr w:type="spellEnd"/>
      <w:r w:rsidRPr="00FD70AD">
        <w:rPr>
          <w:rFonts w:ascii="Times New Roman" w:hAnsi="Times New Roman" w:cs="Times New Roman"/>
          <w:sz w:val="20"/>
          <w:szCs w:val="20"/>
        </w:rPr>
        <w:t>.</w:t>
      </w:r>
    </w:p>
    <w:p w:rsidR="0021337F" w:rsidRDefault="0021337F" w:rsidP="00E70F39">
      <w:pPr>
        <w:spacing w:line="480" w:lineRule="auto"/>
        <w:jc w:val="both"/>
      </w:pPr>
      <w:bookmarkStart w:id="0" w:name="_GoBack"/>
      <w:bookmarkEnd w:id="0"/>
    </w:p>
    <w:sectPr w:rsidR="002133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39"/>
    <w:rsid w:val="00017722"/>
    <w:rsid w:val="00130EAA"/>
    <w:rsid w:val="001E2C89"/>
    <w:rsid w:val="0021337F"/>
    <w:rsid w:val="00761097"/>
    <w:rsid w:val="00A11B48"/>
    <w:rsid w:val="00E70F39"/>
    <w:rsid w:val="00FD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0F3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0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70F3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0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0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7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bazan@lsuhsc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Labadens, Ryan R.</dc:creator>
  <cp:lastModifiedBy>Gordon, William</cp:lastModifiedBy>
  <cp:revision>4</cp:revision>
  <dcterms:created xsi:type="dcterms:W3CDTF">2017-10-19T18:21:00Z</dcterms:created>
  <dcterms:modified xsi:type="dcterms:W3CDTF">2017-10-20T18:33:00Z</dcterms:modified>
</cp:coreProperties>
</file>