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13847" w:type="dxa"/>
        <w:tblInd w:w="0" w:type="dxa"/>
        <w:tblBorders>
          <w:top w:val="single" w:color="BEBEBE" w:sz="4" w:space="0"/>
          <w:left w:val="none" w:color="auto" w:sz="0" w:space="0"/>
          <w:bottom w:val="single" w:color="BEBEBE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3279"/>
      </w:tblGrid>
      <w:tr w14:paraId="6051EB20">
        <w:trPr>
          <w:trHeight w:val="365" w:hRule="exact"/>
        </w:trPr>
        <w:tc>
          <w:tcPr>
            <w:tcW w:w="13847" w:type="dxa"/>
            <w:gridSpan w:val="2"/>
            <w:tcBorders>
              <w:top w:val="nil"/>
              <w:bottom w:val="single" w:color="000000" w:themeColor="text1" w:sz="8" w:space="0"/>
            </w:tcBorders>
            <w:vAlign w:val="top"/>
          </w:tcPr>
          <w:p w14:paraId="1F5022C0">
            <w:pPr>
              <w:spacing w:before="20" w:line="240" w:lineRule="auto"/>
              <w:ind w:left="106"/>
              <w:jc w:val="center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 xml:space="preserve">Table </w:t>
            </w: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 xml:space="preserve">1 </w:t>
            </w: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Search</w:t>
            </w:r>
            <w:r>
              <w:rPr>
                <w:rFonts w:hint="default" w:ascii="Times New Roman Regular" w:hAnsi="Times New Roman Regular" w:eastAsia="DengXian" w:cs="Times New Roman Regular"/>
                <w:b/>
                <w:spacing w:val="-1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strategies</w:t>
            </w:r>
          </w:p>
        </w:tc>
      </w:tr>
      <w:tr w14:paraId="03092A8A">
        <w:trPr>
          <w:trHeight w:val="340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</w:tcBorders>
            <w:vAlign w:val="top"/>
          </w:tcPr>
          <w:p w14:paraId="41B6207D">
            <w:pPr>
              <w:spacing w:before="39" w:line="240" w:lineRule="auto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Pubmed</w:t>
            </w:r>
          </w:p>
        </w:tc>
      </w:tr>
      <w:tr w14:paraId="23148FDC">
        <w:trPr>
          <w:trHeight w:val="385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11B19C6B">
            <w:pPr>
              <w:spacing w:before="73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65CA75C2">
            <w:pPr>
              <w:spacing w:before="73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kern w:val="0"/>
                <w:sz w:val="20"/>
                <w:szCs w:val="20"/>
                <w:lang w:eastAsia="en-US"/>
              </w:rPr>
              <w:t>gastroesophageal reflux</w:t>
            </w:r>
            <w:r>
              <w:rPr>
                <w:rFonts w:hint="default" w:ascii="Times New Roman Regular" w:hAnsi="Times New Roman Regular" w:eastAsia="DengXian" w:cs="Times New Roman Regular"/>
                <w:color w:val="000000" w:themeColor="text1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Disease [MeSH</w:t>
            </w:r>
            <w:r>
              <w:rPr>
                <w:rFonts w:hint="default" w:ascii="Times New Roman Regular" w:hAnsi="Times New Roman Regular" w:eastAsia="DengXian" w:cs="Times New Roman Regular"/>
                <w:color w:val="000000" w:themeColor="text1"/>
                <w:spacing w:val="-4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DengXian" w:cs="Times New Roman Regular"/>
                <w:color w:val="000000" w:themeColor="text1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Terms]</w:t>
            </w:r>
          </w:p>
        </w:tc>
      </w:tr>
      <w:tr w14:paraId="512A13A8">
        <w:trPr>
          <w:trHeight w:val="697" w:hRule="exact"/>
        </w:trPr>
        <w:tc>
          <w:tcPr>
            <w:tcW w:w="568" w:type="dxa"/>
            <w:vAlign w:val="top"/>
          </w:tcPr>
          <w:p w14:paraId="66DFB27A">
            <w:pPr>
              <w:spacing w:before="72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#2</w:t>
            </w:r>
          </w:p>
        </w:tc>
        <w:tc>
          <w:tcPr>
            <w:tcW w:w="13279" w:type="dxa"/>
            <w:vAlign w:val="top"/>
          </w:tcPr>
          <w:p w14:paraId="2ECEDE12">
            <w:pPr>
              <w:spacing w:before="72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kern w:val="0"/>
                <w:sz w:val="20"/>
                <w:szCs w:val="20"/>
                <w:lang w:eastAsia="en-US"/>
              </w:rPr>
              <w:t>Gastric Acid Reflux OR Acid Reflux OR Gastric Reflux OR Gastric Acid OR Gastric Acid Reflux Disease OR Gastro-Esophageal Reflux Disease OR Gastro Esophageal Reflux Disease OR Gastro-Esophageal Reflux Diseases OR Reflux Disease OR Gastro-Esophageal OR Gastro-oesophageal Reflux OR Gastro oesophageal Reflux OR Reflux OR Gastro-oesophageal OR GERD OR Gastroesophageal Esophageal Reflux OR Gastro-Esophageal Reflux OR Gastro Esophageal Reflux OR Gastro-Esophageal</w:t>
            </w:r>
          </w:p>
        </w:tc>
      </w:tr>
      <w:tr w14:paraId="2D168C5D">
        <w:trPr>
          <w:trHeight w:val="340" w:hRule="exact"/>
        </w:trPr>
        <w:tc>
          <w:tcPr>
            <w:tcW w:w="568" w:type="dxa"/>
            <w:vAlign w:val="top"/>
          </w:tcPr>
          <w:p w14:paraId="5640F9EF">
            <w:pPr>
              <w:spacing w:before="72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#3</w:t>
            </w:r>
          </w:p>
        </w:tc>
        <w:tc>
          <w:tcPr>
            <w:tcW w:w="13279" w:type="dxa"/>
            <w:vAlign w:val="top"/>
          </w:tcPr>
          <w:p w14:paraId="15C120DD">
            <w:pPr>
              <w:spacing w:before="72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  <w:t>#1 OR #2</w:t>
            </w:r>
          </w:p>
        </w:tc>
      </w:tr>
      <w:tr w14:paraId="3B0A0464">
        <w:trPr>
          <w:trHeight w:val="340" w:hRule="exact"/>
        </w:trPr>
        <w:tc>
          <w:tcPr>
            <w:tcW w:w="568" w:type="dxa"/>
            <w:vAlign w:val="top"/>
          </w:tcPr>
          <w:p w14:paraId="5513899A">
            <w:pPr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#4</w:t>
            </w:r>
          </w:p>
        </w:tc>
        <w:tc>
          <w:tcPr>
            <w:tcW w:w="13279" w:type="dxa"/>
            <w:vAlign w:val="top"/>
          </w:tcPr>
          <w:p w14:paraId="6992AD2A">
            <w:pPr>
              <w:spacing w:before="9" w:line="240" w:lineRule="auto"/>
              <w:ind w:left="201" w:right="393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  <w:t>sleep disorder [MeSH Terms]</w:t>
            </w:r>
          </w:p>
        </w:tc>
      </w:tr>
      <w:tr w14:paraId="7B880B1E">
        <w:trPr>
          <w:trHeight w:val="340" w:hRule="exact"/>
        </w:trPr>
        <w:tc>
          <w:tcPr>
            <w:tcW w:w="568" w:type="dxa"/>
            <w:vAlign w:val="top"/>
          </w:tcPr>
          <w:p w14:paraId="0A574BE5">
            <w:pPr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#5</w:t>
            </w:r>
          </w:p>
        </w:tc>
        <w:tc>
          <w:tcPr>
            <w:tcW w:w="13279" w:type="dxa"/>
            <w:vAlign w:val="top"/>
          </w:tcPr>
          <w:p w14:paraId="52074251">
            <w:pPr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  <w:t>sleep disturbance OR somnipathy OR dissomnias OR insomnia</w:t>
            </w:r>
          </w:p>
        </w:tc>
      </w:tr>
      <w:tr w14:paraId="60101588">
        <w:trPr>
          <w:trHeight w:val="340" w:hRule="exact"/>
        </w:trPr>
        <w:tc>
          <w:tcPr>
            <w:tcW w:w="568" w:type="dxa"/>
            <w:vAlign w:val="top"/>
          </w:tcPr>
          <w:p w14:paraId="2D1F7B1B">
            <w:pPr>
              <w:spacing w:before="72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#6</w:t>
            </w:r>
          </w:p>
        </w:tc>
        <w:tc>
          <w:tcPr>
            <w:tcW w:w="13279" w:type="dxa"/>
            <w:vAlign w:val="top"/>
          </w:tcPr>
          <w:p w14:paraId="2BC2825E">
            <w:pPr>
              <w:spacing w:before="72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color w:val="000000" w:themeColor="text1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color w:val="000000" w:themeColor="text1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#4 OR #5</w:t>
            </w:r>
          </w:p>
        </w:tc>
      </w:tr>
      <w:tr w14:paraId="4A712E30">
        <w:trPr>
          <w:trHeight w:val="340" w:hRule="exact"/>
        </w:trPr>
        <w:tc>
          <w:tcPr>
            <w:tcW w:w="568" w:type="dxa"/>
            <w:tcBorders>
              <w:bottom w:val="single" w:color="000000" w:themeColor="text1" w:sz="8" w:space="0"/>
            </w:tcBorders>
            <w:vAlign w:val="top"/>
          </w:tcPr>
          <w:p w14:paraId="6416E3E3">
            <w:pPr>
              <w:spacing w:before="72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#7</w:t>
            </w:r>
          </w:p>
        </w:tc>
        <w:tc>
          <w:tcPr>
            <w:tcW w:w="13279" w:type="dxa"/>
            <w:vAlign w:val="top"/>
          </w:tcPr>
          <w:p w14:paraId="5D31615E">
            <w:pPr>
              <w:spacing w:before="14" w:line="240" w:lineRule="auto"/>
              <w:ind w:left="201" w:right="105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kern w:val="0"/>
                <w:sz w:val="20"/>
                <w:szCs w:val="20"/>
                <w:lang w:eastAsia="en-US"/>
              </w:rPr>
              <w:t>#3 AND #6</w:t>
            </w:r>
          </w:p>
        </w:tc>
      </w:tr>
      <w:tr w14:paraId="77E97E43">
        <w:trPr>
          <w:trHeight w:val="340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top"/>
          </w:tcPr>
          <w:p w14:paraId="5177B1B6">
            <w:pPr>
              <w:spacing w:before="77" w:line="240" w:lineRule="auto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EMBASE</w:t>
            </w:r>
          </w:p>
        </w:tc>
      </w:tr>
      <w:tr w14:paraId="6B4595D8">
        <w:trPr>
          <w:trHeight w:val="980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539DC6CD">
            <w:pPr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kern w:val="0"/>
                <w:sz w:val="20"/>
                <w:szCs w:val="20"/>
                <w:lang w:eastAsia="en-US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4EAA0318">
            <w:pPr>
              <w:tabs>
                <w:tab w:val="left" w:pos="2869"/>
              </w:tabs>
              <w:spacing w:before="3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DengXian" w:cs="Times New Roman Regular"/>
                <w:kern w:val="0"/>
                <w:sz w:val="20"/>
                <w:szCs w:val="20"/>
                <w:lang w:eastAsia="en-US"/>
              </w:rPr>
              <w:t>'gastroesophageal reflux Disease'/exp OR 'Gastric Acid Reflux'/exp OR 'Acid Reflux'/exp OR 'Gastric Reflux'/exp OR 'Gastric Acid'/exp OR 'Gastric Acid Reflux Disease'/exp OR 'Gastro-Esophageal Reflux Disease'/exp OR 'Gastro Esophageal Reflux Disease'/exp OR 'Gastro-Esophageal Reflux Diseases'/exp OR 'Reflux Disease'/exp OR 'Gastro-Esophageal'/exp OR 'Gastro-oesophageal Reflux'/exp OR 'Gastro oesophageal Reflux'/exp OR 'Reflux'/exp OR 'Gastro-oesophageal'/exp OR 'GERD'/exp OR 'Gastroesophageal Esophageal Reflux'/exp OR 'Gastro-Esophageal Reflux'/exp OR 'Gastro Esophageal Reflux'/exp OR 'Gastro-Esophageal'</w:t>
            </w:r>
          </w:p>
        </w:tc>
      </w:tr>
      <w:tr w14:paraId="2A07D9CB">
        <w:trPr>
          <w:trHeight w:val="340" w:hRule="exact"/>
        </w:trPr>
        <w:tc>
          <w:tcPr>
            <w:tcW w:w="568" w:type="dxa"/>
            <w:vAlign w:val="top"/>
          </w:tcPr>
          <w:p w14:paraId="26F3B461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#2</w:t>
            </w:r>
          </w:p>
        </w:tc>
        <w:tc>
          <w:tcPr>
            <w:tcW w:w="13279" w:type="dxa"/>
            <w:vAlign w:val="top"/>
          </w:tcPr>
          <w:p w14:paraId="507B6CC0">
            <w:pPr>
              <w:pStyle w:val="17"/>
              <w:spacing w:before="3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DengXian" w:cs="Times New Roman Regular"/>
                <w:sz w:val="20"/>
                <w:szCs w:val="20"/>
              </w:rPr>
              <w:t>'sleep disorder'/exp OR 'sleep distubance'/exp OR 'somnipathy'/exp OR 'dissomnias'/exp OR 'insomnia'</w:t>
            </w:r>
          </w:p>
        </w:tc>
      </w:tr>
      <w:tr w14:paraId="0E2FF8B0">
        <w:trPr>
          <w:trHeight w:val="340" w:hRule="exact"/>
        </w:trPr>
        <w:tc>
          <w:tcPr>
            <w:tcW w:w="568" w:type="dxa"/>
            <w:vAlign w:val="top"/>
          </w:tcPr>
          <w:p w14:paraId="0A3B04A2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#3</w:t>
            </w:r>
          </w:p>
        </w:tc>
        <w:tc>
          <w:tcPr>
            <w:tcW w:w="13279" w:type="dxa"/>
            <w:vAlign w:val="top"/>
          </w:tcPr>
          <w:p w14:paraId="152D840F">
            <w:pPr>
              <w:pStyle w:val="17"/>
              <w:spacing w:before="77" w:line="240" w:lineRule="auto"/>
              <w:ind w:left="201" w:right="224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[humans]/lim</w:t>
            </w:r>
          </w:p>
        </w:tc>
      </w:tr>
      <w:tr w14:paraId="0883264A">
        <w:trPr>
          <w:trHeight w:val="340" w:hRule="exact"/>
        </w:trPr>
        <w:tc>
          <w:tcPr>
            <w:tcW w:w="568" w:type="dxa"/>
            <w:tcBorders>
              <w:bottom w:val="single" w:color="000000" w:themeColor="text1" w:sz="8" w:space="0"/>
            </w:tcBorders>
            <w:vAlign w:val="top"/>
          </w:tcPr>
          <w:p w14:paraId="6164251E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#4</w:t>
            </w:r>
          </w:p>
        </w:tc>
        <w:tc>
          <w:tcPr>
            <w:tcW w:w="13279" w:type="dxa"/>
            <w:tcBorders>
              <w:bottom w:val="single" w:color="000000" w:themeColor="text1" w:sz="8" w:space="0"/>
            </w:tcBorders>
            <w:vAlign w:val="top"/>
          </w:tcPr>
          <w:p w14:paraId="59F0DE0B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#1 AND #2 AND #3</w:t>
            </w:r>
          </w:p>
        </w:tc>
      </w:tr>
      <w:tr w14:paraId="140582CD">
        <w:trPr>
          <w:trHeight w:val="340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top"/>
          </w:tcPr>
          <w:p w14:paraId="78BD5F7F">
            <w:pPr>
              <w:pStyle w:val="17"/>
              <w:spacing w:before="59" w:line="240" w:lineRule="auto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Cochrane</w:t>
            </w:r>
            <w:r>
              <w:rPr>
                <w:rFonts w:hint="default" w:ascii="Times New Roman Regular" w:hAnsi="Times New Roman Regular" w:cs="Times New Roman Regular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Library</w:t>
            </w:r>
          </w:p>
        </w:tc>
      </w:tr>
      <w:tr w14:paraId="72249F12">
        <w:trPr>
          <w:trHeight w:val="340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3277A919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339EE785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MeSH descriptor: [gastroesophageal reflux Disease] explode all</w:t>
            </w:r>
            <w:r>
              <w:rPr>
                <w:rFonts w:hint="default" w:ascii="Times New Roman Regular" w:hAnsi="Times New Roman Regular" w:cs="Times New Roman Regular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trees</w:t>
            </w:r>
          </w:p>
        </w:tc>
      </w:tr>
      <w:tr w14:paraId="52F5C4C8">
        <w:trPr>
          <w:trHeight w:val="733" w:hRule="exact"/>
        </w:trPr>
        <w:tc>
          <w:tcPr>
            <w:tcW w:w="568" w:type="dxa"/>
            <w:vAlign w:val="top"/>
          </w:tcPr>
          <w:p w14:paraId="01F779DE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#2</w:t>
            </w:r>
          </w:p>
        </w:tc>
        <w:tc>
          <w:tcPr>
            <w:tcW w:w="13279" w:type="dxa"/>
            <w:vAlign w:val="top"/>
          </w:tcPr>
          <w:p w14:paraId="0E0AE4BC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(Gastric Acid Reflux OR Acid Reflux OR Gastric Reflux OR Gastric Acid OR Gastric Acid Reflux Disease OR Gastro-Esophageal Reflux Disease OR Gastro Esophageal Reflux Disease OR Gastro-Esophageal Reflux Diseases OR Reflux Disease OR Gastro-Esophageal OR Gastro-oesophageal Reflux OR Gastro oesophageal Reflux OR Reflux OR Gastro-oesophageal OR GERD OR Gastroesophageal Esophageal Reflux OR Gastro-Esophageal Reflux OR Gastro Esophageal Reflux OR Gastro-Esophageal):ti,ab,kw</w:t>
            </w:r>
          </w:p>
        </w:tc>
      </w:tr>
      <w:tr w14:paraId="08BA88EF">
        <w:trPr>
          <w:trHeight w:val="428" w:hRule="exact"/>
        </w:trPr>
        <w:tc>
          <w:tcPr>
            <w:tcW w:w="568" w:type="dxa"/>
            <w:vAlign w:val="top"/>
          </w:tcPr>
          <w:p w14:paraId="398B1E40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#3</w:t>
            </w:r>
          </w:p>
        </w:tc>
        <w:tc>
          <w:tcPr>
            <w:tcW w:w="13279" w:type="dxa"/>
            <w:vAlign w:val="top"/>
          </w:tcPr>
          <w:p w14:paraId="29143ED0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#1 OR #2</w:t>
            </w:r>
          </w:p>
        </w:tc>
      </w:tr>
      <w:tr w14:paraId="0BC915ED">
        <w:trPr>
          <w:trHeight w:val="516" w:hRule="exact"/>
        </w:trPr>
        <w:tc>
          <w:tcPr>
            <w:tcW w:w="568" w:type="dxa"/>
            <w:vAlign w:val="top"/>
          </w:tcPr>
          <w:p w14:paraId="7723E45B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#4</w:t>
            </w:r>
          </w:p>
        </w:tc>
        <w:tc>
          <w:tcPr>
            <w:tcW w:w="13279" w:type="dxa"/>
            <w:vAlign w:val="top"/>
          </w:tcPr>
          <w:p w14:paraId="36FC655B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MeSH descriptor: [sleep disorder] explode all trees</w:t>
            </w:r>
          </w:p>
        </w:tc>
      </w:tr>
      <w:tr w14:paraId="3A249035">
        <w:trPr>
          <w:trHeight w:val="322" w:hRule="exact"/>
        </w:trPr>
        <w:tc>
          <w:tcPr>
            <w:tcW w:w="568" w:type="dxa"/>
            <w:vAlign w:val="top"/>
          </w:tcPr>
          <w:p w14:paraId="3C5ACB9D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#5</w:t>
            </w:r>
          </w:p>
        </w:tc>
        <w:tc>
          <w:tcPr>
            <w:tcW w:w="13279" w:type="dxa"/>
            <w:vAlign w:val="top"/>
          </w:tcPr>
          <w:p w14:paraId="02420774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(sleep disturbance OR somnipathy OR dissomnias OR insomnia):ti,ab,kw</w:t>
            </w:r>
          </w:p>
        </w:tc>
      </w:tr>
      <w:tr w14:paraId="11C3AA95">
        <w:trPr>
          <w:trHeight w:val="322" w:hRule="exact"/>
        </w:trPr>
        <w:tc>
          <w:tcPr>
            <w:tcW w:w="568" w:type="dxa"/>
            <w:vAlign w:val="top"/>
          </w:tcPr>
          <w:p w14:paraId="27BD1B66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#6</w:t>
            </w:r>
          </w:p>
        </w:tc>
        <w:tc>
          <w:tcPr>
            <w:tcW w:w="13279" w:type="dxa"/>
            <w:vAlign w:val="top"/>
          </w:tcPr>
          <w:p w14:paraId="1CD0CFE1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#4 OR #5</w:t>
            </w:r>
          </w:p>
        </w:tc>
      </w:tr>
      <w:tr w14:paraId="1E1EFC22">
        <w:trPr>
          <w:trHeight w:val="398" w:hRule="exact"/>
        </w:trPr>
        <w:tc>
          <w:tcPr>
            <w:tcW w:w="568" w:type="dxa"/>
            <w:tcBorders>
              <w:bottom w:val="single" w:color="000000" w:themeColor="text1" w:sz="8" w:space="0"/>
            </w:tcBorders>
            <w:vAlign w:val="top"/>
          </w:tcPr>
          <w:p w14:paraId="1A73C051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#7</w:t>
            </w:r>
          </w:p>
        </w:tc>
        <w:tc>
          <w:tcPr>
            <w:tcW w:w="13279" w:type="dxa"/>
            <w:tcBorders>
              <w:bottom w:val="single" w:color="000000" w:themeColor="text1" w:sz="8" w:space="0"/>
            </w:tcBorders>
            <w:vAlign w:val="top"/>
          </w:tcPr>
          <w:p w14:paraId="65A5A104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#3 AND #6</w:t>
            </w:r>
          </w:p>
        </w:tc>
      </w:tr>
      <w:tr w14:paraId="3A4D4A0C">
        <w:trPr>
          <w:trHeight w:val="326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top"/>
          </w:tcPr>
          <w:p w14:paraId="733B0575">
            <w:pPr>
              <w:pStyle w:val="17"/>
              <w:spacing w:before="68" w:line="240" w:lineRule="auto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Web of</w:t>
            </w:r>
            <w:r>
              <w:rPr>
                <w:rFonts w:hint="default" w:ascii="Times New Roman Regular" w:hAnsi="Times New Roman Regular" w:cs="Times New Roman Regular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Science</w:t>
            </w:r>
          </w:p>
        </w:tc>
      </w:tr>
      <w:tr w14:paraId="7F33BD89">
        <w:trPr>
          <w:trHeight w:val="322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421E819B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275EE995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gastroesophageal reflux Disease [MeSH</w:t>
            </w:r>
            <w:r>
              <w:rPr>
                <w:rFonts w:hint="default" w:ascii="Times New Roman Regular" w:hAnsi="Times New Roman Regular" w:cs="Times New Roman Regular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Terms]</w:t>
            </w:r>
          </w:p>
        </w:tc>
      </w:tr>
      <w:tr w14:paraId="22288088">
        <w:trPr>
          <w:trHeight w:val="743" w:hRule="exact"/>
        </w:trPr>
        <w:tc>
          <w:tcPr>
            <w:tcW w:w="568" w:type="dxa"/>
            <w:vAlign w:val="top"/>
          </w:tcPr>
          <w:p w14:paraId="7EFB2AC0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#2</w:t>
            </w:r>
          </w:p>
        </w:tc>
        <w:tc>
          <w:tcPr>
            <w:tcW w:w="13279" w:type="dxa"/>
            <w:vAlign w:val="top"/>
          </w:tcPr>
          <w:p w14:paraId="04A3FCDE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Gastric Acid Reflux OR Acid Reflux OR Gastric Reflux OR Gastric Acid OR Gastric Acid Reflux Disease OR Gastro-Esophageal Reflux Disease OR Gastro Esophageal Reflux Disease OR Gastro-Esophageal Reflux Diseases OR Reflux Disease OR Gastro-Esophageal OR Gastro-oesophageal Reflux OR Gastro oesophageal Reflux OR Reflux OR Gastro-oesophageal OR GERD OR Gastroesophageal Esophageal Reflux OR Gastro-Esophageal Reflux OR Gastro Esophageal Reflux OR Gastro-Esophageal</w:t>
            </w:r>
          </w:p>
        </w:tc>
      </w:tr>
      <w:tr w14:paraId="6DC8A80F">
        <w:trPr>
          <w:trHeight w:val="322" w:hRule="exact"/>
        </w:trPr>
        <w:tc>
          <w:tcPr>
            <w:tcW w:w="568" w:type="dxa"/>
            <w:vAlign w:val="top"/>
          </w:tcPr>
          <w:p w14:paraId="65EE6735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#3</w:t>
            </w:r>
          </w:p>
        </w:tc>
        <w:tc>
          <w:tcPr>
            <w:tcW w:w="13279" w:type="dxa"/>
            <w:vAlign w:val="top"/>
          </w:tcPr>
          <w:p w14:paraId="05FA48D4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#1 OR #2</w:t>
            </w:r>
          </w:p>
        </w:tc>
      </w:tr>
      <w:tr w14:paraId="3573526A">
        <w:trPr>
          <w:trHeight w:val="382" w:hRule="exact"/>
        </w:trPr>
        <w:tc>
          <w:tcPr>
            <w:tcW w:w="568" w:type="dxa"/>
            <w:vAlign w:val="top"/>
          </w:tcPr>
          <w:p w14:paraId="45E42662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#4</w:t>
            </w:r>
          </w:p>
        </w:tc>
        <w:tc>
          <w:tcPr>
            <w:tcW w:w="13279" w:type="dxa"/>
            <w:vAlign w:val="top"/>
          </w:tcPr>
          <w:p w14:paraId="5CA15CD6">
            <w:pPr>
              <w:pStyle w:val="17"/>
              <w:spacing w:before="16" w:line="240" w:lineRule="auto"/>
              <w:ind w:left="201" w:right="393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sleep disorder [MeSH Terms]</w:t>
            </w:r>
          </w:p>
        </w:tc>
      </w:tr>
      <w:tr w14:paraId="4617BB85">
        <w:trPr>
          <w:trHeight w:val="322" w:hRule="exact"/>
        </w:trPr>
        <w:tc>
          <w:tcPr>
            <w:tcW w:w="568" w:type="dxa"/>
            <w:vAlign w:val="top"/>
          </w:tcPr>
          <w:p w14:paraId="242D69BA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#5</w:t>
            </w:r>
          </w:p>
        </w:tc>
        <w:tc>
          <w:tcPr>
            <w:tcW w:w="13279" w:type="dxa"/>
            <w:vAlign w:val="top"/>
          </w:tcPr>
          <w:p w14:paraId="7D3DC767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sleep disturbance OR somnipathy OR dissomnias OR insomnia</w:t>
            </w:r>
          </w:p>
        </w:tc>
      </w:tr>
      <w:tr w14:paraId="19574508">
        <w:trPr>
          <w:trHeight w:val="322" w:hRule="exact"/>
        </w:trPr>
        <w:tc>
          <w:tcPr>
            <w:tcW w:w="568" w:type="dxa"/>
            <w:vAlign w:val="top"/>
          </w:tcPr>
          <w:p w14:paraId="1781B5F6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#6</w:t>
            </w:r>
          </w:p>
        </w:tc>
        <w:tc>
          <w:tcPr>
            <w:tcW w:w="13279" w:type="dxa"/>
            <w:vAlign w:val="top"/>
          </w:tcPr>
          <w:p w14:paraId="662E4D45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#4 OR #5</w:t>
            </w:r>
          </w:p>
        </w:tc>
      </w:tr>
      <w:tr w14:paraId="32CA68AE">
        <w:trPr>
          <w:trHeight w:val="496" w:hRule="exact"/>
        </w:trPr>
        <w:tc>
          <w:tcPr>
            <w:tcW w:w="568" w:type="dxa"/>
            <w:tcBorders>
              <w:bottom w:val="single" w:color="000000" w:themeColor="text1" w:sz="8" w:space="0"/>
            </w:tcBorders>
            <w:vAlign w:val="top"/>
          </w:tcPr>
          <w:p w14:paraId="44000C23">
            <w:pPr>
              <w:pStyle w:val="17"/>
              <w:spacing w:before="82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#7</w:t>
            </w:r>
          </w:p>
        </w:tc>
        <w:tc>
          <w:tcPr>
            <w:tcW w:w="13279" w:type="dxa"/>
            <w:tcBorders>
              <w:bottom w:val="single" w:color="000000" w:themeColor="text1" w:sz="8" w:space="0"/>
            </w:tcBorders>
            <w:vAlign w:val="top"/>
          </w:tcPr>
          <w:p w14:paraId="01BFB689">
            <w:pPr>
              <w:pStyle w:val="17"/>
              <w:spacing w:before="109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#3 AND #6</w:t>
            </w:r>
          </w:p>
        </w:tc>
      </w:tr>
      <w:tr w14:paraId="6F42A7D1">
        <w:trPr>
          <w:trHeight w:val="327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</w:tcBorders>
            <w:vAlign w:val="top"/>
          </w:tcPr>
          <w:p w14:paraId="762E74C5">
            <w:pPr>
              <w:pStyle w:val="17"/>
              <w:spacing w:before="73" w:line="240" w:lineRule="auto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China National Knowledge Infrastructure</w:t>
            </w:r>
            <w:r>
              <w:rPr>
                <w:rFonts w:hint="default" w:ascii="Times New Roman Regular" w:hAnsi="Times New Roman Regular" w:cs="Times New Roman Regular"/>
                <w:b/>
                <w:spacing w:val="-25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(CNKI)</w:t>
            </w:r>
          </w:p>
        </w:tc>
      </w:tr>
      <w:tr w14:paraId="59049903">
        <w:trPr>
          <w:trHeight w:val="819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6B2CFFAC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38596857">
            <w:pPr>
              <w:pStyle w:val="17"/>
              <w:spacing w:before="77" w:line="240" w:lineRule="auto"/>
              <w:ind w:left="120" w:leftChars="50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  <w:lang w:eastAsia="zh-CN"/>
              </w:rPr>
              <w:t>G</w:t>
            </w:r>
            <w:r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  <w:t>astroesophageal reflux Disease OR Gastric Acid Reflux OR Acid Reflux OR Gastric Reflux OR Gastric Acid OR Gastric Acid Reflux Disease OR Gastro-Esophageal Reflux Disease OR Gastro Esophageal Reflux Disease OR Gastro-Esophageal Reflux Diseases OR Reflux Disease OR Gastro-Esophageal OR Gastro-oesophageal Reflux OR Gastro oesophageal Reflux OR Reflux OR Gastro-oesophageal OR GERD OR Gastroesophageal Esophageal Reflux OR Gastro-Esophageal Reflux OR Gastro Esophageal Reflux OR Gastro-Esophageal</w:t>
            </w:r>
          </w:p>
        </w:tc>
      </w:tr>
      <w:tr w14:paraId="34D692F2">
        <w:trPr>
          <w:trHeight w:val="399" w:hRule="exact"/>
        </w:trPr>
        <w:tc>
          <w:tcPr>
            <w:tcW w:w="568" w:type="dxa"/>
            <w:vAlign w:val="top"/>
          </w:tcPr>
          <w:p w14:paraId="206EE5E7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#2</w:t>
            </w:r>
          </w:p>
        </w:tc>
        <w:tc>
          <w:tcPr>
            <w:tcW w:w="13279" w:type="dxa"/>
            <w:vAlign w:val="top"/>
          </w:tcPr>
          <w:p w14:paraId="59769247">
            <w:pPr>
              <w:pStyle w:val="17"/>
              <w:spacing w:before="77" w:line="240" w:lineRule="auto"/>
              <w:ind w:firstLine="100" w:firstLineChars="50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sleep disorder OR sleep disturbance OR somnipathy OR dissomnias OR insomnia</w:t>
            </w:r>
          </w:p>
        </w:tc>
      </w:tr>
      <w:tr w14:paraId="0668AEE5">
        <w:trPr>
          <w:trHeight w:val="424" w:hRule="exact"/>
        </w:trPr>
        <w:tc>
          <w:tcPr>
            <w:tcW w:w="568" w:type="dxa"/>
            <w:tcBorders>
              <w:bottom w:val="single" w:color="000000" w:themeColor="text1" w:sz="8" w:space="0"/>
            </w:tcBorders>
            <w:vAlign w:val="top"/>
          </w:tcPr>
          <w:p w14:paraId="4056076D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#3</w:t>
            </w:r>
          </w:p>
        </w:tc>
        <w:tc>
          <w:tcPr>
            <w:tcW w:w="13279" w:type="dxa"/>
            <w:tcBorders>
              <w:bottom w:val="single" w:color="000000" w:themeColor="text1" w:sz="8" w:space="0"/>
            </w:tcBorders>
            <w:vAlign w:val="top"/>
          </w:tcPr>
          <w:p w14:paraId="3F67A66E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#1 AND #2</w:t>
            </w:r>
          </w:p>
        </w:tc>
      </w:tr>
      <w:tr w14:paraId="2C15283F">
        <w:trPr>
          <w:trHeight w:val="322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top"/>
          </w:tcPr>
          <w:p w14:paraId="5C365985">
            <w:pPr>
              <w:pStyle w:val="17"/>
              <w:spacing w:before="68" w:line="240" w:lineRule="auto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WanFang</w:t>
            </w:r>
            <w:r>
              <w:rPr>
                <w:rFonts w:hint="default" w:ascii="Times New Roman Regular" w:hAnsi="Times New Roman Regular" w:cs="Times New Roman Regular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Database</w:t>
            </w:r>
          </w:p>
        </w:tc>
      </w:tr>
      <w:tr w14:paraId="01746B65">
        <w:trPr>
          <w:trHeight w:val="847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42B5C610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527C3119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Gastroesophageal reflux Disease OR Gastric Acid Reflux OR Acid Reflux OR Gastric Reflux OR Gastric Acid OR Gastric Acid Reflux Disease OR Gastro-Esophageal Reflux Disease OR Gastro Esophageal Reflux Disease OR Gastro-Esophageal Reflux Diseases OR Reflux Disease OR Gastro-Esophageal OR Gastro-oesophageal Reflux OR Gastro oesophageal Reflux OR Reflux OR Gastro-oesophageal OR GERD OR Gastroesophageal Esophageal Reflux OR Gastro-Esophageal Reflux OR Gastro Esophageal Reflux OR Gastro-Esophageal</w:t>
            </w:r>
          </w:p>
        </w:tc>
      </w:tr>
      <w:tr w14:paraId="4F5A837A">
        <w:trPr>
          <w:trHeight w:val="416" w:hRule="exact"/>
        </w:trPr>
        <w:tc>
          <w:tcPr>
            <w:tcW w:w="568" w:type="dxa"/>
            <w:vAlign w:val="top"/>
          </w:tcPr>
          <w:p w14:paraId="6A48B6F7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#2</w:t>
            </w:r>
          </w:p>
        </w:tc>
        <w:tc>
          <w:tcPr>
            <w:tcW w:w="13279" w:type="dxa"/>
            <w:vAlign w:val="top"/>
          </w:tcPr>
          <w:p w14:paraId="02A00132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sleep disorder OR sleep disturbance OR somnipathy OR dissomnias OR insomnia</w:t>
            </w:r>
          </w:p>
        </w:tc>
      </w:tr>
      <w:tr w14:paraId="32198787">
        <w:trPr>
          <w:trHeight w:val="424" w:hRule="exact"/>
        </w:trPr>
        <w:tc>
          <w:tcPr>
            <w:tcW w:w="568" w:type="dxa"/>
            <w:tcBorders>
              <w:bottom w:val="single" w:color="000000" w:themeColor="text1" w:sz="8" w:space="0"/>
            </w:tcBorders>
            <w:vAlign w:val="top"/>
          </w:tcPr>
          <w:p w14:paraId="6C21208B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#3</w:t>
            </w:r>
          </w:p>
        </w:tc>
        <w:tc>
          <w:tcPr>
            <w:tcW w:w="13279" w:type="dxa"/>
            <w:tcBorders>
              <w:bottom w:val="single" w:color="000000" w:themeColor="text1" w:sz="8" w:space="0"/>
            </w:tcBorders>
            <w:vAlign w:val="top"/>
          </w:tcPr>
          <w:p w14:paraId="4DEA5707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#1 AND #2</w:t>
            </w:r>
          </w:p>
        </w:tc>
      </w:tr>
      <w:tr w14:paraId="038B59D1">
        <w:trPr>
          <w:trHeight w:val="326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top"/>
          </w:tcPr>
          <w:p w14:paraId="1B902294">
            <w:pPr>
              <w:pStyle w:val="17"/>
              <w:spacing w:before="68" w:line="240" w:lineRule="auto"/>
              <w:jc w:val="both"/>
              <w:rPr>
                <w:rFonts w:hint="default" w:ascii="Times New Roman Regular" w:hAnsi="Times New Roman Regular" w:eastAsia="Times New Roman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VIP</w:t>
            </w:r>
            <w:r>
              <w:rPr>
                <w:rFonts w:hint="default" w:ascii="Times New Roman Regular" w:hAnsi="Times New Roman Regular" w:cs="Times New Roman Regular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Database</w:t>
            </w:r>
          </w:p>
        </w:tc>
      </w:tr>
      <w:tr w14:paraId="2BE7A68B">
        <w:trPr>
          <w:trHeight w:val="801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1401566F">
            <w:pPr>
              <w:pStyle w:val="17"/>
              <w:spacing w:before="77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125D99F2">
            <w:pPr>
              <w:pStyle w:val="17"/>
              <w:spacing w:before="77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Gastroesophageal reflux Disease OR Gastric Acid Reflux OR Acid Reflux OR Gastric Reflux OR Gastric Acid OR Gastric Acid Reflux Disease OR Gastro-Esophageal Reflux Disease OR Gastro Esophageal Reflux Disease OR Gastro-Esophageal Reflux Diseases OR Reflux Disease OR Gastro-Esophageal OR Gastro-oesophageal Reflux OR Gastro oesophageal Reflux OR Reflux OR Gastro-oesophageal OR GERD OR Gastroesophageal Esophageal Reflux OR Gastro-Esophageal Reflux OR Gastro Esophageal Reflux OR Gastro-Esophageal</w:t>
            </w:r>
          </w:p>
        </w:tc>
      </w:tr>
      <w:tr w14:paraId="7CD67077">
        <w:trPr>
          <w:trHeight w:val="437" w:hRule="exact"/>
        </w:trPr>
        <w:tc>
          <w:tcPr>
            <w:tcW w:w="568" w:type="dxa"/>
            <w:vAlign w:val="top"/>
          </w:tcPr>
          <w:p w14:paraId="70ECDCDD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</w:rPr>
              <w:t>#2</w:t>
            </w:r>
          </w:p>
        </w:tc>
        <w:tc>
          <w:tcPr>
            <w:tcW w:w="13279" w:type="dxa"/>
            <w:vAlign w:val="top"/>
          </w:tcPr>
          <w:p w14:paraId="49E1F73B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sleep disorder OR sleep disturbance OR somnipathy OR dissomnias OR insomnia</w:t>
            </w:r>
          </w:p>
        </w:tc>
      </w:tr>
      <w:tr w14:paraId="4709DD29">
        <w:trPr>
          <w:trHeight w:val="424" w:hRule="exact"/>
        </w:trPr>
        <w:tc>
          <w:tcPr>
            <w:tcW w:w="568" w:type="dxa"/>
            <w:tcBorders>
              <w:bottom w:val="single" w:color="000000" w:themeColor="text1" w:sz="8" w:space="0"/>
            </w:tcBorders>
            <w:vAlign w:val="top"/>
          </w:tcPr>
          <w:p w14:paraId="416699D1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</w:rPr>
              <w:t>#3</w:t>
            </w:r>
          </w:p>
        </w:tc>
        <w:tc>
          <w:tcPr>
            <w:tcW w:w="13279" w:type="dxa"/>
            <w:vAlign w:val="top"/>
          </w:tcPr>
          <w:p w14:paraId="1827B9A6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#1 AND #2</w:t>
            </w:r>
          </w:p>
        </w:tc>
      </w:tr>
      <w:tr w14:paraId="042E5078">
        <w:trPr>
          <w:trHeight w:val="380" w:hRule="exact"/>
        </w:trPr>
        <w:tc>
          <w:tcPr>
            <w:tcW w:w="13847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top"/>
          </w:tcPr>
          <w:p w14:paraId="167E3E72">
            <w:pPr>
              <w:pStyle w:val="17"/>
              <w:spacing w:before="78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SinoMed</w:t>
            </w:r>
          </w:p>
        </w:tc>
      </w:tr>
      <w:tr w14:paraId="5B396471">
        <w:trPr>
          <w:trHeight w:val="787" w:hRule="exact"/>
        </w:trPr>
        <w:tc>
          <w:tcPr>
            <w:tcW w:w="568" w:type="dxa"/>
            <w:tcBorders>
              <w:top w:val="single" w:color="000000" w:themeColor="text1" w:sz="8" w:space="0"/>
            </w:tcBorders>
            <w:vAlign w:val="top"/>
          </w:tcPr>
          <w:p w14:paraId="0FF1BA0D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#1</w:t>
            </w:r>
          </w:p>
        </w:tc>
        <w:tc>
          <w:tcPr>
            <w:tcW w:w="13279" w:type="dxa"/>
            <w:tcBorders>
              <w:top w:val="single" w:color="000000" w:themeColor="text1" w:sz="8" w:space="0"/>
            </w:tcBorders>
            <w:vAlign w:val="top"/>
          </w:tcPr>
          <w:p w14:paraId="477B2B50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Gastroesophageal reflux Disease OR Gastric Acid Reflux OR Acid Reflux OR Gastric Reflux OR Gastric Acid OR Gastric Acid Reflux Disease OR Gastro-Esophageal Reflux Disease OR Gastro Esophageal Reflux Disease OR Gastro-Esophageal Reflux Diseases OR Reflux Disease OR Gastro-Esophageal OR Gastro-oesophageal Reflux OR Gastro oesophageal Reflux OR Reflux OR Gastro-oesophageal OR GERD OR Gastroesophageal Esophageal Reflux OR Gastro-Esophageal Reflux OR Gastro Esophageal Reflux OR Gastro-Esophageal</w:t>
            </w:r>
          </w:p>
        </w:tc>
      </w:tr>
      <w:tr w14:paraId="6915BA87">
        <w:trPr>
          <w:trHeight w:val="465" w:hRule="exact"/>
        </w:trPr>
        <w:tc>
          <w:tcPr>
            <w:tcW w:w="568" w:type="dxa"/>
            <w:vAlign w:val="top"/>
          </w:tcPr>
          <w:p w14:paraId="035901DF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#2</w:t>
            </w:r>
          </w:p>
        </w:tc>
        <w:tc>
          <w:tcPr>
            <w:tcW w:w="13279" w:type="dxa"/>
            <w:vAlign w:val="top"/>
          </w:tcPr>
          <w:p w14:paraId="08A97C64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sleep disorder OR sleep disturbance OR somnipathy OR dissomnias OR insomnia</w:t>
            </w:r>
          </w:p>
        </w:tc>
      </w:tr>
      <w:tr w14:paraId="43577585">
        <w:trPr>
          <w:trHeight w:val="425" w:hRule="exact"/>
        </w:trPr>
        <w:tc>
          <w:tcPr>
            <w:tcW w:w="568" w:type="dxa"/>
            <w:tcBorders>
              <w:bottom w:val="single" w:color="000000" w:sz="8" w:space="0"/>
            </w:tcBorders>
            <w:vAlign w:val="top"/>
          </w:tcPr>
          <w:p w14:paraId="190B832E">
            <w:pPr>
              <w:pStyle w:val="17"/>
              <w:spacing w:before="78" w:line="240" w:lineRule="auto"/>
              <w:ind w:left="206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#3</w:t>
            </w:r>
          </w:p>
        </w:tc>
        <w:tc>
          <w:tcPr>
            <w:tcW w:w="13279" w:type="dxa"/>
            <w:tcBorders>
              <w:bottom w:val="single" w:color="000000" w:sz="8" w:space="0"/>
            </w:tcBorders>
            <w:vAlign w:val="top"/>
          </w:tcPr>
          <w:p w14:paraId="69B44211">
            <w:pPr>
              <w:pStyle w:val="17"/>
              <w:spacing w:before="78" w:line="240" w:lineRule="auto"/>
              <w:ind w:left="201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#1 AND #2</w:t>
            </w:r>
          </w:p>
        </w:tc>
      </w:tr>
    </w:tbl>
    <w:p w14:paraId="61B47957">
      <w:pPr>
        <w:spacing w:line="480" w:lineRule="auto"/>
        <w:ind w:left="420" w:hanging="392" w:hangingChars="196"/>
        <w:rPr>
          <w:rFonts w:hint="default" w:ascii="Times New Roman Regular" w:hAnsi="Times New Roman Regular" w:cs="Times New Roman Regular"/>
          <w:b/>
          <w:bCs/>
          <w:sz w:val="20"/>
          <w:szCs w:val="20"/>
        </w:rPr>
      </w:pPr>
    </w:p>
    <w:p w14:paraId="5C9E2268">
      <w:pPr>
        <w:spacing w:line="480" w:lineRule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GB"/>
        </w:rPr>
      </w:pPr>
    </w:p>
    <w:p w14:paraId="545F074E">
      <w:pPr>
        <w:spacing w:line="480" w:lineRule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GB"/>
        </w:rPr>
      </w:pPr>
    </w:p>
    <w:p w14:paraId="35D42172">
      <w:pPr>
        <w:spacing w:line="480" w:lineRule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GB"/>
        </w:rPr>
      </w:pPr>
    </w:p>
    <w:p w14:paraId="633C03BA">
      <w:pPr>
        <w:spacing w:line="480" w:lineRule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GB"/>
        </w:rPr>
      </w:pPr>
    </w:p>
    <w:p w14:paraId="0B550D5A">
      <w:pPr>
        <w:spacing w:line="480" w:lineRule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GB"/>
        </w:rPr>
      </w:pPr>
    </w:p>
    <w:p w14:paraId="4440DCC2">
      <w:pPr>
        <w:spacing w:line="480" w:lineRule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GB"/>
        </w:rPr>
      </w:pPr>
    </w:p>
    <w:p w14:paraId="3423CE3A">
      <w:pPr>
        <w:jc w:val="center"/>
        <w:outlineLvl w:val="1"/>
        <w:rPr>
          <w:rFonts w:hint="default" w:ascii="Times New Roman Regular" w:hAnsi="Times New Roman Regular" w:eastAsia="华文宋体" w:cs="Times New Roman Regular"/>
          <w:b/>
          <w:bCs/>
          <w:color w:val="000000"/>
          <w:sz w:val="20"/>
          <w:szCs w:val="20"/>
        </w:rPr>
      </w:pPr>
      <w:r>
        <w:rPr>
          <w:rFonts w:hint="default" w:ascii="Times New Roman Regular" w:hAnsi="Times New Roman Regular" w:eastAsia="华文宋体" w:cs="Times New Roman Regular"/>
          <w:b/>
          <w:bCs/>
          <w:color w:val="000000"/>
          <w:sz w:val="20"/>
          <w:szCs w:val="20"/>
        </w:rPr>
        <w:t>Table 2 Newcastle–Ottawa scale for assessment of quality of included studies</w:t>
      </w:r>
      <w:r>
        <w:rPr>
          <w:rFonts w:hint="default" w:ascii="Times New Roman Regular" w:hAnsi="Times New Roman Regular" w:eastAsia="华文宋体" w:cs="Times New Roman Regular"/>
          <w:b/>
          <w:bCs/>
          <w:color w:val="000000"/>
          <w:sz w:val="20"/>
          <w:szCs w:val="20"/>
        </w:rPr>
        <w:t>-</w:t>
      </w:r>
      <w:r>
        <w:rPr>
          <w:rFonts w:hint="default" w:ascii="Times New Roman Regular" w:hAnsi="Times New Roman Regular" w:eastAsia="华文宋体" w:cs="Times New Roman Regular"/>
          <w:b/>
          <w:bCs/>
          <w:color w:val="000000"/>
          <w:sz w:val="20"/>
          <w:szCs w:val="20"/>
        </w:rPr>
        <w:t>cohort studies (each asterisk represents if individual criterion within the subsection was fulf</w:t>
      </w:r>
      <w:r>
        <w:rPr>
          <w:rFonts w:hint="default" w:ascii="Times New Roman Regular" w:hAnsi="Times New Roman Regular" w:eastAsia="华文宋体" w:cs="Times New Roman Regular"/>
          <w:b/>
          <w:bCs/>
          <w:color w:val="000000"/>
          <w:sz w:val="20"/>
          <w:szCs w:val="20"/>
        </w:rPr>
        <w:t>i</w:t>
      </w:r>
      <w:r>
        <w:rPr>
          <w:rFonts w:hint="default" w:ascii="Times New Roman Regular" w:hAnsi="Times New Roman Regular" w:eastAsia="华文宋体" w:cs="Times New Roman Regular"/>
          <w:b/>
          <w:bCs/>
          <w:color w:val="000000"/>
          <w:sz w:val="20"/>
          <w:szCs w:val="20"/>
        </w:rPr>
        <w:t>lled)</w:t>
      </w:r>
    </w:p>
    <w:tbl>
      <w:tblPr>
        <w:tblStyle w:val="18"/>
        <w:tblpPr w:leftFromText="181" w:rightFromText="181" w:vertAnchor="text" w:horzAnchor="page" w:tblpXSpec="center" w:tblpY="1"/>
        <w:tblOverlap w:val="never"/>
        <w:tblW w:w="528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30"/>
        <w:gridCol w:w="1727"/>
        <w:gridCol w:w="1300"/>
        <w:gridCol w:w="1297"/>
        <w:gridCol w:w="1587"/>
        <w:gridCol w:w="1440"/>
        <w:gridCol w:w="2728"/>
        <w:gridCol w:w="1153"/>
        <w:gridCol w:w="569"/>
      </w:tblGrid>
      <w:tr w14:paraId="30F4FC5E">
        <w:trPr>
          <w:trHeight w:val="538" w:hRule="atLeast"/>
        </w:trPr>
        <w:tc>
          <w:tcPr>
            <w:tcW w:w="481" w:type="pct"/>
            <w:vMerge w:val="restart"/>
            <w:tcBorders>
              <w:top w:val="single" w:color="000000" w:sz="8" w:space="0"/>
            </w:tcBorders>
            <w:vAlign w:val="center"/>
          </w:tcPr>
          <w:p w14:paraId="72DD563A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</w:pPr>
            <w:bookmarkStart w:id="0" w:name="OLE_LINK4"/>
            <w:bookmarkStart w:id="1" w:name="OLE_LINK3"/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2021" w:type="pct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F6F25A">
            <w:pPr>
              <w:jc w:val="center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  <w:t>Selection</w:t>
            </w:r>
          </w:p>
        </w:tc>
        <w:tc>
          <w:tcPr>
            <w:tcW w:w="53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7B888A">
            <w:pPr>
              <w:jc w:val="center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Comparability</w:t>
            </w:r>
          </w:p>
        </w:tc>
        <w:tc>
          <w:tcPr>
            <w:tcW w:w="1776" w:type="pct"/>
            <w:gridSpan w:val="3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10BD8AEA">
            <w:pPr>
              <w:widowControl/>
              <w:jc w:val="center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  <w:t>Exposure</w:t>
            </w:r>
          </w:p>
        </w:tc>
        <w:tc>
          <w:tcPr>
            <w:tcW w:w="192" w:type="pct"/>
            <w:vMerge w:val="restart"/>
            <w:tcBorders>
              <w:top w:val="single" w:color="000000" w:sz="8" w:space="0"/>
              <w:left w:val="single" w:color="000000" w:sz="8" w:space="0"/>
            </w:tcBorders>
          </w:tcPr>
          <w:p w14:paraId="411ECA7C">
            <w:pPr>
              <w:widowControl/>
              <w:jc w:val="center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  <w:t>Scores</w:t>
            </w:r>
          </w:p>
        </w:tc>
      </w:tr>
      <w:tr w14:paraId="128F0881">
        <w:trPr>
          <w:trHeight w:val="357" w:hRule="atLeast"/>
        </w:trPr>
        <w:tc>
          <w:tcPr>
            <w:tcW w:w="481" w:type="pct"/>
            <w:vMerge w:val="continue"/>
            <w:tcBorders>
              <w:bottom w:val="single" w:color="000000" w:sz="8" w:space="0"/>
            </w:tcBorders>
            <w:vAlign w:val="center"/>
          </w:tcPr>
          <w:p w14:paraId="7856B14E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2B58B6AA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D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efinition adequate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of the cases</w:t>
            </w:r>
          </w:p>
        </w:tc>
        <w:tc>
          <w:tcPr>
            <w:tcW w:w="577" w:type="pct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173B6959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Representativeness of the cases</w:t>
            </w:r>
          </w:p>
        </w:tc>
        <w:tc>
          <w:tcPr>
            <w:tcW w:w="434" w:type="pct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1D53346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Selection of Controls</w:t>
            </w:r>
          </w:p>
        </w:tc>
        <w:tc>
          <w:tcPr>
            <w:tcW w:w="433" w:type="pc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278D54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Definition of Controls</w:t>
            </w:r>
          </w:p>
        </w:tc>
        <w:tc>
          <w:tcPr>
            <w:tcW w:w="53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62A69A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Control for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important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  <w:t>factor</w:t>
            </w: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9842EA5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Ascertainment of exposure</w:t>
            </w:r>
          </w:p>
        </w:tc>
        <w:tc>
          <w:tcPr>
            <w:tcW w:w="911" w:type="pct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773C0846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Same method of ascertainment for cases and controls</w:t>
            </w:r>
          </w:p>
        </w:tc>
        <w:tc>
          <w:tcPr>
            <w:tcW w:w="385" w:type="pc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042E2B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Non-Response rate</w:t>
            </w:r>
          </w:p>
        </w:tc>
        <w:tc>
          <w:tcPr>
            <w:tcW w:w="192" w:type="pct"/>
            <w:vMerge w:val="continue"/>
            <w:tcBorders>
              <w:left w:val="single" w:color="000000" w:sz="8" w:space="0"/>
              <w:bottom w:val="single" w:color="000000" w:sz="8" w:space="0"/>
            </w:tcBorders>
          </w:tcPr>
          <w:p w14:paraId="3341FA5E">
            <w:pPr>
              <w:jc w:val="left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</w:p>
        </w:tc>
      </w:tr>
      <w:tr w14:paraId="7B7402A8">
        <w:tc>
          <w:tcPr>
            <w:tcW w:w="481" w:type="pct"/>
            <w:tcBorders>
              <w:top w:val="single" w:color="000000" w:sz="8" w:space="0"/>
            </w:tcBorders>
            <w:vAlign w:val="center"/>
          </w:tcPr>
          <w:p w14:paraId="29FFE3E5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bookmarkStart w:id="2" w:name="_Hlk170907707"/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C.-L. LU et al.</w:t>
            </w:r>
          </w:p>
        </w:tc>
        <w:tc>
          <w:tcPr>
            <w:tcW w:w="578" w:type="pct"/>
            <w:tcBorders>
              <w:top w:val="single" w:color="000000" w:sz="8" w:space="0"/>
            </w:tcBorders>
            <w:vAlign w:val="center"/>
          </w:tcPr>
          <w:p w14:paraId="2570B74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tcBorders>
              <w:top w:val="single" w:color="000000" w:sz="8" w:space="0"/>
            </w:tcBorders>
            <w:vAlign w:val="center"/>
          </w:tcPr>
          <w:p w14:paraId="3EA3F6D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tcBorders>
              <w:top w:val="single" w:color="000000" w:sz="8" w:space="0"/>
            </w:tcBorders>
            <w:vAlign w:val="center"/>
          </w:tcPr>
          <w:p w14:paraId="54BF046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tcBorders>
              <w:top w:val="single" w:color="000000" w:sz="8" w:space="0"/>
            </w:tcBorders>
            <w:vAlign w:val="center"/>
          </w:tcPr>
          <w:p w14:paraId="4FC4D046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tcBorders>
              <w:top w:val="single" w:color="000000" w:sz="8" w:space="0"/>
            </w:tcBorders>
            <w:vAlign w:val="center"/>
          </w:tcPr>
          <w:p w14:paraId="59A9005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81" w:type="pct"/>
            <w:tcBorders>
              <w:top w:val="single" w:color="000000" w:sz="8" w:space="0"/>
            </w:tcBorders>
            <w:vAlign w:val="center"/>
          </w:tcPr>
          <w:p w14:paraId="03A22EF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tcBorders>
              <w:top w:val="single" w:color="000000" w:sz="8" w:space="0"/>
            </w:tcBorders>
            <w:vAlign w:val="center"/>
          </w:tcPr>
          <w:p w14:paraId="213BC65F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bookmarkStart w:id="3" w:name="OLE_LINK2"/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  <w:bookmarkEnd w:id="3"/>
        </w:tc>
        <w:tc>
          <w:tcPr>
            <w:tcW w:w="385" w:type="pct"/>
            <w:tcBorders>
              <w:top w:val="single" w:color="000000" w:sz="8" w:space="0"/>
            </w:tcBorders>
            <w:vAlign w:val="center"/>
          </w:tcPr>
          <w:p w14:paraId="3B3E630F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  <w:tcBorders>
              <w:top w:val="single" w:color="000000" w:sz="8" w:space="0"/>
            </w:tcBorders>
          </w:tcPr>
          <w:p w14:paraId="6F0E2A7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6ACA56CB">
        <w:tc>
          <w:tcPr>
            <w:tcW w:w="481" w:type="pct"/>
            <w:vAlign w:val="center"/>
          </w:tcPr>
          <w:p w14:paraId="50173716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Catarina Jansson et al.</w:t>
            </w:r>
          </w:p>
        </w:tc>
        <w:tc>
          <w:tcPr>
            <w:tcW w:w="578" w:type="pct"/>
            <w:vAlign w:val="center"/>
          </w:tcPr>
          <w:p w14:paraId="25A9345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6748BB6D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6C4B20AF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1931BC7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0FC0753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655D39E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448285D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5E54804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1EA9D3A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9</w:t>
            </w:r>
          </w:p>
        </w:tc>
      </w:tr>
      <w:tr w14:paraId="1C2DDCCF">
        <w:tc>
          <w:tcPr>
            <w:tcW w:w="481" w:type="pct"/>
            <w:vAlign w:val="center"/>
          </w:tcPr>
          <w:p w14:paraId="011CADCB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Duc Trong Quach et al.</w:t>
            </w:r>
          </w:p>
        </w:tc>
        <w:tc>
          <w:tcPr>
            <w:tcW w:w="578" w:type="pct"/>
            <w:vAlign w:val="center"/>
          </w:tcPr>
          <w:p w14:paraId="4443E6D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7BFB926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7D2B9B74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0CF7BA0A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51F333B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7A14668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7BAEEBF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00A02EBE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6A9BD50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9</w:t>
            </w:r>
          </w:p>
        </w:tc>
      </w:tr>
      <w:tr w14:paraId="44372940">
        <w:tc>
          <w:tcPr>
            <w:tcW w:w="481" w:type="pct"/>
            <w:vAlign w:val="center"/>
          </w:tcPr>
          <w:p w14:paraId="03AD125F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Hongsuo Chen et al.</w:t>
            </w:r>
          </w:p>
        </w:tc>
        <w:tc>
          <w:tcPr>
            <w:tcW w:w="578" w:type="pct"/>
            <w:vAlign w:val="center"/>
          </w:tcPr>
          <w:p w14:paraId="21A6836E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0C0CE04A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65053BBD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14D1BF1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48DA156A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71745E7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911" w:type="pct"/>
            <w:vAlign w:val="center"/>
          </w:tcPr>
          <w:p w14:paraId="18590F1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2BA3C13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2DD2AAA6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6992DA1C">
        <w:tc>
          <w:tcPr>
            <w:tcW w:w="481" w:type="pct"/>
            <w:vAlign w:val="center"/>
          </w:tcPr>
          <w:p w14:paraId="68488E6D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Longlong Yin et al.</w:t>
            </w:r>
          </w:p>
        </w:tc>
        <w:tc>
          <w:tcPr>
            <w:tcW w:w="578" w:type="pct"/>
            <w:vAlign w:val="center"/>
          </w:tcPr>
          <w:p w14:paraId="428CE00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577" w:type="pct"/>
            <w:vAlign w:val="center"/>
          </w:tcPr>
          <w:p w14:paraId="317B9D7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6E5418FF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2B4FCEC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7B3A30E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02730B8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128CF17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44180C0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69A2A53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76D560FF">
        <w:tc>
          <w:tcPr>
            <w:tcW w:w="481" w:type="pct"/>
            <w:vAlign w:val="center"/>
          </w:tcPr>
          <w:p w14:paraId="20427BEA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Mari-Ann Wallander et al.</w:t>
            </w:r>
          </w:p>
        </w:tc>
        <w:tc>
          <w:tcPr>
            <w:tcW w:w="578" w:type="pct"/>
            <w:vAlign w:val="center"/>
          </w:tcPr>
          <w:p w14:paraId="319872A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577" w:type="pct"/>
            <w:vAlign w:val="center"/>
          </w:tcPr>
          <w:p w14:paraId="40738F24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2C47387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434CEAC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6712CDB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576B5C4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4CC08F86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124EDF3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4E29F66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57CC1865">
        <w:tc>
          <w:tcPr>
            <w:tcW w:w="481" w:type="pct"/>
            <w:vAlign w:val="center"/>
          </w:tcPr>
          <w:p w14:paraId="4B854C05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Masatsugu Okuyama et al.</w:t>
            </w:r>
          </w:p>
        </w:tc>
        <w:tc>
          <w:tcPr>
            <w:tcW w:w="578" w:type="pct"/>
            <w:vAlign w:val="center"/>
          </w:tcPr>
          <w:p w14:paraId="53C23E5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5DDEB0B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432DB11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4AEFDF6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2B11D7B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668D871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5E84174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0C7DF92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0FD0E674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9</w:t>
            </w:r>
          </w:p>
        </w:tc>
      </w:tr>
      <w:tr w14:paraId="7B3E2624">
        <w:tc>
          <w:tcPr>
            <w:tcW w:w="481" w:type="pct"/>
            <w:vAlign w:val="center"/>
          </w:tcPr>
          <w:p w14:paraId="13843DCB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Minjing You et al.</w:t>
            </w:r>
          </w:p>
        </w:tc>
        <w:tc>
          <w:tcPr>
            <w:tcW w:w="578" w:type="pct"/>
            <w:vAlign w:val="center"/>
          </w:tcPr>
          <w:p w14:paraId="534349A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576D21E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10BB328E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433" w:type="pct"/>
            <w:vAlign w:val="center"/>
          </w:tcPr>
          <w:p w14:paraId="788F209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0C40687E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1DF55A6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6899F6D6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759F4C4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2EBD0B2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67C6AE9C">
        <w:tc>
          <w:tcPr>
            <w:tcW w:w="481" w:type="pct"/>
            <w:vAlign w:val="center"/>
          </w:tcPr>
          <w:p w14:paraId="64193DFA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N Vakil et al.</w:t>
            </w:r>
          </w:p>
        </w:tc>
        <w:tc>
          <w:tcPr>
            <w:tcW w:w="578" w:type="pct"/>
            <w:vAlign w:val="center"/>
          </w:tcPr>
          <w:p w14:paraId="376B97A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35A4E656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12254BD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3BDAF50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1964778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81" w:type="pct"/>
            <w:vAlign w:val="center"/>
          </w:tcPr>
          <w:p w14:paraId="3E4A808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911" w:type="pct"/>
            <w:vAlign w:val="center"/>
          </w:tcPr>
          <w:p w14:paraId="4B30EED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2F47925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14EEE10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7</w:t>
            </w:r>
          </w:p>
        </w:tc>
      </w:tr>
      <w:tr w14:paraId="1B99772C">
        <w:tc>
          <w:tcPr>
            <w:tcW w:w="481" w:type="pct"/>
            <w:vAlign w:val="center"/>
          </w:tcPr>
          <w:p w14:paraId="05A76A9B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Qiandi Tian et al.</w:t>
            </w:r>
          </w:p>
        </w:tc>
        <w:tc>
          <w:tcPr>
            <w:tcW w:w="578" w:type="pct"/>
            <w:vAlign w:val="center"/>
          </w:tcPr>
          <w:p w14:paraId="02B1659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577" w:type="pct"/>
            <w:vAlign w:val="center"/>
          </w:tcPr>
          <w:p w14:paraId="6A93554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313B759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5119EDF4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6AE55C3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81" w:type="pct"/>
            <w:vAlign w:val="center"/>
          </w:tcPr>
          <w:p w14:paraId="7C0EA89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59661B7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3D37AA9F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085F3B3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7</w:t>
            </w:r>
          </w:p>
        </w:tc>
      </w:tr>
      <w:tr w14:paraId="3755329B">
        <w:tc>
          <w:tcPr>
            <w:tcW w:w="481" w:type="pct"/>
            <w:vAlign w:val="center"/>
          </w:tcPr>
          <w:p w14:paraId="477A1265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Rongchang Lai et al.</w:t>
            </w:r>
          </w:p>
        </w:tc>
        <w:tc>
          <w:tcPr>
            <w:tcW w:w="578" w:type="pct"/>
            <w:vAlign w:val="center"/>
          </w:tcPr>
          <w:p w14:paraId="31207A2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577" w:type="pct"/>
            <w:vAlign w:val="center"/>
          </w:tcPr>
          <w:p w14:paraId="45FB966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5FC655B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56D26ACD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5596D20A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1604BA4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4E6A035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540DFAA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7BD89DD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48250FA3">
        <w:tc>
          <w:tcPr>
            <w:tcW w:w="481" w:type="pct"/>
            <w:vAlign w:val="center"/>
          </w:tcPr>
          <w:p w14:paraId="02DA0B0B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Sarah Ballou et al.</w:t>
            </w:r>
          </w:p>
        </w:tc>
        <w:tc>
          <w:tcPr>
            <w:tcW w:w="578" w:type="pct"/>
            <w:vAlign w:val="center"/>
          </w:tcPr>
          <w:p w14:paraId="01E6489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7A7B870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6FF8BF0E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34C65D6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779ACF6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0913414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42BC9E8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5919A6E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72FC36B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9</w:t>
            </w:r>
          </w:p>
        </w:tc>
      </w:tr>
      <w:tr w14:paraId="005AB016">
        <w:tc>
          <w:tcPr>
            <w:tcW w:w="481" w:type="pct"/>
            <w:vAlign w:val="center"/>
          </w:tcPr>
          <w:p w14:paraId="32990288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Wei Gu et al.</w:t>
            </w:r>
          </w:p>
        </w:tc>
        <w:tc>
          <w:tcPr>
            <w:tcW w:w="578" w:type="pct"/>
            <w:vAlign w:val="center"/>
          </w:tcPr>
          <w:p w14:paraId="3302F85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13FD1E4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707E93DA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42FB162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50B45B9F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81" w:type="pct"/>
            <w:vAlign w:val="center"/>
          </w:tcPr>
          <w:p w14:paraId="322BBEA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533CCE2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5EBC7ED6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5751326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4C659356">
        <w:tc>
          <w:tcPr>
            <w:tcW w:w="481" w:type="pct"/>
            <w:vAlign w:val="center"/>
          </w:tcPr>
          <w:p w14:paraId="6365157C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Weijia Dou et al.</w:t>
            </w:r>
          </w:p>
        </w:tc>
        <w:tc>
          <w:tcPr>
            <w:tcW w:w="578" w:type="pct"/>
            <w:vAlign w:val="center"/>
          </w:tcPr>
          <w:p w14:paraId="37F6168E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76CC1DA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0F996D6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0C05C53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0581739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81" w:type="pct"/>
            <w:vAlign w:val="center"/>
          </w:tcPr>
          <w:p w14:paraId="523B54E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4935B401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2C47752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01B0547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2F49291F">
        <w:tc>
          <w:tcPr>
            <w:tcW w:w="481" w:type="pct"/>
            <w:vAlign w:val="center"/>
          </w:tcPr>
          <w:p w14:paraId="5E7A494C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Zhi Xiang On et al.</w:t>
            </w:r>
          </w:p>
        </w:tc>
        <w:tc>
          <w:tcPr>
            <w:tcW w:w="578" w:type="pct"/>
            <w:vAlign w:val="center"/>
          </w:tcPr>
          <w:p w14:paraId="145AD01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77" w:type="pct"/>
            <w:vAlign w:val="center"/>
          </w:tcPr>
          <w:p w14:paraId="7AEDAFE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0B82684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24E6E4D4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147961C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81" w:type="pct"/>
            <w:vAlign w:val="center"/>
          </w:tcPr>
          <w:p w14:paraId="0FA96537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911" w:type="pct"/>
            <w:vAlign w:val="center"/>
          </w:tcPr>
          <w:p w14:paraId="709CB8D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476CAD8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35A9F16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7</w:t>
            </w:r>
          </w:p>
        </w:tc>
      </w:tr>
      <w:tr w14:paraId="0869FD87">
        <w:tc>
          <w:tcPr>
            <w:tcW w:w="481" w:type="pct"/>
            <w:vAlign w:val="center"/>
          </w:tcPr>
          <w:p w14:paraId="5B9D0CD4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Zhijin Yu et al.</w:t>
            </w:r>
          </w:p>
        </w:tc>
        <w:tc>
          <w:tcPr>
            <w:tcW w:w="578" w:type="pct"/>
            <w:vAlign w:val="center"/>
          </w:tcPr>
          <w:p w14:paraId="33020472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-</w:t>
            </w:r>
          </w:p>
        </w:tc>
        <w:tc>
          <w:tcPr>
            <w:tcW w:w="577" w:type="pct"/>
            <w:vAlign w:val="center"/>
          </w:tcPr>
          <w:p w14:paraId="6F7164AD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vAlign w:val="center"/>
          </w:tcPr>
          <w:p w14:paraId="6C3023D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vAlign w:val="center"/>
          </w:tcPr>
          <w:p w14:paraId="0DDB53E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vAlign w:val="center"/>
          </w:tcPr>
          <w:p w14:paraId="16904580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vAlign w:val="center"/>
          </w:tcPr>
          <w:p w14:paraId="37C6F41A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vAlign w:val="center"/>
          </w:tcPr>
          <w:p w14:paraId="668F508D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vAlign w:val="center"/>
          </w:tcPr>
          <w:p w14:paraId="23121986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</w:tcPr>
          <w:p w14:paraId="12D5CDE3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8</w:t>
            </w:r>
          </w:p>
        </w:tc>
      </w:tr>
      <w:tr w14:paraId="3C9E6AED">
        <w:tc>
          <w:tcPr>
            <w:tcW w:w="481" w:type="pct"/>
            <w:tcBorders>
              <w:bottom w:val="single" w:color="000000" w:sz="8" w:space="0"/>
            </w:tcBorders>
            <w:vAlign w:val="center"/>
          </w:tcPr>
          <w:p w14:paraId="192C2E84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color w:val="000000"/>
                <w:sz w:val="20"/>
                <w:szCs w:val="20"/>
                <w:lang w:eastAsia="zh"/>
              </w:rPr>
              <w:t>Zi-Hong You et al.</w:t>
            </w:r>
          </w:p>
        </w:tc>
        <w:tc>
          <w:tcPr>
            <w:tcW w:w="578" w:type="pct"/>
            <w:tcBorders>
              <w:bottom w:val="single" w:color="000000" w:sz="8" w:space="0"/>
            </w:tcBorders>
            <w:vAlign w:val="center"/>
          </w:tcPr>
          <w:p w14:paraId="4F012D88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 xml:space="preserve">- </w:t>
            </w:r>
          </w:p>
        </w:tc>
        <w:tc>
          <w:tcPr>
            <w:tcW w:w="577" w:type="pct"/>
            <w:tcBorders>
              <w:bottom w:val="single" w:color="000000" w:sz="8" w:space="0"/>
            </w:tcBorders>
            <w:vAlign w:val="center"/>
          </w:tcPr>
          <w:p w14:paraId="7B3CA15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4" w:type="pct"/>
            <w:tcBorders>
              <w:bottom w:val="single" w:color="000000" w:sz="8" w:space="0"/>
            </w:tcBorders>
            <w:vAlign w:val="center"/>
          </w:tcPr>
          <w:p w14:paraId="60070FED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433" w:type="pct"/>
            <w:tcBorders>
              <w:bottom w:val="single" w:color="000000" w:sz="8" w:space="0"/>
            </w:tcBorders>
            <w:vAlign w:val="center"/>
          </w:tcPr>
          <w:p w14:paraId="09FAD84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530" w:type="pct"/>
            <w:tcBorders>
              <w:bottom w:val="single" w:color="000000" w:sz="8" w:space="0"/>
            </w:tcBorders>
            <w:vAlign w:val="center"/>
          </w:tcPr>
          <w:p w14:paraId="3455843C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**</w:t>
            </w:r>
          </w:p>
        </w:tc>
        <w:tc>
          <w:tcPr>
            <w:tcW w:w="481" w:type="pct"/>
            <w:tcBorders>
              <w:bottom w:val="single" w:color="000000" w:sz="8" w:space="0"/>
            </w:tcBorders>
            <w:vAlign w:val="center"/>
          </w:tcPr>
          <w:p w14:paraId="4FBEC4AB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911" w:type="pct"/>
            <w:tcBorders>
              <w:bottom w:val="single" w:color="000000" w:sz="8" w:space="0"/>
            </w:tcBorders>
            <w:vAlign w:val="center"/>
          </w:tcPr>
          <w:p w14:paraId="648BA9E9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385" w:type="pct"/>
            <w:tcBorders>
              <w:bottom w:val="single" w:color="000000" w:sz="8" w:space="0"/>
            </w:tcBorders>
            <w:vAlign w:val="center"/>
          </w:tcPr>
          <w:p w14:paraId="5D024F05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*</w:t>
            </w:r>
          </w:p>
        </w:tc>
        <w:tc>
          <w:tcPr>
            <w:tcW w:w="192" w:type="pct"/>
            <w:tcBorders>
              <w:bottom w:val="single" w:color="000000" w:sz="8" w:space="0"/>
            </w:tcBorders>
          </w:tcPr>
          <w:p w14:paraId="031C761A">
            <w:pPr>
              <w:jc w:val="center"/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</w:pPr>
            <w:r>
              <w:rPr>
                <w:rFonts w:hint="default" w:ascii="Times New Roman Regular" w:hAnsi="Times New Roman Regular" w:eastAsia="华文宋体" w:cs="Times New Roman Regular"/>
                <w:color w:val="000000"/>
                <w:sz w:val="20"/>
                <w:szCs w:val="20"/>
                <w:lang w:eastAsia="zh"/>
              </w:rPr>
              <w:t>7</w:t>
            </w:r>
          </w:p>
        </w:tc>
      </w:tr>
      <w:bookmarkEnd w:id="0"/>
      <w:bookmarkEnd w:id="1"/>
      <w:bookmarkEnd w:id="2"/>
    </w:tbl>
    <w:p w14:paraId="20771C4E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  <w: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  <w:vertAlign w:val="superscript"/>
        </w:rPr>
        <w:t>a</w:t>
      </w:r>
      <w: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  <w:t>maximum of 2 stars can be allotted in this category, one for age, the other for other controlled</w:t>
      </w:r>
      <w: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  <w:t xml:space="preserve"> </w:t>
      </w:r>
      <w: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  <w:t>factors.</w:t>
      </w:r>
    </w:p>
    <w:p w14:paraId="5978EE56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137635C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1FBA2C31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C6901F6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50923083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7815619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274C91AD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6D0450BA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6FC55D46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8061D46">
      <w:pPr>
        <w:spacing w:line="480" w:lineRule="auto"/>
        <w:jc w:val="center"/>
        <w:outlineLvl w:val="0"/>
        <w:rPr>
          <w:rFonts w:hint="default" w:ascii="Times New Roman Regular" w:hAnsi="Times New Roman Regular" w:eastAsia="宋体" w:cs="Times New Roman Regular"/>
          <w:b/>
          <w:bCs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Table 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. </w:t>
      </w:r>
      <w:r>
        <w:rPr>
          <w:rFonts w:hint="default" w:ascii="Times New Roman Regular" w:hAnsi="Times New Roman Regular" w:cs="Times New Roman Regular"/>
          <w:sz w:val="20"/>
          <w:szCs w:val="20"/>
          <w:lang w:eastAsia="en-US"/>
        </w:rPr>
        <w:t xml:space="preserve">Result of The Sensitivity Analysis on 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t</w:t>
      </w:r>
      <w:r>
        <w:rPr>
          <w:rFonts w:hint="default" w:ascii="Times New Roman Regular" w:hAnsi="Times New Roman Regular" w:cs="Times New Roman Regular"/>
          <w:sz w:val="20"/>
          <w:szCs w:val="20"/>
          <w:lang w:eastAsia="en-US"/>
        </w:rPr>
        <w:t>he correlation between sleep disorders and GERD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.</w:t>
      </w:r>
    </w:p>
    <w:tbl>
      <w:tblPr>
        <w:tblStyle w:val="6"/>
        <w:tblpPr w:leftFromText="180" w:rightFromText="180" w:vertAnchor="text" w:horzAnchor="page" w:tblpX="5301" w:tblpY="609"/>
        <w:tblOverlap w:val="never"/>
        <w:tblW w:w="509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196"/>
        <w:gridCol w:w="1903"/>
      </w:tblGrid>
      <w:tr w14:paraId="3CEE8F4A">
        <w:trPr>
          <w:trHeight w:val="509" w:hRule="atLeast"/>
          <w:jc w:val="center"/>
        </w:trPr>
        <w:tc>
          <w:tcPr>
            <w:tcW w:w="3196" w:type="dxa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 w14:paraId="48D91DC9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eastAsia="en-US"/>
              </w:rPr>
              <w:t>Study omitted</w:t>
            </w:r>
          </w:p>
        </w:tc>
        <w:tc>
          <w:tcPr>
            <w:tcW w:w="1903" w:type="dxa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 w14:paraId="53B432F9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eastAsia="en-US"/>
              </w:rPr>
              <w:t>RR</w:t>
            </w:r>
            <w:r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eastAsia="en-US"/>
              </w:rPr>
              <w:t>(95%CI)</w:t>
            </w:r>
          </w:p>
        </w:tc>
      </w:tr>
      <w:tr w14:paraId="5351BD6D">
        <w:trPr>
          <w:trHeight w:val="369" w:hRule="atLeast"/>
          <w:jc w:val="center"/>
        </w:trPr>
        <w:tc>
          <w:tcPr>
            <w:tcW w:w="3196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 w14:paraId="6EBD61BD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Duc Trong Quach et al</w:t>
            </w:r>
          </w:p>
        </w:tc>
        <w:tc>
          <w:tcPr>
            <w:tcW w:w="1903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 w14:paraId="38AA49A6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2.47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164F5E58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35B157C4">
            <w:pPr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Hongsuo Chen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54C2C37E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66D2020F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5349F67D">
            <w:pPr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Longlong Yin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7713EBDD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75852AE4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0EA07123">
            <w:pPr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Mari-Ann Wallander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44D3BF61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1337B347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434232D9">
            <w:pPr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Masatsugu Okuyama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040AB3D7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1.99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095CD224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7EB2F41F">
            <w:pPr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Minjing You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004EA7E7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1.94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410EC566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37003890">
            <w:pPr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N Vakil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3B9CD162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4EB61ADE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4925A3C0">
            <w:pPr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Narika Iwakura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302E0006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2C78B5C7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A67FE7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Qiandi Tian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72CB17E5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6F1E7694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/>
            <w:vAlign w:val="center"/>
          </w:tcPr>
          <w:p w14:paraId="6A1E447C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Rongchang Lai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356632B7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1.94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4532BFB9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C767B7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Sarah Ballou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4D1C5595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5FA84C49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D33C75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Wei Gu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08F69AE3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70190BE5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B9D1ED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Weijia Dou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162E04E3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0A011854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89BC3A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Zhi Xiang On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5FE18B19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41A5DB7F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01805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z w:val="20"/>
                <w:szCs w:val="20"/>
              </w:rPr>
              <w:t>Zhijin Yu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14CC5BD2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2.07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4CA891B4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9934C2">
            <w:pPr>
              <w:jc w:val="left"/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华文宋体" w:cs="Times New Roman Regular"/>
                <w:b w:val="0"/>
                <w:bCs w:val="0"/>
                <w:sz w:val="20"/>
                <w:szCs w:val="20"/>
              </w:rPr>
              <w:t>Zi-Hong You et al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02C079EC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1.96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14:paraId="7560A22B">
        <w:trPr>
          <w:trHeight w:val="369" w:hRule="atLeast"/>
          <w:jc w:val="center"/>
        </w:trPr>
        <w:tc>
          <w:tcPr>
            <w:tcW w:w="3196" w:type="dxa"/>
            <w:tcBorders>
              <w:tl2br w:val="nil"/>
              <w:tr2bl w:val="nil"/>
            </w:tcBorders>
            <w:vAlign w:val="center"/>
          </w:tcPr>
          <w:p w14:paraId="701E0749">
            <w:pPr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kern w:val="0"/>
                <w:sz w:val="20"/>
                <w:szCs w:val="20"/>
                <w:lang w:eastAsia="en-US"/>
              </w:rPr>
              <w:t>Combined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vAlign w:val="center"/>
          </w:tcPr>
          <w:p w14:paraId="20D90E4A">
            <w:pPr>
              <w:widowControl/>
              <w:spacing w:line="48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0"/>
                <w:szCs w:val="20"/>
                <w:lang w:val="en-US" w:eastAsia="zh-CN"/>
              </w:rPr>
              <w:t>2.02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0"/>
                <w:szCs w:val="20"/>
                <w:lang w:eastAsia="en-US"/>
              </w:rPr>
              <w:t xml:space="preserve"> [1.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0"/>
                <w:szCs w:val="20"/>
                <w:lang w:eastAsia="en-US"/>
              </w:rPr>
              <w:t xml:space="preserve">1, 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0"/>
                <w:szCs w:val="20"/>
                <w:lang w:val="en-US" w:eastAsia="zh-CN"/>
              </w:rPr>
              <w:t>2.37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0"/>
                <w:szCs w:val="20"/>
                <w:lang w:eastAsia="en-US"/>
              </w:rPr>
              <w:t>]</w:t>
            </w:r>
          </w:p>
        </w:tc>
      </w:tr>
    </w:tbl>
    <w:p w14:paraId="74ACA3C6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77FB1C10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224C4602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1BB0AAB7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D578FEB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11903A65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2E59A751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68C4952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6308381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FD14A8B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76798A31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F1E243D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8BB4322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FBF3283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7F9C29F8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4C544AD5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53F27BAD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75272D73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16CA6756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664A9564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6F5B11F7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6F3AAFBF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2EFB642B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5FE5B110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0618D49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72E2F0B8">
      <w:pPr>
        <w:jc w:val="center"/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  <w:lang w:eastAsia="zh-CN"/>
        </w:rPr>
      </w:pP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Figure 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 w:eastAsia="zh-CN"/>
        </w:rPr>
        <w:t>1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.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CN"/>
        </w:rPr>
        <w:t xml:space="preserve">Publication Bias on 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t</w:t>
      </w:r>
      <w:r>
        <w:rPr>
          <w:rFonts w:hint="default" w:ascii="Times New Roman Regular" w:hAnsi="Times New Roman Regular" w:cs="Times New Roman Regular"/>
          <w:sz w:val="20"/>
          <w:szCs w:val="20"/>
          <w:lang w:eastAsia="zh-CN"/>
        </w:rPr>
        <w:t>he correlation between sleep disorders and GERD</w:t>
      </w:r>
    </w:p>
    <w:p w14:paraId="74052114">
      <w:pPr>
        <w:jc w:val="center"/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  <w:lang w:eastAsia="zh-CN"/>
        </w:rPr>
      </w:pPr>
      <w: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  <w:lang w:eastAsia="zh-CN"/>
        </w:rPr>
        <w:drawing>
          <wp:inline distT="0" distB="0" distL="114300" distR="114300">
            <wp:extent cx="6676390" cy="2657475"/>
            <wp:effectExtent l="0" t="0" r="3810" b="9525"/>
            <wp:docPr id="1" name="图片 1" descr="/Users/shenmengyuan/Desktop/1.ti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shenmengyuan/Desktop/1.tif1"/>
                    <pic:cNvPicPr>
                      <a:picLocks noChangeAspect="1"/>
                    </pic:cNvPicPr>
                  </pic:nvPicPr>
                  <pic:blipFill>
                    <a:blip r:embed="rId6"/>
                    <a:srcRect l="1108" t="18864" r="14399" b="57368"/>
                    <a:stretch>
                      <a:fillRect/>
                    </a:stretch>
                  </pic:blipFill>
                  <pic:spPr>
                    <a:xfrm>
                      <a:off x="0" y="0"/>
                      <a:ext cx="667639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AD25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7971B5E1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CABB62C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4E4C8388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04A6DC77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1C64EF4F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52C98BEB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6038B6BD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4BABF309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130952F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57D4C68A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46B2A2EC">
      <w:pPr>
        <w:jc w:val="center"/>
        <w:rPr>
          <w:rFonts w:hint="default" w:ascii="Times New Roman Regular" w:hAnsi="Times New Roman Regular" w:eastAsia="宋体" w:cs="Times New Roman Regular"/>
          <w:color w:val="000000"/>
          <w:kern w:val="0"/>
          <w:sz w:val="20"/>
          <w:szCs w:val="20"/>
          <w:lang w:val="en-US" w:eastAsia="en-US" w:bidi="ar"/>
        </w:rPr>
      </w:pP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Figure 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. 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 w:val="20"/>
          <w:szCs w:val="20"/>
          <w:lang w:val="en-US" w:eastAsia="en-US" w:bidi="ar"/>
        </w:rPr>
        <w:t>Funnel plot of all studies</w:t>
      </w:r>
    </w:p>
    <w:p w14:paraId="31C929DB">
      <w:pPr>
        <w:jc w:val="center"/>
        <w:rPr>
          <w:rFonts w:hint="default" w:ascii="Times New Roman Regular" w:hAnsi="Times New Roman Regular" w:eastAsia="宋体" w:cs="Times New Roman Regular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color w:val="000000"/>
          <w:kern w:val="0"/>
          <w:sz w:val="20"/>
          <w:szCs w:val="20"/>
          <w:lang w:val="en-US" w:eastAsia="zh-CN" w:bidi="ar"/>
        </w:rPr>
        <w:drawing>
          <wp:inline distT="0" distB="0" distL="114300" distR="114300">
            <wp:extent cx="6242685" cy="4058920"/>
            <wp:effectExtent l="0" t="0" r="5715" b="5080"/>
            <wp:docPr id="3" name="图片 3" descr="Figure 6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6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5D70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4D102223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345A6D52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7ABEEE6B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40F37851">
      <w:pPr>
        <w:spacing w:line="480" w:lineRule="auto"/>
        <w:jc w:val="center"/>
        <w:outlineLvl w:val="0"/>
        <w:rPr>
          <w:rFonts w:hint="default" w:ascii="Times New Roman Regular" w:hAnsi="Times New Roman Regular" w:eastAsia="宋体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>Tabl</w:t>
      </w:r>
      <w:bookmarkStart w:id="4" w:name="_GoBack"/>
      <w:bookmarkEnd w:id="4"/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e 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 xml:space="preserve">. 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</w:rPr>
        <w:t>Quality assessment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>.</w:t>
      </w:r>
    </w:p>
    <w:p w14:paraId="40604AC8">
      <w:pP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</w:rPr>
      </w:pPr>
    </w:p>
    <w:p w14:paraId="6C192BD8">
      <w:pPr>
        <w:jc w:val="center"/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  <w:lang w:eastAsia="zh-CN"/>
        </w:rPr>
      </w:pPr>
      <w:r>
        <w:rPr>
          <w:rFonts w:hint="default" w:ascii="Times New Roman Regular" w:hAnsi="Times New Roman Regular" w:eastAsia="华文宋体" w:cs="Times New Roman Regular"/>
          <w:color w:val="000000"/>
          <w:sz w:val="20"/>
          <w:szCs w:val="20"/>
          <w:lang w:eastAsia="zh-CN"/>
        </w:rPr>
        <w:drawing>
          <wp:inline distT="0" distB="0" distL="114300" distR="114300">
            <wp:extent cx="8058150" cy="2620010"/>
            <wp:effectExtent l="0" t="0" r="19050" b="21590"/>
            <wp:docPr id="4" name="图片 4" descr="GRADEPRO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RADEPRO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9"/>
      </w:rPr>
      <w:id w:val="590944692"/>
    </w:sdtPr>
    <w:sdtEndPr>
      <w:rPr>
        <w:rStyle w:val="9"/>
      </w:rPr>
    </w:sdtEndPr>
    <w:sdtContent>
      <w:p w14:paraId="2BC89953">
        <w:pPr>
          <w:pStyle w:val="3"/>
          <w:framePr w:wrap="auto" w:vAnchor="text" w:hAnchor="margin" w:xAlign="center" w:y="1"/>
          <w:rPr>
            <w:rStyle w:val="9"/>
          </w:rPr>
        </w:pPr>
        <w:r>
          <w:rPr>
            <w:rStyle w:val="9"/>
          </w:rPr>
          <w:fldChar w:fldCharType="begin"/>
        </w:r>
        <w:r>
          <w:rPr>
            <w:rStyle w:val="9"/>
          </w:rPr>
          <w:instrText xml:space="preserve"> PAGE </w:instrText>
        </w:r>
        <w:r>
          <w:rPr>
            <w:rStyle w:val="9"/>
          </w:rPr>
          <w:fldChar w:fldCharType="separate"/>
        </w:r>
        <w:r>
          <w:rPr>
            <w:rStyle w:val="9"/>
          </w:rPr>
          <w:t>1</w:t>
        </w:r>
        <w:r>
          <w:rPr>
            <w:rStyle w:val="9"/>
          </w:rPr>
          <w:fldChar w:fldCharType="end"/>
        </w:r>
      </w:p>
    </w:sdtContent>
  </w:sdt>
  <w:p w14:paraId="3666C86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9"/>
      </w:rPr>
      <w:id w:val="-1"/>
    </w:sdtPr>
    <w:sdtEndPr>
      <w:rPr>
        <w:rStyle w:val="9"/>
      </w:rPr>
    </w:sdtEndPr>
    <w:sdtContent>
      <w:p w14:paraId="588468EC">
        <w:pPr>
          <w:pStyle w:val="3"/>
          <w:framePr w:wrap="auto" w:vAnchor="text" w:hAnchor="margin" w:xAlign="center" w:y="1"/>
          <w:rPr>
            <w:rStyle w:val="9"/>
          </w:rPr>
        </w:pPr>
        <w:r>
          <w:rPr>
            <w:rStyle w:val="9"/>
          </w:rPr>
          <w:fldChar w:fldCharType="begin"/>
        </w:r>
        <w:r>
          <w:rPr>
            <w:rStyle w:val="9"/>
          </w:rPr>
          <w:instrText xml:space="preserve"> PAGE </w:instrText>
        </w:r>
        <w:r>
          <w:rPr>
            <w:rStyle w:val="9"/>
          </w:rPr>
          <w:fldChar w:fldCharType="end"/>
        </w:r>
      </w:p>
    </w:sdtContent>
  </w:sdt>
  <w:p w14:paraId="75E56AA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F1810FF6-FE8D-4D82-BB39-F8E21F7EB57F}"/>
    <w:docVar w:name="KY_MEDREF_VERSION" w:val="3"/>
  </w:docVars>
  <w:rsids>
    <w:rsidRoot w:val="00F52C99"/>
    <w:rsid w:val="00057AF7"/>
    <w:rsid w:val="00062FA4"/>
    <w:rsid w:val="0006359F"/>
    <w:rsid w:val="00097B80"/>
    <w:rsid w:val="000B28E8"/>
    <w:rsid w:val="000C3ECF"/>
    <w:rsid w:val="000C4ABC"/>
    <w:rsid w:val="000C61AA"/>
    <w:rsid w:val="000E09CB"/>
    <w:rsid w:val="000E3C4E"/>
    <w:rsid w:val="000F6BDA"/>
    <w:rsid w:val="00140DD2"/>
    <w:rsid w:val="0014317F"/>
    <w:rsid w:val="00172217"/>
    <w:rsid w:val="001B64B0"/>
    <w:rsid w:val="001D7046"/>
    <w:rsid w:val="001E55AE"/>
    <w:rsid w:val="001F5710"/>
    <w:rsid w:val="001F61EA"/>
    <w:rsid w:val="002133B5"/>
    <w:rsid w:val="00266724"/>
    <w:rsid w:val="00286442"/>
    <w:rsid w:val="00291966"/>
    <w:rsid w:val="002B2E26"/>
    <w:rsid w:val="002B5049"/>
    <w:rsid w:val="002C5233"/>
    <w:rsid w:val="002D6FC9"/>
    <w:rsid w:val="002E151C"/>
    <w:rsid w:val="002F29B6"/>
    <w:rsid w:val="00313C6C"/>
    <w:rsid w:val="003408FE"/>
    <w:rsid w:val="00345202"/>
    <w:rsid w:val="003A678C"/>
    <w:rsid w:val="003B6C95"/>
    <w:rsid w:val="003C5F18"/>
    <w:rsid w:val="003D2198"/>
    <w:rsid w:val="003F14C5"/>
    <w:rsid w:val="003F33B1"/>
    <w:rsid w:val="00404282"/>
    <w:rsid w:val="004134E7"/>
    <w:rsid w:val="00456D44"/>
    <w:rsid w:val="00495FD8"/>
    <w:rsid w:val="004B0A15"/>
    <w:rsid w:val="00501AB8"/>
    <w:rsid w:val="00504CD8"/>
    <w:rsid w:val="0053666D"/>
    <w:rsid w:val="005479C3"/>
    <w:rsid w:val="00550A97"/>
    <w:rsid w:val="00564E01"/>
    <w:rsid w:val="0057020B"/>
    <w:rsid w:val="005830DB"/>
    <w:rsid w:val="005A7060"/>
    <w:rsid w:val="005F654D"/>
    <w:rsid w:val="00613895"/>
    <w:rsid w:val="0066509E"/>
    <w:rsid w:val="00694906"/>
    <w:rsid w:val="006A253C"/>
    <w:rsid w:val="006B001C"/>
    <w:rsid w:val="006B075B"/>
    <w:rsid w:val="006B35FA"/>
    <w:rsid w:val="006B4CA2"/>
    <w:rsid w:val="006C5306"/>
    <w:rsid w:val="00751568"/>
    <w:rsid w:val="00774450"/>
    <w:rsid w:val="007C1AAD"/>
    <w:rsid w:val="007D13F0"/>
    <w:rsid w:val="0081616D"/>
    <w:rsid w:val="00822397"/>
    <w:rsid w:val="00824A55"/>
    <w:rsid w:val="00847D54"/>
    <w:rsid w:val="0087129F"/>
    <w:rsid w:val="00877D3C"/>
    <w:rsid w:val="00893237"/>
    <w:rsid w:val="008C7DD4"/>
    <w:rsid w:val="008E2103"/>
    <w:rsid w:val="008E47C4"/>
    <w:rsid w:val="008E6D54"/>
    <w:rsid w:val="009024B7"/>
    <w:rsid w:val="00952506"/>
    <w:rsid w:val="009552DA"/>
    <w:rsid w:val="009D529A"/>
    <w:rsid w:val="009D66DE"/>
    <w:rsid w:val="009E4665"/>
    <w:rsid w:val="00A14AB0"/>
    <w:rsid w:val="00A16C36"/>
    <w:rsid w:val="00A25231"/>
    <w:rsid w:val="00A414C5"/>
    <w:rsid w:val="00A50C5E"/>
    <w:rsid w:val="00A52523"/>
    <w:rsid w:val="00A9254E"/>
    <w:rsid w:val="00A947B3"/>
    <w:rsid w:val="00A95B17"/>
    <w:rsid w:val="00AC1BE2"/>
    <w:rsid w:val="00AD5910"/>
    <w:rsid w:val="00AF41BF"/>
    <w:rsid w:val="00B004BE"/>
    <w:rsid w:val="00B02A69"/>
    <w:rsid w:val="00B252E9"/>
    <w:rsid w:val="00B424FC"/>
    <w:rsid w:val="00B87F3A"/>
    <w:rsid w:val="00BD2B79"/>
    <w:rsid w:val="00BF405F"/>
    <w:rsid w:val="00C3371D"/>
    <w:rsid w:val="00C479A4"/>
    <w:rsid w:val="00C57A39"/>
    <w:rsid w:val="00CB127D"/>
    <w:rsid w:val="00CC6B4B"/>
    <w:rsid w:val="00D41954"/>
    <w:rsid w:val="00D515F6"/>
    <w:rsid w:val="00D90E96"/>
    <w:rsid w:val="00DC63C4"/>
    <w:rsid w:val="00DC7318"/>
    <w:rsid w:val="00DD11A8"/>
    <w:rsid w:val="00E37B1D"/>
    <w:rsid w:val="00E55A5C"/>
    <w:rsid w:val="00E60254"/>
    <w:rsid w:val="00EB53D7"/>
    <w:rsid w:val="00ED088C"/>
    <w:rsid w:val="00EE3638"/>
    <w:rsid w:val="00F511F5"/>
    <w:rsid w:val="00F52C99"/>
    <w:rsid w:val="00FA7A1D"/>
    <w:rsid w:val="00FB1676"/>
    <w:rsid w:val="00FD66BD"/>
    <w:rsid w:val="00FE24D0"/>
    <w:rsid w:val="00FF7188"/>
    <w:rsid w:val="1FB2CC17"/>
    <w:rsid w:val="2D7FF237"/>
    <w:rsid w:val="2FCF597D"/>
    <w:rsid w:val="55D3F6B6"/>
    <w:rsid w:val="575F6638"/>
    <w:rsid w:val="5F17C4A4"/>
    <w:rsid w:val="6DFDF286"/>
    <w:rsid w:val="6EEF6E66"/>
    <w:rsid w:val="6FE39D3A"/>
    <w:rsid w:val="737BAB68"/>
    <w:rsid w:val="74F4BCD5"/>
    <w:rsid w:val="776C7532"/>
    <w:rsid w:val="77BF613E"/>
    <w:rsid w:val="77E7EF10"/>
    <w:rsid w:val="79DF9288"/>
    <w:rsid w:val="7BFD6886"/>
    <w:rsid w:val="7CEF7918"/>
    <w:rsid w:val="7DD6E4FE"/>
    <w:rsid w:val="7E1E8EE5"/>
    <w:rsid w:val="7EFF7022"/>
    <w:rsid w:val="7F5BAF4E"/>
    <w:rsid w:val="7F7BBAB6"/>
    <w:rsid w:val="7FF747F2"/>
    <w:rsid w:val="8DDA6017"/>
    <w:rsid w:val="8FAAC59C"/>
    <w:rsid w:val="9D3DF1D0"/>
    <w:rsid w:val="9DF721EA"/>
    <w:rsid w:val="9EDFB56F"/>
    <w:rsid w:val="9FFFF7D4"/>
    <w:rsid w:val="A6FEF57C"/>
    <w:rsid w:val="AFEDCF5C"/>
    <w:rsid w:val="B3EF3D80"/>
    <w:rsid w:val="BBDD3141"/>
    <w:rsid w:val="BFE6B669"/>
    <w:rsid w:val="CDB984C8"/>
    <w:rsid w:val="CF56E9C2"/>
    <w:rsid w:val="D77EF9E7"/>
    <w:rsid w:val="D94F725B"/>
    <w:rsid w:val="DBDFF712"/>
    <w:rsid w:val="DBF7A43C"/>
    <w:rsid w:val="DF2651AA"/>
    <w:rsid w:val="DF85ECCE"/>
    <w:rsid w:val="DFEE7C25"/>
    <w:rsid w:val="ED66E906"/>
    <w:rsid w:val="EDCFB283"/>
    <w:rsid w:val="EDFF2C32"/>
    <w:rsid w:val="EE7FB8F4"/>
    <w:rsid w:val="EF2DEDA5"/>
    <w:rsid w:val="EFDF5252"/>
    <w:rsid w:val="EFFFDFE3"/>
    <w:rsid w:val="F6BF71DD"/>
    <w:rsid w:val="F7EC6927"/>
    <w:rsid w:val="F9ED2231"/>
    <w:rsid w:val="FBDD5C65"/>
    <w:rsid w:val="FEDDF787"/>
    <w:rsid w:val="FEFF8FE8"/>
    <w:rsid w:val="FF3D31EF"/>
    <w:rsid w:val="FFF63A8F"/>
    <w:rsid w:val="FFF93EC0"/>
    <w:rsid w:val="FFFE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rPr>
      <w:sz w:val="20"/>
      <w:szCs w:val="20"/>
    </w:rPr>
  </w:style>
  <w:style w:type="paragraph" w:styleId="3">
    <w:name w:val="footer"/>
    <w:basedOn w:val="1"/>
    <w:link w:val="12"/>
    <w:unhideWhenUsed/>
    <w:uiPriority w:val="99"/>
    <w:pPr>
      <w:tabs>
        <w:tab w:val="center" w:pos="4513"/>
        <w:tab w:val="right" w:pos="9026"/>
      </w:tabs>
    </w:pPr>
  </w:style>
  <w:style w:type="paragraph" w:styleId="4">
    <w:name w:val="header"/>
    <w:basedOn w:val="1"/>
    <w:link w:val="11"/>
    <w:unhideWhenUsed/>
    <w:uiPriority w:val="99"/>
    <w:pPr>
      <w:tabs>
        <w:tab w:val="center" w:pos="4513"/>
        <w:tab w:val="right" w:pos="9026"/>
      </w:tabs>
    </w:pPr>
  </w:style>
  <w:style w:type="paragraph" w:styleId="5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table" w:styleId="7">
    <w:name w:val="Table Grid"/>
    <w:basedOn w:val="6"/>
    <w:uiPriority w:val="39"/>
    <w:rPr>
      <w:rFonts w:ascii="Times New Roman" w:hAnsi="Times New Roman" w:eastAsia="宋体"/>
      <w:sz w:val="24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semiHidden/>
    <w:unhideWhenUsed/>
    <w:uiPriority w:val="99"/>
  </w:style>
  <w:style w:type="character" w:styleId="10">
    <w:name w:val="annotation reference"/>
    <w:basedOn w:val="8"/>
    <w:semiHidden/>
    <w:unhideWhenUsed/>
    <w:uiPriority w:val="99"/>
    <w:rPr>
      <w:sz w:val="16"/>
      <w:szCs w:val="16"/>
    </w:rPr>
  </w:style>
  <w:style w:type="character" w:customStyle="1" w:styleId="11">
    <w:name w:val="页眉 字符"/>
    <w:basedOn w:val="8"/>
    <w:link w:val="4"/>
    <w:uiPriority w:val="99"/>
    <w:rPr>
      <w:rFonts w:ascii="Times New Roman" w:hAnsi="Times New Roman" w:eastAsia="宋体"/>
      <w:sz w:val="24"/>
      <w:szCs w:val="22"/>
    </w:rPr>
  </w:style>
  <w:style w:type="character" w:customStyle="1" w:styleId="12">
    <w:name w:val="页脚 字符"/>
    <w:basedOn w:val="8"/>
    <w:link w:val="3"/>
    <w:uiPriority w:val="99"/>
    <w:rPr>
      <w:rFonts w:ascii="Times New Roman" w:hAnsi="Times New Roman" w:eastAsia="宋体"/>
      <w:sz w:val="24"/>
      <w:szCs w:val="22"/>
    </w:rPr>
  </w:style>
  <w:style w:type="paragraph" w:customStyle="1" w:styleId="13">
    <w:name w:val="修订1"/>
    <w:hidden/>
    <w:semiHidden/>
    <w:uiPriority w:val="99"/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customStyle="1" w:styleId="14">
    <w:name w:val="批注文字 字符"/>
    <w:basedOn w:val="8"/>
    <w:link w:val="2"/>
    <w:semiHidden/>
    <w:uiPriority w:val="99"/>
    <w:rPr>
      <w:rFonts w:ascii="Times New Roman" w:hAnsi="Times New Roman" w:eastAsia="宋体"/>
      <w:sz w:val="20"/>
      <w:szCs w:val="20"/>
    </w:rPr>
  </w:style>
  <w:style w:type="character" w:customStyle="1" w:styleId="15">
    <w:name w:val="批注主题 字符"/>
    <w:basedOn w:val="14"/>
    <w:link w:val="5"/>
    <w:semiHidden/>
    <w:uiPriority w:val="99"/>
    <w:rPr>
      <w:rFonts w:ascii="Times New Roman" w:hAnsi="Times New Roman" w:eastAsia="宋体"/>
      <w:b/>
      <w:bCs/>
      <w:sz w:val="20"/>
      <w:szCs w:val="20"/>
    </w:rPr>
  </w:style>
  <w:style w:type="table" w:customStyle="1" w:styleId="16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Paragraph"/>
    <w:basedOn w:val="1"/>
    <w:qFormat/>
    <w:uiPriority w:val="1"/>
    <w:pPr>
      <w:jc w:val="left"/>
    </w:pPr>
    <w:rPr>
      <w:rFonts w:asciiTheme="minorHAnsi" w:hAnsiTheme="minorHAnsi" w:eastAsiaTheme="minorEastAsia"/>
      <w:kern w:val="0"/>
      <w:sz w:val="22"/>
      <w:lang w:eastAsia="en-US"/>
    </w:rPr>
  </w:style>
  <w:style w:type="table" w:customStyle="1" w:styleId="18">
    <w:name w:val="无格式表格 41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hint="default" w:ascii="Times New Roman" w:hAnsi="Times New Roman" w:cs="Times New Roman"/>
        <w:b/>
        <w:bCs/>
      </w:rPr>
    </w:tblStylePr>
    <w:tblStylePr w:type="lastRow">
      <w:rPr>
        <w:rFonts w:hint="default" w:ascii="Times New Roman" w:hAnsi="Times New Roman" w:cs="Times New Roman"/>
        <w:b/>
        <w:bCs/>
      </w:r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980</Words>
  <Characters>5587</Characters>
  <Lines>46</Lines>
  <Paragraphs>13</Paragraphs>
  <TotalTime>3</TotalTime>
  <ScaleCrop>false</ScaleCrop>
  <LinksUpToDate>false</LinksUpToDate>
  <CharactersWithSpaces>6554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2023-01-10T19:42:00Z</dcterms:created>
  <dc:creator>Ye Fen</dc:creator>
  <cp:lastModifiedBy>沈梦圆</cp:lastModifiedBy>
  <dcterms:modified xsi:type="dcterms:W3CDTF">2025-04-04T22:30:00Z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56FA3C06476EB5E100046D67B91865A7_42</vt:lpwstr>
  </property>
</Properties>
</file>