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DAACD5" w14:textId="2BFA8C55" w:rsidR="001A26CC" w:rsidRPr="005D55D9" w:rsidRDefault="0000660F" w:rsidP="008E13CE">
      <w:pPr>
        <w:spacing w:line="360" w:lineRule="auto"/>
        <w:rPr>
          <w:rFonts w:ascii="Times New Roman" w:hAnsi="Times New Roman" w:cs="Times New Roman"/>
          <w:b/>
          <w:bCs/>
        </w:rPr>
      </w:pPr>
      <w:r w:rsidRPr="005D55D9">
        <w:rPr>
          <w:rFonts w:ascii="Times New Roman" w:hAnsi="Times New Roman" w:cs="Times New Roman"/>
          <w:b/>
          <w:bCs/>
        </w:rPr>
        <w:t>SUPPLEMENTARY</w:t>
      </w:r>
      <w:r w:rsidR="00F93E87" w:rsidRPr="005D55D9">
        <w:rPr>
          <w:rFonts w:ascii="Times New Roman" w:hAnsi="Times New Roman" w:cs="Times New Roman"/>
          <w:b/>
          <w:bCs/>
        </w:rPr>
        <w:t xml:space="preserve"> </w:t>
      </w:r>
      <w:r w:rsidR="004B50EE" w:rsidRPr="005D55D9">
        <w:rPr>
          <w:rFonts w:ascii="Times New Roman" w:hAnsi="Times New Roman" w:cs="Times New Roman"/>
          <w:b/>
          <w:bCs/>
        </w:rPr>
        <w:t>MATERIAL</w:t>
      </w:r>
    </w:p>
    <w:p w14:paraId="75DAF329" w14:textId="502591E3" w:rsidR="00C62BBA" w:rsidRPr="005D55D9" w:rsidRDefault="00C62BBA" w:rsidP="008E13C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D55D9">
        <w:rPr>
          <w:rFonts w:ascii="Times New Roman" w:hAnsi="Times New Roman" w:cs="Times New Roman"/>
          <w:b/>
          <w:bCs/>
          <w:sz w:val="28"/>
          <w:szCs w:val="28"/>
        </w:rPr>
        <w:t xml:space="preserve">β-Hydroxybutyrate maintains energetically demanding neural functions during </w:t>
      </w:r>
      <w:r w:rsidR="00410C30" w:rsidRPr="005D55D9">
        <w:rPr>
          <w:rFonts w:ascii="Times New Roman" w:hAnsi="Times New Roman" w:cs="Times New Roman"/>
          <w:b/>
          <w:bCs/>
          <w:sz w:val="28"/>
          <w:szCs w:val="28"/>
        </w:rPr>
        <w:t xml:space="preserve">exogenous </w:t>
      </w:r>
      <w:r w:rsidRPr="005D55D9">
        <w:rPr>
          <w:rFonts w:ascii="Times New Roman" w:hAnsi="Times New Roman" w:cs="Times New Roman"/>
          <w:b/>
          <w:bCs/>
          <w:sz w:val="28"/>
          <w:szCs w:val="28"/>
        </w:rPr>
        <w:t>glucose deprivation</w:t>
      </w:r>
    </w:p>
    <w:p w14:paraId="28863CD2" w14:textId="67E6C3A3" w:rsidR="00B45A5F" w:rsidRPr="005D55D9" w:rsidRDefault="00C62BBA" w:rsidP="008E13CE">
      <w:pPr>
        <w:spacing w:line="360" w:lineRule="auto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</w:rPr>
        <w:t>Rachel L. Ricks</w:t>
      </w:r>
      <w:r w:rsidRPr="005D55D9">
        <w:rPr>
          <w:rFonts w:ascii="Times New Roman" w:hAnsi="Times New Roman" w:cs="Times New Roman"/>
          <w:vertAlign w:val="superscript"/>
        </w:rPr>
        <w:t>1</w:t>
      </w:r>
      <w:r w:rsidRPr="005D55D9">
        <w:rPr>
          <w:rFonts w:ascii="Times New Roman" w:hAnsi="Times New Roman" w:cs="Times New Roman"/>
        </w:rPr>
        <w:t>, Dallin S. Nevers</w:t>
      </w:r>
      <w:r w:rsidRPr="005D55D9">
        <w:rPr>
          <w:rFonts w:ascii="Times New Roman" w:hAnsi="Times New Roman" w:cs="Times New Roman"/>
          <w:vertAlign w:val="superscript"/>
        </w:rPr>
        <w:t>2</w:t>
      </w:r>
      <w:r w:rsidRPr="005D55D9">
        <w:rPr>
          <w:rFonts w:ascii="Times New Roman" w:hAnsi="Times New Roman" w:cs="Times New Roman"/>
        </w:rPr>
        <w:t>, Tyler Poulos</w:t>
      </w:r>
      <w:r w:rsidRPr="005D55D9">
        <w:rPr>
          <w:rFonts w:ascii="Times New Roman" w:hAnsi="Times New Roman" w:cs="Times New Roman"/>
          <w:vertAlign w:val="superscript"/>
        </w:rPr>
        <w:t>1,2</w:t>
      </w:r>
      <w:r w:rsidRPr="005D55D9">
        <w:rPr>
          <w:rFonts w:ascii="Times New Roman" w:hAnsi="Times New Roman" w:cs="Times New Roman"/>
        </w:rPr>
        <w:t>, T. Luke Shafer</w:t>
      </w:r>
      <w:r w:rsidRPr="005D55D9">
        <w:rPr>
          <w:rFonts w:ascii="Times New Roman" w:hAnsi="Times New Roman" w:cs="Times New Roman"/>
          <w:vertAlign w:val="superscript"/>
        </w:rPr>
        <w:t>2</w:t>
      </w:r>
      <w:r w:rsidRPr="005D55D9">
        <w:rPr>
          <w:rFonts w:ascii="Times New Roman" w:hAnsi="Times New Roman" w:cs="Times New Roman"/>
        </w:rPr>
        <w:t>, Clayton Dunford</w:t>
      </w:r>
      <w:r w:rsidRPr="005D55D9">
        <w:rPr>
          <w:rFonts w:ascii="Times New Roman" w:hAnsi="Times New Roman" w:cs="Times New Roman"/>
          <w:vertAlign w:val="superscript"/>
        </w:rPr>
        <w:t>1</w:t>
      </w:r>
      <w:r w:rsidRPr="005D55D9">
        <w:rPr>
          <w:rFonts w:ascii="Times New Roman" w:hAnsi="Times New Roman" w:cs="Times New Roman"/>
        </w:rPr>
        <w:t xml:space="preserve">, </w:t>
      </w:r>
      <w:r w:rsidR="00B81966" w:rsidRPr="005D55D9">
        <w:rPr>
          <w:rFonts w:ascii="Times New Roman" w:hAnsi="Times New Roman" w:cs="Times New Roman"/>
        </w:rPr>
        <w:t>Jason M. Hansen</w:t>
      </w:r>
      <w:r w:rsidR="00B81966" w:rsidRPr="005D55D9">
        <w:rPr>
          <w:rFonts w:ascii="Times New Roman" w:hAnsi="Times New Roman" w:cs="Times New Roman"/>
          <w:vertAlign w:val="superscript"/>
        </w:rPr>
        <w:t>1</w:t>
      </w:r>
      <w:r w:rsidR="00B81966" w:rsidRPr="005D55D9">
        <w:rPr>
          <w:rFonts w:ascii="Times New Roman" w:hAnsi="Times New Roman" w:cs="Times New Roman"/>
        </w:rPr>
        <w:t xml:space="preserve">, </w:t>
      </w:r>
      <w:r w:rsidRPr="005D55D9">
        <w:rPr>
          <w:rFonts w:ascii="Times New Roman" w:hAnsi="Times New Roman" w:cs="Times New Roman"/>
        </w:rPr>
        <w:t>Paul R. Reynolds</w:t>
      </w:r>
      <w:r w:rsidRPr="005D55D9">
        <w:rPr>
          <w:rFonts w:ascii="Times New Roman" w:hAnsi="Times New Roman" w:cs="Times New Roman"/>
          <w:vertAlign w:val="superscript"/>
        </w:rPr>
        <w:t>1</w:t>
      </w:r>
      <w:r w:rsidRPr="005D55D9">
        <w:rPr>
          <w:rFonts w:ascii="Times New Roman" w:hAnsi="Times New Roman" w:cs="Times New Roman"/>
        </w:rPr>
        <w:t>, Benjamin T. Bikman</w:t>
      </w:r>
      <w:r w:rsidRPr="005D55D9">
        <w:rPr>
          <w:rFonts w:ascii="Times New Roman" w:hAnsi="Times New Roman" w:cs="Times New Roman"/>
          <w:vertAlign w:val="superscript"/>
        </w:rPr>
        <w:t>1</w:t>
      </w:r>
      <w:r w:rsidRPr="005D55D9">
        <w:rPr>
          <w:rFonts w:ascii="Times New Roman" w:hAnsi="Times New Roman" w:cs="Times New Roman"/>
        </w:rPr>
        <w:t>, R. Ryley Parrish</w:t>
      </w:r>
      <w:r w:rsidRPr="005D55D9">
        <w:rPr>
          <w:rFonts w:ascii="Times New Roman" w:hAnsi="Times New Roman" w:cs="Times New Roman"/>
          <w:vertAlign w:val="superscript"/>
        </w:rPr>
        <w:t>1,2*</w:t>
      </w:r>
    </w:p>
    <w:p w14:paraId="12DF2537" w14:textId="77777777" w:rsidR="00C62BBA" w:rsidRPr="005D55D9" w:rsidRDefault="00C62BBA" w:rsidP="008E13CE">
      <w:pPr>
        <w:spacing w:after="0" w:line="360" w:lineRule="auto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  <w:vertAlign w:val="superscript"/>
        </w:rPr>
        <w:t>1</w:t>
      </w:r>
      <w:r w:rsidRPr="005D55D9">
        <w:rPr>
          <w:rFonts w:ascii="Times New Roman" w:hAnsi="Times New Roman" w:cs="Times New Roman"/>
        </w:rPr>
        <w:t xml:space="preserve"> Brigham Young University, Department of Cell Biology and Physiology, Provo, Utah, USA</w:t>
      </w:r>
    </w:p>
    <w:p w14:paraId="15A37172" w14:textId="77777777" w:rsidR="00C62BBA" w:rsidRPr="005D55D9" w:rsidRDefault="00C62BBA" w:rsidP="008E13CE">
      <w:pPr>
        <w:spacing w:after="0" w:line="360" w:lineRule="auto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  <w:vertAlign w:val="superscript"/>
        </w:rPr>
        <w:t>2</w:t>
      </w:r>
      <w:r w:rsidRPr="005D55D9">
        <w:rPr>
          <w:rFonts w:ascii="Times New Roman" w:hAnsi="Times New Roman" w:cs="Times New Roman"/>
        </w:rPr>
        <w:t xml:space="preserve"> Brigham Young University, Neuroscience Center, Provo, Utah, USA</w:t>
      </w:r>
    </w:p>
    <w:p w14:paraId="3BE0C27E" w14:textId="4F01123A" w:rsidR="00B45A5F" w:rsidRPr="005D55D9" w:rsidRDefault="00C62BBA" w:rsidP="008E13CE">
      <w:pPr>
        <w:spacing w:line="360" w:lineRule="auto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  <w:vertAlign w:val="superscript"/>
        </w:rPr>
        <w:t>*</w:t>
      </w:r>
      <w:r w:rsidRPr="005D55D9">
        <w:rPr>
          <w:rFonts w:ascii="Times New Roman" w:hAnsi="Times New Roman" w:cs="Times New Roman"/>
        </w:rPr>
        <w:t xml:space="preserve"> Corresponding author: R. Ryley Parrish, ryley_parrish@byu.edu</w:t>
      </w:r>
    </w:p>
    <w:p w14:paraId="65693743" w14:textId="77777777" w:rsidR="00B45A5F" w:rsidRPr="005D55D9" w:rsidRDefault="00B45A5F" w:rsidP="008E13CE">
      <w:pPr>
        <w:spacing w:line="360" w:lineRule="auto"/>
        <w:rPr>
          <w:rFonts w:ascii="Times New Roman" w:hAnsi="Times New Roman" w:cs="Times New Roman"/>
        </w:rPr>
      </w:pPr>
    </w:p>
    <w:p w14:paraId="2345A327" w14:textId="424DF990" w:rsidR="00C62BBA" w:rsidRPr="005D55D9" w:rsidRDefault="00C62BBA" w:rsidP="008E13CE">
      <w:pPr>
        <w:spacing w:line="360" w:lineRule="auto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</w:rPr>
        <w:t>Running title: β-Hydroxybutyrate supports neural function without</w:t>
      </w:r>
      <w:r w:rsidR="000A7914" w:rsidRPr="005D55D9">
        <w:rPr>
          <w:rFonts w:ascii="Times New Roman" w:hAnsi="Times New Roman" w:cs="Times New Roman"/>
        </w:rPr>
        <w:t xml:space="preserve"> exogenous</w:t>
      </w:r>
      <w:r w:rsidRPr="005D55D9">
        <w:rPr>
          <w:rFonts w:ascii="Times New Roman" w:hAnsi="Times New Roman" w:cs="Times New Roman"/>
        </w:rPr>
        <w:t xml:space="preserve"> glucose</w:t>
      </w:r>
    </w:p>
    <w:p w14:paraId="52FF31DA" w14:textId="778E5024" w:rsidR="00326478" w:rsidRPr="005D55D9" w:rsidRDefault="00C62BBA" w:rsidP="008E13CE">
      <w:pPr>
        <w:spacing w:line="360" w:lineRule="auto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</w:rPr>
        <w:t>Keywords: energetics, spreading depolarization, spreading depression, brain metabolism, ketones</w:t>
      </w:r>
    </w:p>
    <w:p w14:paraId="1F716F43" w14:textId="77777777" w:rsidR="00AC173A" w:rsidRPr="005D55D9" w:rsidRDefault="00AC173A" w:rsidP="008E13CE">
      <w:pPr>
        <w:spacing w:line="360" w:lineRule="auto"/>
        <w:rPr>
          <w:rFonts w:ascii="Times New Roman" w:hAnsi="Times New Roman" w:cs="Times New Roman"/>
        </w:rPr>
      </w:pPr>
    </w:p>
    <w:p w14:paraId="5C665404" w14:textId="4F16BD18" w:rsidR="00326478" w:rsidRPr="005D55D9" w:rsidRDefault="00326478" w:rsidP="008E13CE">
      <w:pPr>
        <w:spacing w:after="0" w:line="360" w:lineRule="auto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</w:rPr>
        <w:t xml:space="preserve">Number of </w:t>
      </w:r>
      <w:r w:rsidR="0051084E" w:rsidRPr="005D55D9">
        <w:rPr>
          <w:rFonts w:ascii="Times New Roman" w:hAnsi="Times New Roman" w:cs="Times New Roman"/>
        </w:rPr>
        <w:t xml:space="preserve">Supplemental </w:t>
      </w:r>
      <w:r w:rsidRPr="005D55D9">
        <w:rPr>
          <w:rFonts w:ascii="Times New Roman" w:hAnsi="Times New Roman" w:cs="Times New Roman"/>
        </w:rPr>
        <w:t xml:space="preserve">Pages: </w:t>
      </w:r>
      <w:r w:rsidR="00297854">
        <w:rPr>
          <w:rFonts w:ascii="Times New Roman" w:hAnsi="Times New Roman" w:cs="Times New Roman"/>
        </w:rPr>
        <w:t>8</w:t>
      </w:r>
    </w:p>
    <w:p w14:paraId="4AF79568" w14:textId="703899FE" w:rsidR="00C62BBA" w:rsidRPr="005D55D9" w:rsidRDefault="00C62BBA" w:rsidP="008E13CE">
      <w:pPr>
        <w:spacing w:after="0" w:line="360" w:lineRule="auto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</w:rPr>
        <w:t xml:space="preserve">Number of </w:t>
      </w:r>
      <w:r w:rsidR="0051084E" w:rsidRPr="005D55D9">
        <w:rPr>
          <w:rFonts w:ascii="Times New Roman" w:hAnsi="Times New Roman" w:cs="Times New Roman"/>
        </w:rPr>
        <w:t xml:space="preserve">Supplemental </w:t>
      </w:r>
      <w:r w:rsidRPr="005D55D9">
        <w:rPr>
          <w:rFonts w:ascii="Times New Roman" w:hAnsi="Times New Roman" w:cs="Times New Roman"/>
        </w:rPr>
        <w:t xml:space="preserve">Figures: </w:t>
      </w:r>
      <w:r w:rsidR="007A5F6D" w:rsidRPr="005D55D9">
        <w:rPr>
          <w:rFonts w:ascii="Times New Roman" w:hAnsi="Times New Roman" w:cs="Times New Roman"/>
        </w:rPr>
        <w:t>3</w:t>
      </w:r>
    </w:p>
    <w:p w14:paraId="172B9B1D" w14:textId="504ADEF4" w:rsidR="00C62BBA" w:rsidRPr="005D55D9" w:rsidRDefault="00C62BBA" w:rsidP="008E13CE">
      <w:pPr>
        <w:spacing w:after="0" w:line="360" w:lineRule="auto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</w:rPr>
        <w:t xml:space="preserve">Number of </w:t>
      </w:r>
      <w:r w:rsidR="0051084E" w:rsidRPr="005D55D9">
        <w:rPr>
          <w:rFonts w:ascii="Times New Roman" w:hAnsi="Times New Roman" w:cs="Times New Roman"/>
        </w:rPr>
        <w:t xml:space="preserve">Supplemental </w:t>
      </w:r>
      <w:r w:rsidRPr="005D55D9">
        <w:rPr>
          <w:rFonts w:ascii="Times New Roman" w:hAnsi="Times New Roman" w:cs="Times New Roman"/>
        </w:rPr>
        <w:t>Tables: 0</w:t>
      </w:r>
    </w:p>
    <w:p w14:paraId="5792C3F0" w14:textId="6358199E" w:rsidR="00326478" w:rsidRPr="005D55D9" w:rsidRDefault="00C62BBA" w:rsidP="008E13CE">
      <w:pPr>
        <w:spacing w:line="360" w:lineRule="auto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</w:rPr>
        <w:t xml:space="preserve">Number of </w:t>
      </w:r>
      <w:r w:rsidR="0051084E" w:rsidRPr="005D55D9">
        <w:rPr>
          <w:rFonts w:ascii="Times New Roman" w:hAnsi="Times New Roman" w:cs="Times New Roman"/>
        </w:rPr>
        <w:t xml:space="preserve">Supplemental </w:t>
      </w:r>
      <w:r w:rsidRPr="005D55D9">
        <w:rPr>
          <w:rFonts w:ascii="Times New Roman" w:hAnsi="Times New Roman" w:cs="Times New Roman"/>
        </w:rPr>
        <w:t>Multimedia: 0</w:t>
      </w:r>
    </w:p>
    <w:p w14:paraId="166566B9" w14:textId="77777777" w:rsidR="00AC173A" w:rsidRPr="005D55D9" w:rsidRDefault="00AC173A" w:rsidP="008E13CE">
      <w:pPr>
        <w:spacing w:line="360" w:lineRule="auto"/>
        <w:rPr>
          <w:rFonts w:ascii="Times New Roman" w:hAnsi="Times New Roman" w:cs="Times New Roman"/>
        </w:rPr>
      </w:pPr>
    </w:p>
    <w:p w14:paraId="5EDF4988" w14:textId="77777777" w:rsidR="00BF7C7D" w:rsidRPr="005D55D9" w:rsidRDefault="00BF7C7D" w:rsidP="008E13CE">
      <w:pPr>
        <w:spacing w:line="360" w:lineRule="auto"/>
        <w:rPr>
          <w:rFonts w:ascii="Times New Roman" w:hAnsi="Times New Roman" w:cs="Times New Roman"/>
          <w:b/>
          <w:bCs/>
        </w:rPr>
      </w:pPr>
      <w:r w:rsidRPr="005D55D9">
        <w:rPr>
          <w:rFonts w:ascii="Times New Roman" w:hAnsi="Times New Roman" w:cs="Times New Roman"/>
          <w:b/>
          <w:bCs/>
        </w:rPr>
        <w:br w:type="page"/>
      </w:r>
    </w:p>
    <w:p w14:paraId="69A85E30" w14:textId="20044532" w:rsidR="00834AE7" w:rsidRPr="005D55D9" w:rsidRDefault="00834AE7" w:rsidP="008E13CE">
      <w:pPr>
        <w:spacing w:line="360" w:lineRule="auto"/>
        <w:rPr>
          <w:rFonts w:ascii="Times New Roman" w:hAnsi="Times New Roman" w:cs="Times New Roman"/>
          <w:b/>
          <w:bCs/>
        </w:rPr>
      </w:pPr>
      <w:r w:rsidRPr="005D55D9">
        <w:rPr>
          <w:rFonts w:ascii="Times New Roman" w:hAnsi="Times New Roman" w:cs="Times New Roman"/>
          <w:b/>
          <w:bCs/>
        </w:rPr>
        <w:lastRenderedPageBreak/>
        <w:t>Supplementary Notes</w:t>
      </w:r>
    </w:p>
    <w:p w14:paraId="6E35DC49" w14:textId="0EE3C715" w:rsidR="006D275A" w:rsidRPr="005D55D9" w:rsidRDefault="00DD3213" w:rsidP="008E13CE">
      <w:pPr>
        <w:spacing w:line="360" w:lineRule="auto"/>
        <w:rPr>
          <w:rFonts w:ascii="Times New Roman" w:hAnsi="Times New Roman" w:cs="Times New Roman"/>
        </w:rPr>
      </w:pPr>
      <w:proofErr w:type="spellStart"/>
      <w:r w:rsidRPr="005D55D9">
        <w:rPr>
          <w:rFonts w:ascii="Times New Roman" w:hAnsi="Times New Roman" w:cs="Times New Roman"/>
          <w:vertAlign w:val="superscript"/>
        </w:rPr>
        <w:t>a</w:t>
      </w:r>
      <w:proofErr w:type="spellEnd"/>
      <w:r w:rsidRPr="005D55D9">
        <w:rPr>
          <w:rFonts w:ascii="Times New Roman" w:hAnsi="Times New Roman" w:cs="Times New Roman"/>
        </w:rPr>
        <w:t xml:space="preserve"> </w:t>
      </w:r>
      <w:proofErr w:type="gramStart"/>
      <w:r w:rsidR="006D275A" w:rsidRPr="005D55D9">
        <w:rPr>
          <w:rFonts w:ascii="Times New Roman" w:hAnsi="Times New Roman" w:cs="Times New Roman"/>
        </w:rPr>
        <w:t>In</w:t>
      </w:r>
      <w:proofErr w:type="gramEnd"/>
      <w:r w:rsidR="006D275A" w:rsidRPr="005D55D9">
        <w:rPr>
          <w:rFonts w:ascii="Times New Roman" w:hAnsi="Times New Roman" w:cs="Times New Roman"/>
        </w:rPr>
        <w:t xml:space="preserve"> response to reviewer comments, additional high-resolution respirometry experiments were performed </w:t>
      </w:r>
      <w:r w:rsidR="00041B20" w:rsidRPr="005D55D9">
        <w:rPr>
          <w:rFonts w:ascii="Times New Roman" w:hAnsi="Times New Roman" w:cs="Times New Roman"/>
        </w:rPr>
        <w:t xml:space="preserve">during manuscript revision </w:t>
      </w:r>
      <w:r w:rsidR="006D275A" w:rsidRPr="005D55D9">
        <w:rPr>
          <w:rFonts w:ascii="Times New Roman" w:hAnsi="Times New Roman" w:cs="Times New Roman"/>
        </w:rPr>
        <w:t>in brain slices incubated</w:t>
      </w:r>
      <w:r w:rsidR="00EF6DD3" w:rsidRPr="005D55D9">
        <w:rPr>
          <w:rFonts w:ascii="Times New Roman" w:hAnsi="Times New Roman" w:cs="Times New Roman"/>
        </w:rPr>
        <w:t xml:space="preserve"> without exogenous </w:t>
      </w:r>
      <w:r w:rsidR="003C5540" w:rsidRPr="005D55D9">
        <w:rPr>
          <w:rFonts w:ascii="Times New Roman" w:hAnsi="Times New Roman" w:cs="Times New Roman"/>
        </w:rPr>
        <w:t xml:space="preserve">fuel </w:t>
      </w:r>
      <w:r w:rsidR="00EF6DD3" w:rsidRPr="005D55D9">
        <w:rPr>
          <w:rFonts w:ascii="Times New Roman" w:hAnsi="Times New Roman" w:cs="Times New Roman"/>
        </w:rPr>
        <w:t>substrates</w:t>
      </w:r>
      <w:r w:rsidR="00E6787E" w:rsidRPr="005D55D9">
        <w:rPr>
          <w:rFonts w:ascii="Times New Roman" w:hAnsi="Times New Roman" w:cs="Times New Roman"/>
        </w:rPr>
        <w:t xml:space="preserve"> </w:t>
      </w:r>
      <w:r w:rsidR="006D275A" w:rsidRPr="005D55D9">
        <w:rPr>
          <w:rFonts w:ascii="Times New Roman" w:hAnsi="Times New Roman" w:cs="Times New Roman"/>
        </w:rPr>
        <w:t>to complement the glucose and BHB datasets presented in Fig. 1.</w:t>
      </w:r>
      <w:r w:rsidR="00E6787E" w:rsidRPr="005D55D9">
        <w:rPr>
          <w:rFonts w:ascii="Times New Roman" w:hAnsi="Times New Roman" w:cs="Times New Roman"/>
        </w:rPr>
        <w:t xml:space="preserve"> Neocortical slices were maintained in 10 mM sucrose aCSF for 4 hours and subsequently processed and analyzed using the same tissue preparation, MiR05 respiration medium, O2k SUIT protocol, quality-control procedures, and data analysis described for the glucose and BHB groups in the High-Resolution Respirometry Methods.</w:t>
      </w:r>
      <w:r w:rsidR="008D7244" w:rsidRPr="005D55D9">
        <w:rPr>
          <w:rFonts w:ascii="Times New Roman" w:hAnsi="Times New Roman" w:cs="Times New Roman"/>
        </w:rPr>
        <w:t xml:space="preserve"> </w:t>
      </w:r>
      <w:r w:rsidR="006D275A" w:rsidRPr="005D55D9">
        <w:rPr>
          <w:rFonts w:ascii="Times New Roman" w:hAnsi="Times New Roman" w:cs="Times New Roman"/>
        </w:rPr>
        <w:t>These additional data are presented in Fig. S1.</w:t>
      </w:r>
    </w:p>
    <w:p w14:paraId="5BD5305E" w14:textId="16ECAAB9" w:rsidR="000F7916" w:rsidRPr="005D55D9" w:rsidRDefault="00474EB1" w:rsidP="008E13CE">
      <w:pPr>
        <w:pBdr>
          <w:bottom w:val="single" w:sz="6" w:space="1" w:color="auto"/>
        </w:pBdr>
        <w:spacing w:line="360" w:lineRule="auto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  <w:vertAlign w:val="superscript"/>
        </w:rPr>
        <w:t>b</w:t>
      </w:r>
      <w:r w:rsidRPr="005D55D9">
        <w:rPr>
          <w:rFonts w:ascii="Times New Roman" w:hAnsi="Times New Roman" w:cs="Times New Roman"/>
        </w:rPr>
        <w:t xml:space="preserve"> </w:t>
      </w:r>
      <w:proofErr w:type="gramStart"/>
      <w:r w:rsidRPr="005D55D9">
        <w:rPr>
          <w:rFonts w:ascii="Times New Roman" w:hAnsi="Times New Roman" w:cs="Times New Roman"/>
        </w:rPr>
        <w:t>In</w:t>
      </w:r>
      <w:proofErr w:type="gramEnd"/>
      <w:r w:rsidRPr="005D55D9">
        <w:rPr>
          <w:rFonts w:ascii="Times New Roman" w:hAnsi="Times New Roman" w:cs="Times New Roman"/>
        </w:rPr>
        <w:t xml:space="preserve"> response to reviewer comments, additional spreading depolarization experiments were performed during manuscript revision using</w:t>
      </w:r>
      <w:r w:rsidR="00956EA5" w:rsidRPr="005D55D9">
        <w:rPr>
          <w:rFonts w:ascii="Times New Roman" w:hAnsi="Times New Roman" w:cs="Times New Roman"/>
        </w:rPr>
        <w:t xml:space="preserve"> aCSF containing</w:t>
      </w:r>
      <w:r w:rsidRPr="005D55D9">
        <w:rPr>
          <w:rFonts w:ascii="Times New Roman" w:hAnsi="Times New Roman" w:cs="Times New Roman"/>
        </w:rPr>
        <w:t xml:space="preserve"> 2 mM BHB with 8 mM sucrose for osmotic balance to complement the original 10 mM glucose, 10 mM BHB, and 10 mM sucrose datasets presented in Fig. 2. </w:t>
      </w:r>
      <w:r w:rsidR="000915A9" w:rsidRPr="005D55D9">
        <w:rPr>
          <w:rFonts w:ascii="Times New Roman" w:hAnsi="Times New Roman" w:cs="Times New Roman"/>
        </w:rPr>
        <w:t>Aside from the modified substrate condition, slice incubation, sequential 26 mM high-K</w:t>
      </w:r>
      <w:r w:rsidR="000915A9" w:rsidRPr="005D55D9">
        <w:rPr>
          <w:rFonts w:ascii="Times New Roman" w:hAnsi="Times New Roman" w:cs="Times New Roman"/>
          <w:vertAlign w:val="superscript"/>
        </w:rPr>
        <w:t>+</w:t>
      </w:r>
      <w:r w:rsidR="000915A9" w:rsidRPr="005D55D9">
        <w:rPr>
          <w:rFonts w:ascii="Times New Roman" w:hAnsi="Times New Roman" w:cs="Times New Roman"/>
        </w:rPr>
        <w:t xml:space="preserve"> SD induction, IOS acquisition and analysis, and statistical procedures were</w:t>
      </w:r>
      <w:r w:rsidR="000F6104">
        <w:rPr>
          <w:rFonts w:ascii="Times New Roman" w:hAnsi="Times New Roman" w:cs="Times New Roman"/>
        </w:rPr>
        <w:t xml:space="preserve"> i</w:t>
      </w:r>
      <w:r w:rsidR="000F6104" w:rsidRPr="000F6104">
        <w:rPr>
          <w:rFonts w:ascii="Times New Roman" w:hAnsi="Times New Roman" w:cs="Times New Roman"/>
        </w:rPr>
        <w:t>dentical to those described for the original experimental groups in the Intrinsic Optical Signal Recording and Analysis Methods</w:t>
      </w:r>
      <w:r w:rsidR="002B4C81" w:rsidRPr="005D55D9">
        <w:rPr>
          <w:rFonts w:ascii="Times New Roman" w:hAnsi="Times New Roman" w:cs="Times New Roman"/>
        </w:rPr>
        <w:t xml:space="preserve">. </w:t>
      </w:r>
      <w:r w:rsidRPr="005D55D9">
        <w:rPr>
          <w:rFonts w:ascii="Times New Roman" w:hAnsi="Times New Roman" w:cs="Times New Roman"/>
        </w:rPr>
        <w:t xml:space="preserve">A concentration of 2 mM BHB was selected to approximate circulating concentrations commonly observed during nutritional ketosis. </w:t>
      </w:r>
      <w:r w:rsidR="00956EA5" w:rsidRPr="005D55D9">
        <w:rPr>
          <w:rFonts w:ascii="Times New Roman" w:hAnsi="Times New Roman" w:cs="Times New Roman"/>
        </w:rPr>
        <w:t>C</w:t>
      </w:r>
      <w:r w:rsidRPr="005D55D9">
        <w:rPr>
          <w:rFonts w:ascii="Times New Roman" w:hAnsi="Times New Roman" w:cs="Times New Roman"/>
        </w:rPr>
        <w:t>irculating substrate concentrations</w:t>
      </w:r>
      <w:r w:rsidR="00956EA5" w:rsidRPr="005D55D9">
        <w:rPr>
          <w:rFonts w:ascii="Times New Roman" w:hAnsi="Times New Roman" w:cs="Times New Roman"/>
        </w:rPr>
        <w:t>, however,</w:t>
      </w:r>
      <w:r w:rsidRPr="005D55D9">
        <w:rPr>
          <w:rFonts w:ascii="Times New Roman" w:hAnsi="Times New Roman" w:cs="Times New Roman"/>
        </w:rPr>
        <w:t xml:space="preserve"> cannot be directly equated with concentrations in the bathing medium of </w:t>
      </w:r>
      <w:r w:rsidRPr="005D55D9">
        <w:rPr>
          <w:rFonts w:ascii="Times New Roman" w:hAnsi="Times New Roman" w:cs="Times New Roman"/>
          <w:i/>
          <w:iCs/>
        </w:rPr>
        <w:t>ex vivo</w:t>
      </w:r>
      <w:r w:rsidRPr="005D55D9">
        <w:rPr>
          <w:rFonts w:ascii="Times New Roman" w:hAnsi="Times New Roman" w:cs="Times New Roman"/>
        </w:rPr>
        <w:t xml:space="preserve"> brain slices. </w:t>
      </w:r>
      <w:r w:rsidRPr="005D55D9">
        <w:rPr>
          <w:rFonts w:ascii="Times New Roman" w:hAnsi="Times New Roman" w:cs="Times New Roman"/>
          <w:i/>
          <w:iCs/>
        </w:rPr>
        <w:t>In vivo</w:t>
      </w:r>
      <w:r w:rsidRPr="005D55D9">
        <w:rPr>
          <w:rFonts w:ascii="Times New Roman" w:hAnsi="Times New Roman" w:cs="Times New Roman"/>
        </w:rPr>
        <w:t>, substrates are continuously delivered throughout brain tissue by the vasculature, whereas substrate delivery within 400-µm brain slices depends largely on diffusion from the surrounding aCSF.</w:t>
      </w:r>
      <w:r w:rsidR="003C49FA" w:rsidRPr="005D55D9">
        <w:rPr>
          <w:rFonts w:ascii="Times New Roman" w:hAnsi="Times New Roman" w:cs="Times New Roman"/>
        </w:rPr>
        <w:t xml:space="preserve"> Consequently, bath concentrations approximating those in circulation may provide lower substrate availability within deeper regions of the slice</w:t>
      </w:r>
      <w:r w:rsidR="008A15E0" w:rsidRPr="005D55D9">
        <w:rPr>
          <w:rFonts w:ascii="Times New Roman" w:hAnsi="Times New Roman" w:cs="Times New Roman"/>
        </w:rPr>
        <w:t xml:space="preserve"> and</w:t>
      </w:r>
      <w:r w:rsidRPr="005D55D9">
        <w:rPr>
          <w:rFonts w:ascii="Times New Roman" w:hAnsi="Times New Roman" w:cs="Times New Roman"/>
        </w:rPr>
        <w:t xml:space="preserve"> should not be interpreted as reproducing </w:t>
      </w:r>
      <w:r w:rsidRPr="005D55D9">
        <w:rPr>
          <w:rFonts w:ascii="Times New Roman" w:hAnsi="Times New Roman" w:cs="Times New Roman"/>
          <w:i/>
          <w:iCs/>
        </w:rPr>
        <w:t>in vivo</w:t>
      </w:r>
      <w:r w:rsidRPr="005D55D9">
        <w:rPr>
          <w:rFonts w:ascii="Times New Roman" w:hAnsi="Times New Roman" w:cs="Times New Roman"/>
        </w:rPr>
        <w:t xml:space="preserve"> cerebral BHB availability. The resulting data are presented in Fig. S2.</w:t>
      </w:r>
    </w:p>
    <w:p w14:paraId="446E2278" w14:textId="7A74E298" w:rsidR="00CB3676" w:rsidRPr="005D55D9" w:rsidRDefault="00AF082A" w:rsidP="008E13CE">
      <w:pPr>
        <w:pBdr>
          <w:bottom w:val="single" w:sz="6" w:space="1" w:color="auto"/>
        </w:pBdr>
        <w:spacing w:line="360" w:lineRule="auto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  <w:vertAlign w:val="superscript"/>
        </w:rPr>
        <w:t>c</w:t>
      </w:r>
      <w:r w:rsidRPr="005D55D9">
        <w:rPr>
          <w:rFonts w:ascii="Times New Roman" w:hAnsi="Times New Roman" w:cs="Times New Roman"/>
        </w:rPr>
        <w:t xml:space="preserve"> </w:t>
      </w:r>
      <w:proofErr w:type="gramStart"/>
      <w:r w:rsidR="002A729A" w:rsidRPr="005D55D9">
        <w:rPr>
          <w:rFonts w:ascii="Times New Roman" w:hAnsi="Times New Roman" w:cs="Times New Roman"/>
        </w:rPr>
        <w:t>In</w:t>
      </w:r>
      <w:proofErr w:type="gramEnd"/>
      <w:r w:rsidR="002A729A" w:rsidRPr="005D55D9">
        <w:rPr>
          <w:rFonts w:ascii="Times New Roman" w:hAnsi="Times New Roman" w:cs="Times New Roman"/>
        </w:rPr>
        <w:t xml:space="preserve"> response to reviewer comments, data assessing the glutathione redox potential in brain slices following 3-hour incubation in aCSF containing 10 mM glucose or 10 mM BHB were added to the Supplementary Material during manuscript revision.</w:t>
      </w:r>
      <w:r w:rsidR="00F93E83">
        <w:rPr>
          <w:rFonts w:ascii="Times New Roman" w:hAnsi="Times New Roman" w:cs="Times New Roman"/>
        </w:rPr>
        <w:t xml:space="preserve"> </w:t>
      </w:r>
      <w:r w:rsidR="00955DF1">
        <w:rPr>
          <w:rFonts w:ascii="Times New Roman" w:hAnsi="Times New Roman" w:cs="Times New Roman"/>
        </w:rPr>
        <w:t>Following incubation, brain slices</w:t>
      </w:r>
      <w:r w:rsidR="00CB3676" w:rsidRPr="005D55D9">
        <w:rPr>
          <w:rFonts w:ascii="Times New Roman" w:hAnsi="Times New Roman" w:cs="Times New Roman"/>
        </w:rPr>
        <w:t xml:space="preserve"> were collected in 5% perchloric acid and boric acid (0.2 M) containing γ-</w:t>
      </w:r>
      <w:proofErr w:type="spellStart"/>
      <w:r w:rsidR="00CB3676" w:rsidRPr="005D55D9">
        <w:rPr>
          <w:rFonts w:ascii="Times New Roman" w:hAnsi="Times New Roman" w:cs="Times New Roman"/>
        </w:rPr>
        <w:t>glutamylglutamate</w:t>
      </w:r>
      <w:proofErr w:type="spellEnd"/>
      <w:r w:rsidR="00CB3676" w:rsidRPr="005D55D9">
        <w:rPr>
          <w:rFonts w:ascii="Times New Roman" w:hAnsi="Times New Roman" w:cs="Times New Roman"/>
        </w:rPr>
        <w:t xml:space="preserve"> (10 </w:t>
      </w:r>
      <w:proofErr w:type="spellStart"/>
      <w:r w:rsidR="00CB3676" w:rsidRPr="005D55D9">
        <w:rPr>
          <w:rFonts w:ascii="Times New Roman" w:hAnsi="Times New Roman" w:cs="Times New Roman"/>
        </w:rPr>
        <w:t>μM</w:t>
      </w:r>
      <w:proofErr w:type="spellEnd"/>
      <w:r w:rsidR="00CB3676" w:rsidRPr="005D55D9">
        <w:rPr>
          <w:rFonts w:ascii="Times New Roman" w:hAnsi="Times New Roman" w:cs="Times New Roman"/>
        </w:rPr>
        <w:t>, Sigma-Aldrich)</w:t>
      </w:r>
      <w:r w:rsidR="001A419E">
        <w:rPr>
          <w:rFonts w:ascii="Times New Roman" w:hAnsi="Times New Roman" w:cs="Times New Roman"/>
        </w:rPr>
        <w:t xml:space="preserve"> as an internal standard</w:t>
      </w:r>
      <w:r w:rsidR="00CB3676" w:rsidRPr="005D55D9">
        <w:rPr>
          <w:rFonts w:ascii="Times New Roman" w:hAnsi="Times New Roman" w:cs="Times New Roman"/>
        </w:rPr>
        <w:t xml:space="preserve">. Intracellular concentrations of </w:t>
      </w:r>
      <w:r w:rsidR="002804CD" w:rsidRPr="005D55D9">
        <w:rPr>
          <w:rFonts w:ascii="Times New Roman" w:hAnsi="Times New Roman" w:cs="Times New Roman"/>
        </w:rPr>
        <w:t xml:space="preserve">glutathione </w:t>
      </w:r>
      <w:r w:rsidR="002804CD">
        <w:rPr>
          <w:rFonts w:ascii="Times New Roman" w:hAnsi="Times New Roman" w:cs="Times New Roman"/>
        </w:rPr>
        <w:t>(</w:t>
      </w:r>
      <w:r w:rsidR="00CB3676" w:rsidRPr="005D55D9">
        <w:rPr>
          <w:rFonts w:ascii="Times New Roman" w:hAnsi="Times New Roman" w:cs="Times New Roman"/>
        </w:rPr>
        <w:t>GSH</w:t>
      </w:r>
      <w:r w:rsidR="002804CD">
        <w:rPr>
          <w:rFonts w:ascii="Times New Roman" w:hAnsi="Times New Roman" w:cs="Times New Roman"/>
        </w:rPr>
        <w:t>)</w:t>
      </w:r>
      <w:r w:rsidR="00CB3676" w:rsidRPr="005D55D9">
        <w:rPr>
          <w:rFonts w:ascii="Times New Roman" w:hAnsi="Times New Roman" w:cs="Times New Roman"/>
        </w:rPr>
        <w:t xml:space="preserve"> and its oxidized form, glutathione disulfide (GSSG), were measured by reverse-phase high-performance liquid chromatography as S-carboxymethyl, N-</w:t>
      </w:r>
      <w:proofErr w:type="spellStart"/>
      <w:r w:rsidR="00CB3676" w:rsidRPr="005D55D9">
        <w:rPr>
          <w:rFonts w:ascii="Times New Roman" w:hAnsi="Times New Roman" w:cs="Times New Roman"/>
        </w:rPr>
        <w:t>dansyl</w:t>
      </w:r>
      <w:proofErr w:type="spellEnd"/>
      <w:r w:rsidR="00CB3676" w:rsidRPr="005D55D9">
        <w:rPr>
          <w:rFonts w:ascii="Times New Roman" w:hAnsi="Times New Roman" w:cs="Times New Roman"/>
        </w:rPr>
        <w:t xml:space="preserve"> derivatives using γ-</w:t>
      </w:r>
      <w:proofErr w:type="spellStart"/>
      <w:r w:rsidR="00CB3676" w:rsidRPr="005D55D9">
        <w:rPr>
          <w:rFonts w:ascii="Times New Roman" w:hAnsi="Times New Roman" w:cs="Times New Roman"/>
        </w:rPr>
        <w:t>glutamylglutamate</w:t>
      </w:r>
      <w:proofErr w:type="spellEnd"/>
      <w:r w:rsidR="00CB3676" w:rsidRPr="005D55D9">
        <w:rPr>
          <w:rFonts w:ascii="Times New Roman" w:hAnsi="Times New Roman" w:cs="Times New Roman"/>
        </w:rPr>
        <w:t xml:space="preserve"> for </w:t>
      </w:r>
      <w:r w:rsidR="00CB3676" w:rsidRPr="005D55D9">
        <w:rPr>
          <w:rFonts w:ascii="Times New Roman" w:hAnsi="Times New Roman" w:cs="Times New Roman"/>
        </w:rPr>
        <w:lastRenderedPageBreak/>
        <w:t>normalization</w:t>
      </w:r>
      <w:r w:rsidR="001A419E">
        <w:rPr>
          <w:rFonts w:ascii="Times New Roman" w:hAnsi="Times New Roman" w:cs="Times New Roman"/>
        </w:rPr>
        <w:t>,</w:t>
      </w:r>
      <w:r w:rsidR="00CB3676" w:rsidRPr="005D55D9">
        <w:rPr>
          <w:rFonts w:ascii="Times New Roman" w:hAnsi="Times New Roman" w:cs="Times New Roman"/>
        </w:rPr>
        <w:t xml:space="preserve"> as described previously</w:t>
      </w:r>
      <w:r w:rsidR="00471DA5">
        <w:rPr>
          <w:rFonts w:ascii="Times New Roman" w:hAnsi="Times New Roman" w:cs="Times New Roman"/>
        </w:rPr>
        <w:t xml:space="preserve"> </w:t>
      </w:r>
      <w:r w:rsidR="00471DA5">
        <w:rPr>
          <w:rFonts w:ascii="Times New Roman" w:hAnsi="Times New Roman" w:cs="Times New Roman"/>
        </w:rPr>
        <w:fldChar w:fldCharType="begin"/>
      </w:r>
      <w:r w:rsidR="00471DA5">
        <w:rPr>
          <w:rFonts w:ascii="Times New Roman" w:hAnsi="Times New Roman" w:cs="Times New Roman"/>
        </w:rPr>
        <w:instrText xml:space="preserve"> ADDIN EN.CITE &lt;EndNote&gt;&lt;Cite&gt;&lt;Author&gt;Jones&lt;/Author&gt;&lt;Year&gt;1998&lt;/Year&gt;&lt;RecNum&gt;576&lt;/RecNum&gt;&lt;DisplayText&gt;(Jones et al. 1998)&lt;/DisplayText&gt;&lt;record&gt;&lt;rec-number&gt;576&lt;/rec-number&gt;&lt;foreign-keys&gt;&lt;key app="EN" db-id="td92arspytwrx2ee9pevews8rsfvvf2fr00d" timestamp="1789419774"&gt;576&lt;/key&gt;&lt;/foreign-keys&gt;&lt;ref-type name="Journal Article"&gt;17&lt;/ref-type&gt;&lt;contributors&gt;&lt;authors&gt;&lt;author&gt;Jones, Dean P.&lt;/author&gt;&lt;author&gt;Carlson, Joanne L.&lt;/author&gt;&lt;author&gt;Samiec, Paula S.&lt;/author&gt;&lt;author&gt;Sternberg, Paul&lt;/author&gt;&lt;author&gt;Mody, Vino C.&lt;/author&gt;&lt;author&gt;Reed, Robyn L.&lt;/author&gt;&lt;author&gt;Brown, Lou Ann S.&lt;/author&gt;&lt;/authors&gt;&lt;/contributors&gt;&lt;titles&gt;&lt;title&gt;Glutathione measurement in human plasma: Evaluation of sample collection, storage and derivatization conditions for analysis of dansyl derivatives by HPLC&lt;/title&gt;&lt;secondary-title&gt;Clinica Chimica Acta&lt;/secondary-title&gt;&lt;/titles&gt;&lt;periodical&gt;&lt;full-title&gt;Clinica Chimica Acta&lt;/full-title&gt;&lt;/periodical&gt;&lt;pages&gt;175-184&lt;/pages&gt;&lt;volume&gt;275&lt;/volume&gt;&lt;number&gt;2&lt;/number&gt;&lt;keywords&gt;&lt;keyword&gt;Glutathione&lt;/keyword&gt;&lt;keyword&gt;Plasma&lt;/keyword&gt;&lt;keyword&gt;HPLC&lt;/keyword&gt;&lt;keyword&gt;Fluorescence detection&lt;/keyword&gt;&lt;keyword&gt;Antioxidants&lt;/keyword&gt;&lt;/keywords&gt;&lt;dates&gt;&lt;year&gt;1998&lt;/year&gt;&lt;pub-dates&gt;&lt;date&gt;1998/07/28/&lt;/date&gt;&lt;/pub-dates&gt;&lt;/dates&gt;&lt;isbn&gt;0009-8981&lt;/isbn&gt;&lt;urls&gt;&lt;related-urls&gt;&lt;url&gt;https://www.sciencedirect.com/science/article/pii/S0009898198000898&lt;/url&gt;&lt;/related-urls&gt;&lt;/urls&gt;&lt;electronic-resource-num&gt;https://doi.org/10.1016/S0009-8981(98)00089-8&lt;/electronic-resource-num&gt;&lt;/record&gt;&lt;/Cite&gt;&lt;/EndNote&gt;</w:instrText>
      </w:r>
      <w:r w:rsidR="00471DA5">
        <w:rPr>
          <w:rFonts w:ascii="Times New Roman" w:hAnsi="Times New Roman" w:cs="Times New Roman"/>
        </w:rPr>
        <w:fldChar w:fldCharType="separate"/>
      </w:r>
      <w:r w:rsidR="00471DA5">
        <w:rPr>
          <w:rFonts w:ascii="Times New Roman" w:hAnsi="Times New Roman" w:cs="Times New Roman"/>
          <w:noProof/>
        </w:rPr>
        <w:t>(Jones et al. 1998)</w:t>
      </w:r>
      <w:r w:rsidR="00471DA5">
        <w:rPr>
          <w:rFonts w:ascii="Times New Roman" w:hAnsi="Times New Roman" w:cs="Times New Roman"/>
        </w:rPr>
        <w:fldChar w:fldCharType="end"/>
      </w:r>
      <w:r w:rsidR="00CB3676" w:rsidRPr="005D55D9">
        <w:rPr>
          <w:rFonts w:ascii="Times New Roman" w:hAnsi="Times New Roman" w:cs="Times New Roman"/>
        </w:rPr>
        <w:t>. Proteins were acid precipitated</w:t>
      </w:r>
      <w:r w:rsidR="00C26A83">
        <w:rPr>
          <w:rFonts w:ascii="Times New Roman" w:hAnsi="Times New Roman" w:cs="Times New Roman"/>
        </w:rPr>
        <w:t>,</w:t>
      </w:r>
      <w:r w:rsidR="00CB3676" w:rsidRPr="005D55D9">
        <w:rPr>
          <w:rFonts w:ascii="Times New Roman" w:hAnsi="Times New Roman" w:cs="Times New Roman"/>
        </w:rPr>
        <w:t xml:space="preserve"> and the samples were centrifuged at 16,000</w:t>
      </w:r>
      <w:r w:rsidR="00442CFD">
        <w:rPr>
          <w:rFonts w:ascii="Times New Roman" w:hAnsi="Times New Roman" w:cs="Times New Roman"/>
        </w:rPr>
        <w:t xml:space="preserve"> </w:t>
      </w:r>
      <w:r w:rsidR="00CB3676" w:rsidRPr="005D55D9">
        <w:rPr>
          <w:rFonts w:ascii="Times New Roman" w:hAnsi="Times New Roman" w:cs="Times New Roman"/>
        </w:rPr>
        <w:t>×</w:t>
      </w:r>
      <w:r w:rsidR="00442CFD">
        <w:rPr>
          <w:rFonts w:ascii="Times New Roman" w:hAnsi="Times New Roman" w:cs="Times New Roman"/>
        </w:rPr>
        <w:t xml:space="preserve"> </w:t>
      </w:r>
      <w:r w:rsidR="00CB3676" w:rsidRPr="00442CFD">
        <w:rPr>
          <w:rFonts w:ascii="Times New Roman" w:hAnsi="Times New Roman" w:cs="Times New Roman"/>
          <w:i/>
          <w:iCs/>
        </w:rPr>
        <w:t>g</w:t>
      </w:r>
      <w:r w:rsidR="00CB3676" w:rsidRPr="005D55D9">
        <w:rPr>
          <w:rFonts w:ascii="Times New Roman" w:hAnsi="Times New Roman" w:cs="Times New Roman"/>
        </w:rPr>
        <w:t xml:space="preserve"> for 5 min, after which the soluble fractions were derivatized. Samples were analyzed using an e2695 Separations Module (Waters) fitted with a </w:t>
      </w:r>
      <w:proofErr w:type="spellStart"/>
      <w:r w:rsidR="00CB3676" w:rsidRPr="005D55D9">
        <w:rPr>
          <w:rFonts w:ascii="Times New Roman" w:hAnsi="Times New Roman" w:cs="Times New Roman"/>
        </w:rPr>
        <w:t>Supelcosil</w:t>
      </w:r>
      <w:proofErr w:type="spellEnd"/>
      <w:r w:rsidR="00CB3676" w:rsidRPr="005D55D9">
        <w:rPr>
          <w:rFonts w:ascii="Times New Roman" w:hAnsi="Times New Roman" w:cs="Times New Roman"/>
        </w:rPr>
        <w:t xml:space="preserve"> LC-NH2 5 </w:t>
      </w:r>
      <w:proofErr w:type="spellStart"/>
      <w:r w:rsidR="00CB3676" w:rsidRPr="005D55D9">
        <w:rPr>
          <w:rFonts w:ascii="Times New Roman" w:hAnsi="Times New Roman" w:cs="Times New Roman"/>
        </w:rPr>
        <w:t>μm</w:t>
      </w:r>
      <w:proofErr w:type="spellEnd"/>
      <w:r w:rsidR="00CB3676" w:rsidRPr="005D55D9">
        <w:rPr>
          <w:rFonts w:ascii="Times New Roman" w:hAnsi="Times New Roman" w:cs="Times New Roman"/>
        </w:rPr>
        <w:t xml:space="preserve"> column (Sigma-Aldrich)</w:t>
      </w:r>
      <w:r w:rsidR="00442CFD">
        <w:rPr>
          <w:rFonts w:ascii="Times New Roman" w:hAnsi="Times New Roman" w:cs="Times New Roman"/>
        </w:rPr>
        <w:t>,</w:t>
      </w:r>
      <w:r w:rsidR="00CB3676" w:rsidRPr="005D55D9">
        <w:rPr>
          <w:rFonts w:ascii="Times New Roman" w:hAnsi="Times New Roman" w:cs="Times New Roman"/>
        </w:rPr>
        <w:t xml:space="preserve"> and </w:t>
      </w:r>
      <w:r w:rsidR="00637C93">
        <w:rPr>
          <w:rFonts w:ascii="Times New Roman" w:hAnsi="Times New Roman" w:cs="Times New Roman"/>
        </w:rPr>
        <w:t xml:space="preserve">peaks were </w:t>
      </w:r>
      <w:r w:rsidR="00CB3676" w:rsidRPr="005D55D9">
        <w:rPr>
          <w:rFonts w:ascii="Times New Roman" w:hAnsi="Times New Roman" w:cs="Times New Roman"/>
        </w:rPr>
        <w:t>detect</w:t>
      </w:r>
      <w:r w:rsidR="00637C93">
        <w:rPr>
          <w:rFonts w:ascii="Times New Roman" w:hAnsi="Times New Roman" w:cs="Times New Roman"/>
        </w:rPr>
        <w:t xml:space="preserve">ed </w:t>
      </w:r>
      <w:r w:rsidR="00CB3676" w:rsidRPr="005D55D9">
        <w:rPr>
          <w:rFonts w:ascii="Times New Roman" w:hAnsi="Times New Roman" w:cs="Times New Roman"/>
        </w:rPr>
        <w:t>using a 2474 FLR Detector (Waters) with excitation at 335 nm and emission at 518 nm. The GS</w:t>
      </w:r>
      <w:r w:rsidR="007D6A86">
        <w:rPr>
          <w:rFonts w:ascii="Times New Roman" w:hAnsi="Times New Roman" w:cs="Times New Roman"/>
        </w:rPr>
        <w:t>SG</w:t>
      </w:r>
      <w:r w:rsidR="00CB3676" w:rsidRPr="005D55D9">
        <w:rPr>
          <w:rFonts w:ascii="Times New Roman" w:hAnsi="Times New Roman" w:cs="Times New Roman"/>
        </w:rPr>
        <w:t>/GS</w:t>
      </w:r>
      <w:r w:rsidR="007D6A86">
        <w:rPr>
          <w:rFonts w:ascii="Times New Roman" w:hAnsi="Times New Roman" w:cs="Times New Roman"/>
        </w:rPr>
        <w:t>H</w:t>
      </w:r>
      <w:r w:rsidR="00CB3676" w:rsidRPr="005D55D9">
        <w:rPr>
          <w:rFonts w:ascii="Times New Roman" w:hAnsi="Times New Roman" w:cs="Times New Roman"/>
        </w:rPr>
        <w:t xml:space="preserve"> redox potential (Eh) was calculated</w:t>
      </w:r>
      <w:r w:rsidR="00E75350">
        <w:rPr>
          <w:rFonts w:ascii="Times New Roman" w:hAnsi="Times New Roman" w:cs="Times New Roman"/>
        </w:rPr>
        <w:t xml:space="preserve"> from </w:t>
      </w:r>
      <w:r w:rsidR="00E75350" w:rsidRPr="005D55D9">
        <w:rPr>
          <w:rFonts w:ascii="Times New Roman" w:hAnsi="Times New Roman" w:cs="Times New Roman"/>
        </w:rPr>
        <w:t>GSH and GSSG concentrations</w:t>
      </w:r>
      <w:r w:rsidR="00CB3676" w:rsidRPr="005D55D9">
        <w:rPr>
          <w:rFonts w:ascii="Times New Roman" w:hAnsi="Times New Roman" w:cs="Times New Roman"/>
        </w:rPr>
        <w:t xml:space="preserve"> </w:t>
      </w:r>
      <w:r w:rsidR="00065FE2">
        <w:rPr>
          <w:rFonts w:ascii="Times New Roman" w:hAnsi="Times New Roman" w:cs="Times New Roman"/>
        </w:rPr>
        <w:t>using</w:t>
      </w:r>
      <w:r w:rsidR="00CB3676" w:rsidRPr="005D55D9">
        <w:rPr>
          <w:rFonts w:ascii="Times New Roman" w:hAnsi="Times New Roman" w:cs="Times New Roman"/>
        </w:rPr>
        <w:t xml:space="preserve"> the Nernst equation</w:t>
      </w:r>
      <w:r w:rsidR="009B1DE4" w:rsidRPr="005D55D9">
        <w:rPr>
          <w:rFonts w:ascii="Times New Roman" w:hAnsi="Times New Roman" w:cs="Times New Roman"/>
        </w:rPr>
        <w:t xml:space="preserve"> </w:t>
      </w:r>
      <w:r w:rsidR="00F643F6">
        <w:rPr>
          <w:rFonts w:ascii="Times New Roman" w:hAnsi="Times New Roman" w:cs="Times New Roman"/>
        </w:rPr>
        <w:fldChar w:fldCharType="begin"/>
      </w:r>
      <w:r w:rsidR="00F643F6">
        <w:rPr>
          <w:rFonts w:ascii="Times New Roman" w:hAnsi="Times New Roman" w:cs="Times New Roman"/>
        </w:rPr>
        <w:instrText xml:space="preserve"> ADDIN EN.CITE &lt;EndNote&gt;&lt;Cite&gt;&lt;Author&gt;Harris&lt;/Author&gt;&lt;Year&gt;2012&lt;/Year&gt;&lt;RecNum&gt;578&lt;/RecNum&gt;&lt;DisplayText&gt;(Harris and Hansen 2012)&lt;/DisplayText&gt;&lt;record&gt;&lt;rec-number&gt;578&lt;/rec-number&gt;&lt;foreign-keys&gt;&lt;key app="EN" db-id="td92arspytwrx2ee9pevews8rsfvvf2fr00d" timestamp="1789742134"&gt;578&lt;/key&gt;&lt;/foreign-keys&gt;&lt;ref-type name="Book Section"&gt;5&lt;/ref-type&gt;&lt;contributors&gt;&lt;authors&gt;&lt;author&gt;Harris, Craig&lt;/author&gt;&lt;author&gt;Hansen, Jason M.&lt;/author&gt;&lt;/authors&gt;&lt;secondary-authors&gt;&lt;author&gt;Harris, Craig&lt;/author&gt;&lt;author&gt;Hansen, Jason M.&lt;/author&gt;&lt;/secondary-authors&gt;&lt;/contributors&gt;&lt;titles&gt;&lt;title&gt;Oxidative Stress, Thiols, and Redox Profiles&lt;/title&gt;&lt;secondary-title&gt;Developmental Toxicology: Methods and Protocols&lt;/secondary-title&gt;&lt;/titles&gt;&lt;pages&gt;325-346&lt;/pages&gt;&lt;dates&gt;&lt;year&gt;2012&lt;/year&gt;&lt;pub-dates&gt;&lt;date&gt;2012//&lt;/date&gt;&lt;/pub-dates&gt;&lt;/dates&gt;&lt;pub-location&gt;Totowa, NJ&lt;/pub-location&gt;&lt;publisher&gt;Humana Press&lt;/publisher&gt;&lt;isbn&gt;978-1-61779-867-2&lt;/isbn&gt;&lt;urls&gt;&lt;related-urls&gt;&lt;url&gt;https://doi.org/10.1007/978-1-61779-867-2_21&lt;/url&gt;&lt;/related-urls&gt;&lt;/urls&gt;&lt;electronic-resource-num&gt;10.1007/978-1-61779-867-2_21&lt;/electronic-resource-num&gt;&lt;/record&gt;&lt;/Cite&gt;&lt;/EndNote&gt;</w:instrText>
      </w:r>
      <w:r w:rsidR="00F643F6">
        <w:rPr>
          <w:rFonts w:ascii="Times New Roman" w:hAnsi="Times New Roman" w:cs="Times New Roman"/>
        </w:rPr>
        <w:fldChar w:fldCharType="separate"/>
      </w:r>
      <w:r w:rsidR="00F643F6">
        <w:rPr>
          <w:rFonts w:ascii="Times New Roman" w:hAnsi="Times New Roman" w:cs="Times New Roman"/>
          <w:noProof/>
        </w:rPr>
        <w:t>(Harris and Hansen 2012)</w:t>
      </w:r>
      <w:r w:rsidR="00F643F6">
        <w:rPr>
          <w:rFonts w:ascii="Times New Roman" w:hAnsi="Times New Roman" w:cs="Times New Roman"/>
        </w:rPr>
        <w:fldChar w:fldCharType="end"/>
      </w:r>
      <w:r w:rsidR="00CB3676" w:rsidRPr="005D55D9">
        <w:rPr>
          <w:rFonts w:ascii="Times New Roman" w:hAnsi="Times New Roman" w:cs="Times New Roman"/>
        </w:rPr>
        <w:t>.</w:t>
      </w:r>
      <w:r w:rsidR="005703AB">
        <w:rPr>
          <w:rFonts w:ascii="Times New Roman" w:hAnsi="Times New Roman" w:cs="Times New Roman"/>
        </w:rPr>
        <w:t xml:space="preserve"> </w:t>
      </w:r>
      <w:proofErr w:type="gramStart"/>
      <w:r w:rsidR="005703AB" w:rsidRPr="005D55D9">
        <w:rPr>
          <w:rFonts w:ascii="Times New Roman" w:hAnsi="Times New Roman" w:cs="Times New Roman"/>
        </w:rPr>
        <w:t>No</w:t>
      </w:r>
      <w:proofErr w:type="gramEnd"/>
      <w:r w:rsidR="005703AB" w:rsidRPr="005D55D9">
        <w:rPr>
          <w:rFonts w:ascii="Times New Roman" w:hAnsi="Times New Roman" w:cs="Times New Roman"/>
        </w:rPr>
        <w:t xml:space="preserve"> statistically detectable difference in </w:t>
      </w:r>
      <w:r w:rsidR="005703AB" w:rsidRPr="005D55D9">
        <w:rPr>
          <w:rFonts w:ascii="Times New Roman" w:hAnsi="Times New Roman" w:cs="Times New Roman"/>
          <w:i/>
          <w:iCs/>
        </w:rPr>
        <w:t>E</w:t>
      </w:r>
      <w:r w:rsidR="005703AB" w:rsidRPr="005D55D9">
        <w:rPr>
          <w:rFonts w:ascii="Times New Roman" w:hAnsi="Times New Roman" w:cs="Times New Roman"/>
          <w:i/>
          <w:iCs/>
          <w:vertAlign w:val="subscript"/>
        </w:rPr>
        <w:t>h</w:t>
      </w:r>
      <w:r w:rsidR="005703AB" w:rsidRPr="005D55D9">
        <w:rPr>
          <w:rFonts w:ascii="Times New Roman" w:hAnsi="Times New Roman" w:cs="Times New Roman"/>
        </w:rPr>
        <w:t>(</w:t>
      </w:r>
      <w:r w:rsidR="004F5319">
        <w:rPr>
          <w:rFonts w:ascii="Times New Roman" w:hAnsi="Times New Roman" w:cs="Times New Roman"/>
        </w:rPr>
        <w:t>GS</w:t>
      </w:r>
      <w:r w:rsidR="007D6A86">
        <w:rPr>
          <w:rFonts w:ascii="Times New Roman" w:hAnsi="Times New Roman" w:cs="Times New Roman"/>
        </w:rPr>
        <w:t>SG</w:t>
      </w:r>
      <w:r w:rsidR="005703AB" w:rsidRPr="005D55D9">
        <w:rPr>
          <w:rFonts w:ascii="Times New Roman" w:hAnsi="Times New Roman" w:cs="Times New Roman"/>
        </w:rPr>
        <w:t>/GS</w:t>
      </w:r>
      <w:r w:rsidR="007D6A86">
        <w:rPr>
          <w:rFonts w:ascii="Times New Roman" w:hAnsi="Times New Roman" w:cs="Times New Roman"/>
        </w:rPr>
        <w:t>H</w:t>
      </w:r>
      <w:r w:rsidR="005703AB" w:rsidRPr="005D55D9">
        <w:rPr>
          <w:rFonts w:ascii="Times New Roman" w:hAnsi="Times New Roman" w:cs="Times New Roman"/>
        </w:rPr>
        <w:t>) was observed between glucose- and BHB-incubated tissue under the conditions tested (Fig. S3). This finding does not establish equivalent redox homeostasis between conditions or exclude oxidative stress through other mechanisms.</w:t>
      </w:r>
    </w:p>
    <w:p w14:paraId="6FC6AF66" w14:textId="77777777" w:rsidR="00CB3676" w:rsidRPr="005D55D9" w:rsidRDefault="00CB3676" w:rsidP="008E13CE">
      <w:pPr>
        <w:pBdr>
          <w:bottom w:val="single" w:sz="6" w:space="1" w:color="auto"/>
        </w:pBdr>
        <w:spacing w:line="360" w:lineRule="auto"/>
        <w:rPr>
          <w:rFonts w:ascii="Times New Roman" w:hAnsi="Times New Roman" w:cs="Times New Roman"/>
        </w:rPr>
      </w:pPr>
    </w:p>
    <w:p w14:paraId="51DE0613" w14:textId="77777777" w:rsidR="002A6A8C" w:rsidRPr="005D55D9" w:rsidRDefault="002A6A8C" w:rsidP="008E13CE">
      <w:pPr>
        <w:spacing w:line="360" w:lineRule="auto"/>
        <w:rPr>
          <w:rFonts w:ascii="Times New Roman" w:hAnsi="Times New Roman" w:cs="Times New Roman"/>
        </w:rPr>
      </w:pPr>
    </w:p>
    <w:p w14:paraId="164B48AC" w14:textId="77777777" w:rsidR="00BF7C7D" w:rsidRPr="005D55D9" w:rsidRDefault="00BF7C7D" w:rsidP="008E13CE">
      <w:pPr>
        <w:spacing w:line="360" w:lineRule="auto"/>
        <w:rPr>
          <w:rFonts w:ascii="Times New Roman" w:hAnsi="Times New Roman" w:cs="Times New Roman"/>
          <w:noProof/>
        </w:rPr>
      </w:pPr>
      <w:r w:rsidRPr="005D55D9">
        <w:rPr>
          <w:rFonts w:ascii="Times New Roman" w:hAnsi="Times New Roman" w:cs="Times New Roman"/>
          <w:noProof/>
        </w:rPr>
        <w:br w:type="page"/>
      </w:r>
    </w:p>
    <w:p w14:paraId="2D84E686" w14:textId="7A79C03F" w:rsidR="00B92BCB" w:rsidRPr="005D55D9" w:rsidRDefault="00DE3393" w:rsidP="00DE3393">
      <w:pPr>
        <w:spacing w:line="360" w:lineRule="auto"/>
        <w:jc w:val="center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BD11AC3" wp14:editId="12429F26">
            <wp:extent cx="5943600" cy="1668145"/>
            <wp:effectExtent l="0" t="0" r="0" b="0"/>
            <wp:docPr id="385548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54860" name="Picture 3855486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164F6" w14:textId="2C2967F7" w:rsidR="00781964" w:rsidRPr="005D55D9" w:rsidRDefault="00781964" w:rsidP="00227692">
      <w:pPr>
        <w:spacing w:line="360" w:lineRule="auto"/>
        <w:rPr>
          <w:rFonts w:ascii="Times New Roman" w:eastAsia="Times New Roman" w:hAnsi="Times New Roman" w:cs="Times New Roman"/>
        </w:rPr>
      </w:pPr>
      <w:r w:rsidRPr="005D55D9">
        <w:rPr>
          <w:rFonts w:ascii="Times New Roman" w:hAnsi="Times New Roman" w:cs="Times New Roman"/>
          <w:b/>
          <w:bCs/>
        </w:rPr>
        <w:t>Fig. S1</w:t>
      </w:r>
      <w:r w:rsidR="009279B6" w:rsidRPr="005D55D9">
        <w:rPr>
          <w:rFonts w:ascii="Times New Roman" w:hAnsi="Times New Roman" w:cs="Times New Roman"/>
          <w:b/>
          <w:bCs/>
        </w:rPr>
        <w:t xml:space="preserve"> </w:t>
      </w:r>
      <w:r w:rsidR="00B37B55" w:rsidRPr="005D55D9">
        <w:rPr>
          <w:rFonts w:ascii="Times New Roman" w:eastAsia="Times New Roman" w:hAnsi="Times New Roman" w:cs="Times New Roman"/>
        </w:rPr>
        <w:t>Mitochondrial oxygen flux (</w:t>
      </w:r>
      <w:r w:rsidR="00B37B55" w:rsidRPr="005D55D9">
        <w:rPr>
          <w:rFonts w:ascii="Times New Roman" w:eastAsia="Times New Roman" w:hAnsi="Times New Roman" w:cs="Times New Roman"/>
          <w:i/>
          <w:iCs/>
        </w:rPr>
        <w:t>J</w:t>
      </w:r>
      <w:r w:rsidR="00B37B55" w:rsidRPr="005D55D9">
        <w:rPr>
          <w:rFonts w:ascii="Times New Roman" w:eastAsia="Times New Roman" w:hAnsi="Times New Roman" w:cs="Times New Roman"/>
          <w:vertAlign w:val="subscript"/>
        </w:rPr>
        <w:t>O2</w:t>
      </w:r>
      <w:r w:rsidR="00D45843" w:rsidRPr="005D55D9">
        <w:rPr>
          <w:rFonts w:ascii="Times New Roman" w:eastAsia="Times New Roman" w:hAnsi="Times New Roman" w:cs="Times New Roman"/>
        </w:rPr>
        <w:t>;</w:t>
      </w:r>
      <w:r w:rsidR="00783303" w:rsidRPr="005D55D9">
        <w:rPr>
          <w:rFonts w:ascii="Times New Roman" w:eastAsia="Times New Roman" w:hAnsi="Times New Roman" w:cs="Times New Roman"/>
        </w:rPr>
        <w:t xml:space="preserve"> pmol·s</w:t>
      </w:r>
      <w:r w:rsidR="00783303" w:rsidRPr="005D55D9">
        <w:rPr>
          <w:rFonts w:ascii="Times New Roman" w:eastAsia="Times New Roman" w:hAnsi="Times New Roman" w:cs="Times New Roman"/>
          <w:vertAlign w:val="superscript"/>
        </w:rPr>
        <w:t>-1</w:t>
      </w:r>
      <w:r w:rsidR="00783303" w:rsidRPr="005D55D9">
        <w:rPr>
          <w:rFonts w:ascii="Times New Roman" w:eastAsia="Times New Roman" w:hAnsi="Times New Roman" w:cs="Times New Roman"/>
        </w:rPr>
        <w:t>·mg</w:t>
      </w:r>
      <w:r w:rsidR="00783303" w:rsidRPr="005D55D9">
        <w:rPr>
          <w:rFonts w:ascii="Times New Roman" w:eastAsia="Times New Roman" w:hAnsi="Times New Roman" w:cs="Times New Roman"/>
          <w:vertAlign w:val="superscript"/>
        </w:rPr>
        <w:t>-1</w:t>
      </w:r>
      <w:r w:rsidR="00B37B55" w:rsidRPr="005D55D9">
        <w:rPr>
          <w:rFonts w:ascii="Times New Roman" w:eastAsia="Times New Roman" w:hAnsi="Times New Roman" w:cs="Times New Roman"/>
        </w:rPr>
        <w:t xml:space="preserve">) in mouse neocortex following 4-hour incubation </w:t>
      </w:r>
      <w:r w:rsidR="009F4DB8" w:rsidRPr="005D55D9">
        <w:rPr>
          <w:rFonts w:ascii="Times New Roman" w:eastAsia="Times New Roman" w:hAnsi="Times New Roman" w:cs="Times New Roman"/>
        </w:rPr>
        <w:t>with</w:t>
      </w:r>
      <w:r w:rsidR="00B37B55" w:rsidRPr="005D55D9">
        <w:rPr>
          <w:rFonts w:ascii="Times New Roman" w:eastAsia="Times New Roman" w:hAnsi="Times New Roman" w:cs="Times New Roman"/>
        </w:rPr>
        <w:t xml:space="preserve"> 10 mM </w:t>
      </w:r>
      <w:r w:rsidR="00FF26E3" w:rsidRPr="005D55D9">
        <w:rPr>
          <w:rFonts w:ascii="Times New Roman" w:eastAsia="Times New Roman" w:hAnsi="Times New Roman" w:cs="Times New Roman"/>
        </w:rPr>
        <w:t>glucose (</w:t>
      </w:r>
      <w:proofErr w:type="spellStart"/>
      <w:r w:rsidR="00FF26E3" w:rsidRPr="005D55D9">
        <w:rPr>
          <w:rFonts w:ascii="Times New Roman" w:eastAsia="Times New Roman" w:hAnsi="Times New Roman" w:cs="Times New Roman"/>
        </w:rPr>
        <w:t>Glc</w:t>
      </w:r>
      <w:proofErr w:type="spellEnd"/>
      <w:r w:rsidR="00FF26E3" w:rsidRPr="005D55D9">
        <w:rPr>
          <w:rFonts w:ascii="Times New Roman" w:eastAsia="Times New Roman" w:hAnsi="Times New Roman" w:cs="Times New Roman"/>
        </w:rPr>
        <w:t xml:space="preserve">), 10 mM </w:t>
      </w:r>
      <w:r w:rsidR="00402202" w:rsidRPr="005D55D9">
        <w:rPr>
          <w:rFonts w:ascii="Times New Roman" w:eastAsia="Times New Roman" w:hAnsi="Times New Roman" w:cs="Times New Roman"/>
        </w:rPr>
        <w:t xml:space="preserve">β-hydroxybutyrate (BHB), </w:t>
      </w:r>
      <w:r w:rsidR="009F4DB8" w:rsidRPr="005D55D9">
        <w:rPr>
          <w:rFonts w:ascii="Times New Roman" w:eastAsia="Times New Roman" w:hAnsi="Times New Roman" w:cs="Times New Roman"/>
        </w:rPr>
        <w:t>or</w:t>
      </w:r>
      <w:r w:rsidR="00402202" w:rsidRPr="005D55D9">
        <w:rPr>
          <w:rFonts w:ascii="Times New Roman" w:eastAsia="Times New Roman" w:hAnsi="Times New Roman" w:cs="Times New Roman"/>
        </w:rPr>
        <w:t xml:space="preserve"> 10 mM sucrose (</w:t>
      </w:r>
      <w:proofErr w:type="spellStart"/>
      <w:r w:rsidR="00402202" w:rsidRPr="005D55D9">
        <w:rPr>
          <w:rFonts w:ascii="Times New Roman" w:eastAsia="Times New Roman" w:hAnsi="Times New Roman" w:cs="Times New Roman"/>
        </w:rPr>
        <w:t>Suc</w:t>
      </w:r>
      <w:proofErr w:type="spellEnd"/>
      <w:r w:rsidR="00402202" w:rsidRPr="005D55D9">
        <w:rPr>
          <w:rFonts w:ascii="Times New Roman" w:eastAsia="Times New Roman" w:hAnsi="Times New Roman" w:cs="Times New Roman"/>
        </w:rPr>
        <w:t xml:space="preserve">; </w:t>
      </w:r>
      <w:r w:rsidR="004B2C92" w:rsidRPr="005D55D9">
        <w:rPr>
          <w:rFonts w:ascii="Times New Roman" w:eastAsia="Times New Roman" w:hAnsi="Times New Roman" w:cs="Times New Roman"/>
        </w:rPr>
        <w:t>no-exogenous-fuel condition</w:t>
      </w:r>
      <w:r w:rsidR="00402202" w:rsidRPr="005D55D9">
        <w:rPr>
          <w:rFonts w:ascii="Times New Roman" w:eastAsia="Times New Roman" w:hAnsi="Times New Roman" w:cs="Times New Roman"/>
        </w:rPr>
        <w:t>)</w:t>
      </w:r>
      <w:r w:rsidR="009F4DB8" w:rsidRPr="005D55D9">
        <w:rPr>
          <w:rFonts w:ascii="Times New Roman" w:eastAsia="Times New Roman" w:hAnsi="Times New Roman" w:cs="Times New Roman"/>
        </w:rPr>
        <w:t>.</w:t>
      </w:r>
      <w:r w:rsidR="009279B6" w:rsidRPr="005D55D9">
        <w:rPr>
          <w:rFonts w:ascii="Times New Roman" w:eastAsia="Times New Roman" w:hAnsi="Times New Roman" w:cs="Times New Roman"/>
        </w:rPr>
        <w:t xml:space="preserve"> </w:t>
      </w:r>
      <w:r w:rsidR="00A52E9A" w:rsidRPr="005D55D9">
        <w:rPr>
          <w:rFonts w:ascii="Times New Roman" w:eastAsia="Times New Roman" w:hAnsi="Times New Roman" w:cs="Times New Roman"/>
        </w:rPr>
        <w:t xml:space="preserve">(a) Complex I-linked LEAK respiration, representing non-phosphorylating </w:t>
      </w:r>
      <w:r w:rsidR="00A52E9A" w:rsidRPr="005D55D9">
        <w:rPr>
          <w:rFonts w:ascii="Times New Roman" w:eastAsia="Times New Roman" w:hAnsi="Times New Roman" w:cs="Times New Roman"/>
          <w:i/>
          <w:iCs/>
        </w:rPr>
        <w:t>J</w:t>
      </w:r>
      <w:r w:rsidR="00A52E9A" w:rsidRPr="005D55D9">
        <w:rPr>
          <w:rFonts w:ascii="Times New Roman" w:eastAsia="Times New Roman" w:hAnsi="Times New Roman" w:cs="Times New Roman"/>
          <w:vertAlign w:val="subscript"/>
        </w:rPr>
        <w:t>O2</w:t>
      </w:r>
      <w:r w:rsidR="00A52E9A" w:rsidRPr="005D55D9">
        <w:rPr>
          <w:rFonts w:ascii="Times New Roman" w:eastAsia="Times New Roman" w:hAnsi="Times New Roman" w:cs="Times New Roman"/>
        </w:rPr>
        <w:t xml:space="preserve"> associated with proton leak, proton slip, cation cycling, and electron leak at high chemiosmotic potential following addition of glutamate and malate. (b) Complex I-linked oxidative phosphorylation (OXPHOS) capacity, representing maximal </w:t>
      </w:r>
      <w:r w:rsidR="00C97B5E" w:rsidRPr="005D55D9">
        <w:rPr>
          <w:rFonts w:ascii="Times New Roman" w:eastAsia="Times New Roman" w:hAnsi="Times New Roman" w:cs="Times New Roman"/>
          <w:i/>
          <w:iCs/>
        </w:rPr>
        <w:t>J</w:t>
      </w:r>
      <w:r w:rsidR="00C97B5E" w:rsidRPr="005D55D9">
        <w:rPr>
          <w:rFonts w:ascii="Times New Roman" w:eastAsia="Times New Roman" w:hAnsi="Times New Roman" w:cs="Times New Roman"/>
          <w:vertAlign w:val="subscript"/>
        </w:rPr>
        <w:t>O2</w:t>
      </w:r>
      <w:r w:rsidR="00A52E9A" w:rsidRPr="005D55D9">
        <w:rPr>
          <w:rFonts w:ascii="Times New Roman" w:eastAsia="Times New Roman" w:hAnsi="Times New Roman" w:cs="Times New Roman"/>
        </w:rPr>
        <w:t xml:space="preserve"> supported by electron entry through complex I coupled to ATP production following addition of ADP. (c) Total OXPHOS capacity, representing maximal </w:t>
      </w:r>
      <w:r w:rsidR="00C97B5E" w:rsidRPr="005D55D9">
        <w:rPr>
          <w:rFonts w:ascii="Times New Roman" w:eastAsia="Times New Roman" w:hAnsi="Times New Roman" w:cs="Times New Roman"/>
          <w:i/>
          <w:iCs/>
        </w:rPr>
        <w:t>J</w:t>
      </w:r>
      <w:r w:rsidR="00C97B5E" w:rsidRPr="005D55D9">
        <w:rPr>
          <w:rFonts w:ascii="Times New Roman" w:eastAsia="Times New Roman" w:hAnsi="Times New Roman" w:cs="Times New Roman"/>
          <w:vertAlign w:val="subscript"/>
        </w:rPr>
        <w:t>O2</w:t>
      </w:r>
      <w:r w:rsidR="00A52E9A" w:rsidRPr="005D55D9">
        <w:rPr>
          <w:rFonts w:ascii="Times New Roman" w:eastAsia="Times New Roman" w:hAnsi="Times New Roman" w:cs="Times New Roman"/>
        </w:rPr>
        <w:t xml:space="preserve"> from the combined contributions of complex I- and complex II-linked electron supply pathways converging at the Q-junction coupled to ATP production following addition of succinate. (d) Total electron transfer (ET) capacity, representing maximal </w:t>
      </w:r>
      <w:r w:rsidR="00C97B5E" w:rsidRPr="005D55D9">
        <w:rPr>
          <w:rFonts w:ascii="Times New Roman" w:eastAsia="Times New Roman" w:hAnsi="Times New Roman" w:cs="Times New Roman"/>
        </w:rPr>
        <w:t>un</w:t>
      </w:r>
      <w:r w:rsidR="00A52E9A" w:rsidRPr="005D55D9">
        <w:rPr>
          <w:rFonts w:ascii="Times New Roman" w:eastAsia="Times New Roman" w:hAnsi="Times New Roman" w:cs="Times New Roman"/>
        </w:rPr>
        <w:t xml:space="preserve">coupled mitochondrial respiration following stepwise addition of the uncoupler carbonyl cyanide m-chlorophenylhydrazone (CCCP). (e) Complex II-linked ET capacity, representing maximal </w:t>
      </w:r>
      <w:r w:rsidR="00C97B5E" w:rsidRPr="005D55D9">
        <w:rPr>
          <w:rFonts w:ascii="Times New Roman" w:eastAsia="Times New Roman" w:hAnsi="Times New Roman" w:cs="Times New Roman"/>
          <w:i/>
          <w:iCs/>
        </w:rPr>
        <w:t>J</w:t>
      </w:r>
      <w:r w:rsidR="00C97B5E" w:rsidRPr="005D55D9">
        <w:rPr>
          <w:rFonts w:ascii="Times New Roman" w:eastAsia="Times New Roman" w:hAnsi="Times New Roman" w:cs="Times New Roman"/>
          <w:vertAlign w:val="subscript"/>
        </w:rPr>
        <w:t>O2</w:t>
      </w:r>
      <w:r w:rsidR="00A52E9A" w:rsidRPr="005D55D9">
        <w:rPr>
          <w:rFonts w:ascii="Times New Roman" w:eastAsia="Times New Roman" w:hAnsi="Times New Roman" w:cs="Times New Roman"/>
        </w:rPr>
        <w:t xml:space="preserve"> supported by electron entry through complex II in the </w:t>
      </w:r>
      <w:r w:rsidR="00C97B5E" w:rsidRPr="005D55D9">
        <w:rPr>
          <w:rFonts w:ascii="Times New Roman" w:eastAsia="Times New Roman" w:hAnsi="Times New Roman" w:cs="Times New Roman"/>
        </w:rPr>
        <w:t>un</w:t>
      </w:r>
      <w:r w:rsidR="00A52E9A" w:rsidRPr="005D55D9">
        <w:rPr>
          <w:rFonts w:ascii="Times New Roman" w:eastAsia="Times New Roman" w:hAnsi="Times New Roman" w:cs="Times New Roman"/>
        </w:rPr>
        <w:t>coupled state following inhibition of complex I with rotenone. Residual oxygen consumption (ROX), determined by antimycin A addition at the end of the substrate-uncoupler-inhibitor</w:t>
      </w:r>
      <w:r w:rsidR="00710440">
        <w:rPr>
          <w:rFonts w:ascii="Times New Roman" w:eastAsia="Times New Roman" w:hAnsi="Times New Roman" w:cs="Times New Roman"/>
        </w:rPr>
        <w:t xml:space="preserve"> </w:t>
      </w:r>
      <w:r w:rsidR="00A52E9A" w:rsidRPr="005D55D9">
        <w:rPr>
          <w:rFonts w:ascii="Times New Roman" w:eastAsia="Times New Roman" w:hAnsi="Times New Roman" w:cs="Times New Roman"/>
        </w:rPr>
        <w:t xml:space="preserve">titration (SUIT) protocol, was subtracted from </w:t>
      </w:r>
      <w:r w:rsidR="009279B6" w:rsidRPr="005D55D9">
        <w:rPr>
          <w:rFonts w:ascii="Times New Roman" w:eastAsia="Times New Roman" w:hAnsi="Times New Roman" w:cs="Times New Roman"/>
          <w:i/>
          <w:iCs/>
        </w:rPr>
        <w:t>J</w:t>
      </w:r>
      <w:r w:rsidR="009279B6" w:rsidRPr="005D55D9">
        <w:rPr>
          <w:rFonts w:ascii="Times New Roman" w:eastAsia="Times New Roman" w:hAnsi="Times New Roman" w:cs="Times New Roman"/>
          <w:vertAlign w:val="subscript"/>
        </w:rPr>
        <w:t>O2</w:t>
      </w:r>
      <w:r w:rsidR="00A52E9A" w:rsidRPr="005D55D9">
        <w:rPr>
          <w:rFonts w:ascii="Times New Roman" w:eastAsia="Times New Roman" w:hAnsi="Times New Roman" w:cs="Times New Roman"/>
        </w:rPr>
        <w:t xml:space="preserve"> values to isolate mitochondrial respiration. Data are presented as mean ± SEM (one-way ANOVA with Tukey’s multiple-comparisons test</w:t>
      </w:r>
      <w:r w:rsidR="004B2C92" w:rsidRPr="005D55D9">
        <w:rPr>
          <w:rFonts w:ascii="Times New Roman" w:eastAsia="Times New Roman" w:hAnsi="Times New Roman" w:cs="Times New Roman"/>
        </w:rPr>
        <w:t>;</w:t>
      </w:r>
      <w:r w:rsidR="00A52E9A" w:rsidRPr="005D55D9">
        <w:rPr>
          <w:rFonts w:ascii="Times New Roman" w:eastAsia="Times New Roman" w:hAnsi="Times New Roman" w:cs="Times New Roman"/>
        </w:rPr>
        <w:t xml:space="preserve"> </w:t>
      </w:r>
      <w:r w:rsidR="00A52E9A" w:rsidRPr="005D55D9">
        <w:rPr>
          <w:rFonts w:ascii="Times New Roman" w:eastAsia="Times New Roman" w:hAnsi="Times New Roman" w:cs="Times New Roman"/>
          <w:i/>
          <w:iCs/>
        </w:rPr>
        <w:t>n</w:t>
      </w:r>
      <w:r w:rsidR="00A52E9A" w:rsidRPr="005D55D9">
        <w:rPr>
          <w:rFonts w:ascii="Times New Roman" w:eastAsia="Times New Roman" w:hAnsi="Times New Roman" w:cs="Times New Roman"/>
        </w:rPr>
        <w:t xml:space="preserve"> = 12 for </w:t>
      </w:r>
      <w:proofErr w:type="spellStart"/>
      <w:r w:rsidR="00A52E9A" w:rsidRPr="005D55D9">
        <w:rPr>
          <w:rFonts w:ascii="Times New Roman" w:eastAsia="Times New Roman" w:hAnsi="Times New Roman" w:cs="Times New Roman"/>
        </w:rPr>
        <w:t>Glc</w:t>
      </w:r>
      <w:proofErr w:type="spellEnd"/>
      <w:r w:rsidR="00A52E9A" w:rsidRPr="005D55D9">
        <w:rPr>
          <w:rFonts w:ascii="Times New Roman" w:eastAsia="Times New Roman" w:hAnsi="Times New Roman" w:cs="Times New Roman"/>
        </w:rPr>
        <w:t xml:space="preserve"> and BHB, </w:t>
      </w:r>
      <w:r w:rsidR="00A52E9A" w:rsidRPr="005D55D9">
        <w:rPr>
          <w:rFonts w:ascii="Times New Roman" w:eastAsia="Times New Roman" w:hAnsi="Times New Roman" w:cs="Times New Roman"/>
          <w:i/>
          <w:iCs/>
        </w:rPr>
        <w:t>n</w:t>
      </w:r>
      <w:r w:rsidR="00A52E9A" w:rsidRPr="005D55D9">
        <w:rPr>
          <w:rFonts w:ascii="Times New Roman" w:eastAsia="Times New Roman" w:hAnsi="Times New Roman" w:cs="Times New Roman"/>
        </w:rPr>
        <w:t xml:space="preserve"> = 6 for </w:t>
      </w:r>
      <w:proofErr w:type="spellStart"/>
      <w:r w:rsidR="00A52E9A" w:rsidRPr="005D55D9">
        <w:rPr>
          <w:rFonts w:ascii="Times New Roman" w:eastAsia="Times New Roman" w:hAnsi="Times New Roman" w:cs="Times New Roman"/>
        </w:rPr>
        <w:t>Suc</w:t>
      </w:r>
      <w:proofErr w:type="spellEnd"/>
      <w:r w:rsidR="00A52E9A" w:rsidRPr="005D55D9">
        <w:rPr>
          <w:rFonts w:ascii="Times New Roman" w:eastAsia="Times New Roman" w:hAnsi="Times New Roman" w:cs="Times New Roman"/>
        </w:rPr>
        <w:t>). *</w:t>
      </w:r>
      <w:r w:rsidR="00A52E9A" w:rsidRPr="005D55D9">
        <w:rPr>
          <w:rFonts w:ascii="Times New Roman" w:eastAsia="Times New Roman" w:hAnsi="Times New Roman" w:cs="Times New Roman"/>
          <w:i/>
          <w:iCs/>
        </w:rPr>
        <w:t>p</w:t>
      </w:r>
      <w:r w:rsidR="00A52E9A" w:rsidRPr="005D55D9">
        <w:rPr>
          <w:rFonts w:ascii="Times New Roman" w:eastAsia="Times New Roman" w:hAnsi="Times New Roman" w:cs="Times New Roman"/>
        </w:rPr>
        <w:t xml:space="preserve"> &lt; 0.05, **</w:t>
      </w:r>
      <w:r w:rsidR="00A52E9A" w:rsidRPr="005D55D9">
        <w:rPr>
          <w:rFonts w:ascii="Times New Roman" w:eastAsia="Times New Roman" w:hAnsi="Times New Roman" w:cs="Times New Roman"/>
          <w:i/>
          <w:iCs/>
        </w:rPr>
        <w:t>p</w:t>
      </w:r>
      <w:r w:rsidR="00A52E9A" w:rsidRPr="005D55D9">
        <w:rPr>
          <w:rFonts w:ascii="Times New Roman" w:eastAsia="Times New Roman" w:hAnsi="Times New Roman" w:cs="Times New Roman"/>
        </w:rPr>
        <w:t xml:space="preserve"> &lt; 0.01, ***</w:t>
      </w:r>
      <w:r w:rsidR="00A52E9A" w:rsidRPr="005D55D9">
        <w:rPr>
          <w:rFonts w:ascii="Times New Roman" w:eastAsia="Times New Roman" w:hAnsi="Times New Roman" w:cs="Times New Roman"/>
          <w:i/>
          <w:iCs/>
        </w:rPr>
        <w:t>p</w:t>
      </w:r>
      <w:r w:rsidR="00A52E9A" w:rsidRPr="005D55D9">
        <w:rPr>
          <w:rFonts w:ascii="Times New Roman" w:eastAsia="Times New Roman" w:hAnsi="Times New Roman" w:cs="Times New Roman"/>
        </w:rPr>
        <w:t xml:space="preserve"> &lt; 0.001.</w:t>
      </w:r>
    </w:p>
    <w:p w14:paraId="61C8EE86" w14:textId="77777777" w:rsidR="00781964" w:rsidRPr="005D55D9" w:rsidRDefault="00781964" w:rsidP="008E13CE">
      <w:pPr>
        <w:spacing w:line="360" w:lineRule="auto"/>
        <w:rPr>
          <w:rFonts w:ascii="Times New Roman" w:hAnsi="Times New Roman" w:cs="Times New Roman"/>
        </w:rPr>
      </w:pPr>
    </w:p>
    <w:p w14:paraId="6688D846" w14:textId="40F93120" w:rsidR="001A4769" w:rsidRPr="005D55D9" w:rsidRDefault="00DE3393" w:rsidP="00DE3393">
      <w:pPr>
        <w:spacing w:line="360" w:lineRule="auto"/>
        <w:jc w:val="center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2DE7038" wp14:editId="6BD9814F">
            <wp:extent cx="3657600" cy="5437502"/>
            <wp:effectExtent l="0" t="0" r="0" b="0"/>
            <wp:docPr id="14026337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633784" name="Picture 140263378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543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4DA29" w14:textId="4B863756" w:rsidR="001C5B4D" w:rsidRPr="005D55D9" w:rsidRDefault="001A4769" w:rsidP="008E13CE">
      <w:pPr>
        <w:spacing w:line="360" w:lineRule="auto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  <w:b/>
          <w:bCs/>
        </w:rPr>
        <w:t>Fig. S2</w:t>
      </w:r>
      <w:r w:rsidRPr="005D55D9">
        <w:rPr>
          <w:rFonts w:ascii="Times New Roman" w:hAnsi="Times New Roman" w:cs="Times New Roman"/>
        </w:rPr>
        <w:t xml:space="preserve"> Spreading depolarization (SD) occurrence, latency, and propagation speed in mouse neocortical brain slices incubated with 10 mM glucose (</w:t>
      </w:r>
      <w:proofErr w:type="spellStart"/>
      <w:r w:rsidRPr="005D55D9">
        <w:rPr>
          <w:rFonts w:ascii="Times New Roman" w:hAnsi="Times New Roman" w:cs="Times New Roman"/>
        </w:rPr>
        <w:t>Glc</w:t>
      </w:r>
      <w:proofErr w:type="spellEnd"/>
      <w:r w:rsidRPr="005D55D9">
        <w:rPr>
          <w:rFonts w:ascii="Times New Roman" w:hAnsi="Times New Roman" w:cs="Times New Roman"/>
        </w:rPr>
        <w:t>), 10 mM β-hydroxybutyrate (BHB), 10 mM sucrose (</w:t>
      </w:r>
      <w:proofErr w:type="spellStart"/>
      <w:r w:rsidRPr="005D55D9">
        <w:rPr>
          <w:rFonts w:ascii="Times New Roman" w:hAnsi="Times New Roman" w:cs="Times New Roman"/>
        </w:rPr>
        <w:t>Suc</w:t>
      </w:r>
      <w:proofErr w:type="spellEnd"/>
      <w:r w:rsidRPr="005D55D9">
        <w:rPr>
          <w:rFonts w:ascii="Times New Roman" w:hAnsi="Times New Roman" w:cs="Times New Roman"/>
        </w:rPr>
        <w:t>; no-exogenous-fuel condition), or 2 mM BHB with 8 mM sucrose. SDs were induced by high-K</w:t>
      </w:r>
      <w:r w:rsidR="00D27697" w:rsidRPr="005D55D9">
        <w:rPr>
          <w:rFonts w:ascii="Times New Roman" w:hAnsi="Times New Roman" w:cs="Times New Roman"/>
          <w:vertAlign w:val="superscript"/>
        </w:rPr>
        <w:t>+</w:t>
      </w:r>
      <w:r w:rsidRPr="005D55D9">
        <w:rPr>
          <w:rFonts w:ascii="Times New Roman" w:hAnsi="Times New Roman" w:cs="Times New Roman"/>
        </w:rPr>
        <w:t xml:space="preserve"> (26 mM) aCSF during two sequential induction cycles.</w:t>
      </w:r>
      <w:r w:rsidR="00632095" w:rsidRPr="005D55D9">
        <w:rPr>
          <w:rFonts w:ascii="Times New Roman" w:hAnsi="Times New Roman" w:cs="Times New Roman"/>
        </w:rPr>
        <w:t xml:space="preserve"> </w:t>
      </w:r>
      <w:r w:rsidRPr="005D55D9">
        <w:rPr>
          <w:rFonts w:ascii="Times New Roman" w:hAnsi="Times New Roman" w:cs="Times New Roman"/>
        </w:rPr>
        <w:t>(a) SD occurrence following high-K</w:t>
      </w:r>
      <w:r w:rsidR="00D27697" w:rsidRPr="005D55D9">
        <w:rPr>
          <w:rFonts w:ascii="Times New Roman" w:hAnsi="Times New Roman" w:cs="Times New Roman"/>
          <w:vertAlign w:val="superscript"/>
        </w:rPr>
        <w:t>+</w:t>
      </w:r>
      <w:r w:rsidRPr="005D55D9">
        <w:rPr>
          <w:rFonts w:ascii="Times New Roman" w:hAnsi="Times New Roman" w:cs="Times New Roman"/>
        </w:rPr>
        <w:t xml:space="preserve"> stimulation during (ai) cycle 1 </w:t>
      </w:r>
      <w:r w:rsidR="00142DFD" w:rsidRPr="005D55D9">
        <w:rPr>
          <w:rFonts w:ascii="Times New Roman" w:hAnsi="Times New Roman" w:cs="Times New Roman"/>
        </w:rPr>
        <w:t xml:space="preserve">(overall two-tailed Fisher’s exact test, </w:t>
      </w:r>
      <w:r w:rsidR="00142DFD" w:rsidRPr="005D55D9">
        <w:rPr>
          <w:rFonts w:ascii="Times New Roman" w:hAnsi="Times New Roman" w:cs="Times New Roman"/>
          <w:i/>
          <w:iCs/>
        </w:rPr>
        <w:t>p</w:t>
      </w:r>
      <w:r w:rsidR="00142DFD" w:rsidRPr="005D55D9">
        <w:rPr>
          <w:rFonts w:ascii="Times New Roman" w:hAnsi="Times New Roman" w:cs="Times New Roman"/>
        </w:rPr>
        <w:t xml:space="preserve"> = </w:t>
      </w:r>
      <w:r w:rsidR="00323970" w:rsidRPr="005D55D9">
        <w:rPr>
          <w:rFonts w:ascii="Times New Roman" w:hAnsi="Times New Roman" w:cs="Times New Roman"/>
        </w:rPr>
        <w:t>1.000</w:t>
      </w:r>
      <w:r w:rsidR="00142DFD" w:rsidRPr="005D55D9">
        <w:rPr>
          <w:rFonts w:ascii="Times New Roman" w:hAnsi="Times New Roman" w:cs="Times New Roman"/>
        </w:rPr>
        <w:t xml:space="preserve">; </w:t>
      </w:r>
      <w:r w:rsidR="00142DFD" w:rsidRPr="005D55D9">
        <w:rPr>
          <w:rFonts w:ascii="Times New Roman" w:hAnsi="Times New Roman" w:cs="Times New Roman"/>
          <w:i/>
          <w:iCs/>
        </w:rPr>
        <w:t>n</w:t>
      </w:r>
      <w:r w:rsidR="00142DFD" w:rsidRPr="005D55D9">
        <w:rPr>
          <w:rFonts w:ascii="Times New Roman" w:hAnsi="Times New Roman" w:cs="Times New Roman"/>
        </w:rPr>
        <w:t xml:space="preserve"> = 8 for </w:t>
      </w:r>
      <w:proofErr w:type="spellStart"/>
      <w:r w:rsidR="00142DFD" w:rsidRPr="005D55D9">
        <w:rPr>
          <w:rFonts w:ascii="Times New Roman" w:hAnsi="Times New Roman" w:cs="Times New Roman"/>
        </w:rPr>
        <w:t>Glc</w:t>
      </w:r>
      <w:proofErr w:type="spellEnd"/>
      <w:r w:rsidR="00142DFD" w:rsidRPr="005D55D9">
        <w:rPr>
          <w:rFonts w:ascii="Times New Roman" w:hAnsi="Times New Roman" w:cs="Times New Roman"/>
        </w:rPr>
        <w:t xml:space="preserve">, 10 mM BHB, and </w:t>
      </w:r>
      <w:proofErr w:type="spellStart"/>
      <w:r w:rsidR="00142DFD" w:rsidRPr="005D55D9">
        <w:rPr>
          <w:rFonts w:ascii="Times New Roman" w:hAnsi="Times New Roman" w:cs="Times New Roman"/>
        </w:rPr>
        <w:t>Suc</w:t>
      </w:r>
      <w:proofErr w:type="spellEnd"/>
      <w:r w:rsidR="00142DFD" w:rsidRPr="005D55D9">
        <w:rPr>
          <w:rFonts w:ascii="Times New Roman" w:hAnsi="Times New Roman" w:cs="Times New Roman"/>
        </w:rPr>
        <w:t xml:space="preserve">; </w:t>
      </w:r>
      <w:r w:rsidR="00142DFD" w:rsidRPr="005D55D9">
        <w:rPr>
          <w:rFonts w:ascii="Times New Roman" w:hAnsi="Times New Roman" w:cs="Times New Roman"/>
          <w:i/>
          <w:iCs/>
        </w:rPr>
        <w:t>n</w:t>
      </w:r>
      <w:r w:rsidR="00142DFD" w:rsidRPr="005D55D9">
        <w:rPr>
          <w:rFonts w:ascii="Times New Roman" w:hAnsi="Times New Roman" w:cs="Times New Roman"/>
        </w:rPr>
        <w:t xml:space="preserve"> = 6 for 2 mM BHB) </w:t>
      </w:r>
      <w:r w:rsidRPr="005D55D9">
        <w:rPr>
          <w:rFonts w:ascii="Times New Roman" w:hAnsi="Times New Roman" w:cs="Times New Roman"/>
        </w:rPr>
        <w:t>and (</w:t>
      </w:r>
      <w:proofErr w:type="spellStart"/>
      <w:r w:rsidRPr="005D55D9">
        <w:rPr>
          <w:rFonts w:ascii="Times New Roman" w:hAnsi="Times New Roman" w:cs="Times New Roman"/>
        </w:rPr>
        <w:t>aii</w:t>
      </w:r>
      <w:proofErr w:type="spellEnd"/>
      <w:r w:rsidRPr="005D55D9">
        <w:rPr>
          <w:rFonts w:ascii="Times New Roman" w:hAnsi="Times New Roman" w:cs="Times New Roman"/>
        </w:rPr>
        <w:t xml:space="preserve">) cycle 2 (overall two-tailed Fisher’s exact test, </w:t>
      </w:r>
      <w:r w:rsidRPr="005D55D9">
        <w:rPr>
          <w:rFonts w:ascii="Times New Roman" w:hAnsi="Times New Roman" w:cs="Times New Roman"/>
          <w:i/>
          <w:iCs/>
        </w:rPr>
        <w:t>p</w:t>
      </w:r>
      <w:r w:rsidRPr="005D55D9">
        <w:rPr>
          <w:rFonts w:ascii="Times New Roman" w:hAnsi="Times New Roman" w:cs="Times New Roman"/>
        </w:rPr>
        <w:t xml:space="preserve"> </w:t>
      </w:r>
      <w:r w:rsidR="003F535B" w:rsidRPr="005D55D9">
        <w:rPr>
          <w:rFonts w:ascii="Times New Roman" w:hAnsi="Times New Roman" w:cs="Times New Roman"/>
        </w:rPr>
        <w:t>&lt; 0.0001</w:t>
      </w:r>
      <w:r w:rsidRPr="005D55D9">
        <w:rPr>
          <w:rFonts w:ascii="Times New Roman" w:hAnsi="Times New Roman" w:cs="Times New Roman"/>
        </w:rPr>
        <w:t xml:space="preserve">; pairwise Fisher’s exact tests with Bonferroni correction; </w:t>
      </w:r>
      <w:r w:rsidRPr="005D55D9">
        <w:rPr>
          <w:rFonts w:ascii="Times New Roman" w:hAnsi="Times New Roman" w:cs="Times New Roman"/>
          <w:i/>
          <w:iCs/>
        </w:rPr>
        <w:t>n</w:t>
      </w:r>
      <w:r w:rsidRPr="005D55D9">
        <w:rPr>
          <w:rFonts w:ascii="Times New Roman" w:hAnsi="Times New Roman" w:cs="Times New Roman"/>
        </w:rPr>
        <w:t xml:space="preserve"> = 8 for </w:t>
      </w:r>
      <w:proofErr w:type="spellStart"/>
      <w:r w:rsidRPr="005D55D9">
        <w:rPr>
          <w:rFonts w:ascii="Times New Roman" w:hAnsi="Times New Roman" w:cs="Times New Roman"/>
        </w:rPr>
        <w:t>Glc</w:t>
      </w:r>
      <w:proofErr w:type="spellEnd"/>
      <w:r w:rsidRPr="005D55D9">
        <w:rPr>
          <w:rFonts w:ascii="Times New Roman" w:hAnsi="Times New Roman" w:cs="Times New Roman"/>
        </w:rPr>
        <w:t xml:space="preserve">, 10 mM BHB, and </w:t>
      </w:r>
      <w:proofErr w:type="spellStart"/>
      <w:r w:rsidRPr="005D55D9">
        <w:rPr>
          <w:rFonts w:ascii="Times New Roman" w:hAnsi="Times New Roman" w:cs="Times New Roman"/>
        </w:rPr>
        <w:t>Suc</w:t>
      </w:r>
      <w:proofErr w:type="spellEnd"/>
      <w:r w:rsidRPr="005D55D9">
        <w:rPr>
          <w:rFonts w:ascii="Times New Roman" w:hAnsi="Times New Roman" w:cs="Times New Roman"/>
        </w:rPr>
        <w:t xml:space="preserve">; </w:t>
      </w:r>
      <w:r w:rsidRPr="005D55D9">
        <w:rPr>
          <w:rFonts w:ascii="Times New Roman" w:hAnsi="Times New Roman" w:cs="Times New Roman"/>
          <w:i/>
          <w:iCs/>
        </w:rPr>
        <w:t>n</w:t>
      </w:r>
      <w:r w:rsidRPr="005D55D9">
        <w:rPr>
          <w:rFonts w:ascii="Times New Roman" w:hAnsi="Times New Roman" w:cs="Times New Roman"/>
        </w:rPr>
        <w:t xml:space="preserve"> = 6 for 2 mM BHB; </w:t>
      </w:r>
      <w:proofErr w:type="spellStart"/>
      <w:r w:rsidRPr="005D55D9">
        <w:rPr>
          <w:rFonts w:ascii="Times New Roman" w:hAnsi="Times New Roman" w:cs="Times New Roman"/>
        </w:rPr>
        <w:t>Glc</w:t>
      </w:r>
      <w:proofErr w:type="spellEnd"/>
      <w:r w:rsidRPr="005D55D9">
        <w:rPr>
          <w:rFonts w:ascii="Times New Roman" w:hAnsi="Times New Roman" w:cs="Times New Roman"/>
        </w:rPr>
        <w:t xml:space="preserve"> vs </w:t>
      </w:r>
      <w:proofErr w:type="spellStart"/>
      <w:r w:rsidRPr="005D55D9">
        <w:rPr>
          <w:rFonts w:ascii="Times New Roman" w:hAnsi="Times New Roman" w:cs="Times New Roman"/>
        </w:rPr>
        <w:t>Suc</w:t>
      </w:r>
      <w:proofErr w:type="spellEnd"/>
      <w:r w:rsidRPr="005D55D9">
        <w:rPr>
          <w:rFonts w:ascii="Times New Roman" w:hAnsi="Times New Roman" w:cs="Times New Roman"/>
        </w:rPr>
        <w:t xml:space="preserve">, </w:t>
      </w:r>
      <w:r w:rsidRPr="005D55D9">
        <w:rPr>
          <w:rFonts w:ascii="Times New Roman" w:hAnsi="Times New Roman" w:cs="Times New Roman"/>
          <w:i/>
          <w:iCs/>
        </w:rPr>
        <w:t>p</w:t>
      </w:r>
      <w:r w:rsidRPr="005D55D9">
        <w:rPr>
          <w:rFonts w:ascii="Times New Roman" w:hAnsi="Times New Roman" w:cs="Times New Roman"/>
        </w:rPr>
        <w:t xml:space="preserve"> = 0.000</w:t>
      </w:r>
      <w:r w:rsidR="003F535B" w:rsidRPr="005D55D9">
        <w:rPr>
          <w:rFonts w:ascii="Times New Roman" w:hAnsi="Times New Roman" w:cs="Times New Roman"/>
        </w:rPr>
        <w:t>6</w:t>
      </w:r>
      <w:r w:rsidRPr="005D55D9">
        <w:rPr>
          <w:rFonts w:ascii="Times New Roman" w:hAnsi="Times New Roman" w:cs="Times New Roman"/>
        </w:rPr>
        <w:t xml:space="preserve">; 10 mM BHB vs </w:t>
      </w:r>
      <w:proofErr w:type="spellStart"/>
      <w:r w:rsidRPr="005D55D9">
        <w:rPr>
          <w:rFonts w:ascii="Times New Roman" w:hAnsi="Times New Roman" w:cs="Times New Roman"/>
        </w:rPr>
        <w:t>Suc</w:t>
      </w:r>
      <w:proofErr w:type="spellEnd"/>
      <w:r w:rsidRPr="005D55D9">
        <w:rPr>
          <w:rFonts w:ascii="Times New Roman" w:hAnsi="Times New Roman" w:cs="Times New Roman"/>
        </w:rPr>
        <w:t xml:space="preserve">, </w:t>
      </w:r>
      <w:r w:rsidRPr="005D55D9">
        <w:rPr>
          <w:rFonts w:ascii="Times New Roman" w:hAnsi="Times New Roman" w:cs="Times New Roman"/>
          <w:i/>
          <w:iCs/>
        </w:rPr>
        <w:t>p</w:t>
      </w:r>
      <w:r w:rsidRPr="005D55D9">
        <w:rPr>
          <w:rFonts w:ascii="Times New Roman" w:hAnsi="Times New Roman" w:cs="Times New Roman"/>
        </w:rPr>
        <w:t xml:space="preserve"> = 0.000</w:t>
      </w:r>
      <w:r w:rsidR="003F535B" w:rsidRPr="005D55D9">
        <w:rPr>
          <w:rFonts w:ascii="Times New Roman" w:hAnsi="Times New Roman" w:cs="Times New Roman"/>
        </w:rPr>
        <w:t>6</w:t>
      </w:r>
      <w:r w:rsidRPr="005D55D9">
        <w:rPr>
          <w:rFonts w:ascii="Times New Roman" w:hAnsi="Times New Roman" w:cs="Times New Roman"/>
        </w:rPr>
        <w:t>).</w:t>
      </w:r>
      <w:r w:rsidR="003F535B" w:rsidRPr="005D55D9">
        <w:rPr>
          <w:rFonts w:ascii="Times New Roman" w:hAnsi="Times New Roman" w:cs="Times New Roman"/>
        </w:rPr>
        <w:t xml:space="preserve"> </w:t>
      </w:r>
      <w:r w:rsidRPr="005D55D9">
        <w:rPr>
          <w:rFonts w:ascii="Times New Roman" w:hAnsi="Times New Roman" w:cs="Times New Roman"/>
        </w:rPr>
        <w:t>(b) Latency from high-K</w:t>
      </w:r>
      <w:r w:rsidR="00D27697" w:rsidRPr="005D55D9">
        <w:rPr>
          <w:rFonts w:ascii="Times New Roman" w:hAnsi="Times New Roman" w:cs="Times New Roman"/>
          <w:vertAlign w:val="superscript"/>
        </w:rPr>
        <w:t>+</w:t>
      </w:r>
      <w:r w:rsidRPr="005D55D9">
        <w:rPr>
          <w:rFonts w:ascii="Times New Roman" w:hAnsi="Times New Roman" w:cs="Times New Roman"/>
        </w:rPr>
        <w:t xml:space="preserve"> exposure to SD onset during (bi) cycle 1 (Kruskal–Wallis test, </w:t>
      </w:r>
      <w:r w:rsidRPr="005D55D9">
        <w:rPr>
          <w:rFonts w:ascii="Times New Roman" w:hAnsi="Times New Roman" w:cs="Times New Roman"/>
          <w:i/>
          <w:iCs/>
        </w:rPr>
        <w:t>p</w:t>
      </w:r>
      <w:r w:rsidRPr="005D55D9">
        <w:rPr>
          <w:rFonts w:ascii="Times New Roman" w:hAnsi="Times New Roman" w:cs="Times New Roman"/>
        </w:rPr>
        <w:t xml:space="preserve"> = </w:t>
      </w:r>
      <w:r w:rsidR="00D856BB" w:rsidRPr="005D55D9">
        <w:rPr>
          <w:rFonts w:ascii="Times New Roman" w:hAnsi="Times New Roman" w:cs="Times New Roman"/>
        </w:rPr>
        <w:t>0.</w:t>
      </w:r>
      <w:r w:rsidR="00FC17AB" w:rsidRPr="005D55D9">
        <w:rPr>
          <w:rFonts w:ascii="Times New Roman" w:hAnsi="Times New Roman" w:cs="Times New Roman"/>
        </w:rPr>
        <w:t>1309</w:t>
      </w:r>
      <w:r w:rsidRPr="005D55D9">
        <w:rPr>
          <w:rFonts w:ascii="Times New Roman" w:hAnsi="Times New Roman" w:cs="Times New Roman"/>
        </w:rPr>
        <w:t xml:space="preserve">; </w:t>
      </w:r>
      <w:r w:rsidRPr="005D55D9">
        <w:rPr>
          <w:rFonts w:ascii="Times New Roman" w:hAnsi="Times New Roman" w:cs="Times New Roman"/>
          <w:i/>
          <w:iCs/>
        </w:rPr>
        <w:t>n</w:t>
      </w:r>
      <w:r w:rsidRPr="005D55D9">
        <w:rPr>
          <w:rFonts w:ascii="Times New Roman" w:hAnsi="Times New Roman" w:cs="Times New Roman"/>
        </w:rPr>
        <w:t xml:space="preserve"> = 8 for </w:t>
      </w:r>
      <w:proofErr w:type="spellStart"/>
      <w:r w:rsidRPr="005D55D9">
        <w:rPr>
          <w:rFonts w:ascii="Times New Roman" w:hAnsi="Times New Roman" w:cs="Times New Roman"/>
        </w:rPr>
        <w:t>Glc</w:t>
      </w:r>
      <w:proofErr w:type="spellEnd"/>
      <w:r w:rsidRPr="005D55D9">
        <w:rPr>
          <w:rFonts w:ascii="Times New Roman" w:hAnsi="Times New Roman" w:cs="Times New Roman"/>
        </w:rPr>
        <w:t xml:space="preserve">, 10 mM BHB, and </w:t>
      </w:r>
      <w:proofErr w:type="spellStart"/>
      <w:r w:rsidRPr="005D55D9">
        <w:rPr>
          <w:rFonts w:ascii="Times New Roman" w:hAnsi="Times New Roman" w:cs="Times New Roman"/>
        </w:rPr>
        <w:t>Suc</w:t>
      </w:r>
      <w:proofErr w:type="spellEnd"/>
      <w:r w:rsidRPr="005D55D9">
        <w:rPr>
          <w:rFonts w:ascii="Times New Roman" w:hAnsi="Times New Roman" w:cs="Times New Roman"/>
        </w:rPr>
        <w:t xml:space="preserve">; </w:t>
      </w:r>
      <w:r w:rsidRPr="005D55D9">
        <w:rPr>
          <w:rFonts w:ascii="Times New Roman" w:hAnsi="Times New Roman" w:cs="Times New Roman"/>
          <w:i/>
          <w:iCs/>
        </w:rPr>
        <w:t>n</w:t>
      </w:r>
      <w:r w:rsidRPr="005D55D9">
        <w:rPr>
          <w:rFonts w:ascii="Times New Roman" w:hAnsi="Times New Roman" w:cs="Times New Roman"/>
        </w:rPr>
        <w:t xml:space="preserve"> = 5 for 2 mM </w:t>
      </w:r>
      <w:r w:rsidRPr="005D55D9">
        <w:rPr>
          <w:rFonts w:ascii="Times New Roman" w:hAnsi="Times New Roman" w:cs="Times New Roman"/>
        </w:rPr>
        <w:lastRenderedPageBreak/>
        <w:t>BHB) and (</w:t>
      </w:r>
      <w:proofErr w:type="spellStart"/>
      <w:r w:rsidRPr="005D55D9">
        <w:rPr>
          <w:rFonts w:ascii="Times New Roman" w:hAnsi="Times New Roman" w:cs="Times New Roman"/>
        </w:rPr>
        <w:t>bii</w:t>
      </w:r>
      <w:proofErr w:type="spellEnd"/>
      <w:r w:rsidRPr="005D55D9">
        <w:rPr>
          <w:rFonts w:ascii="Times New Roman" w:hAnsi="Times New Roman" w:cs="Times New Roman"/>
        </w:rPr>
        <w:t xml:space="preserve">) cycle 2 (Kruskal–Wallis test, p = </w:t>
      </w:r>
      <w:r w:rsidR="00496ED0" w:rsidRPr="005D55D9">
        <w:rPr>
          <w:rFonts w:ascii="Times New Roman" w:hAnsi="Times New Roman" w:cs="Times New Roman"/>
        </w:rPr>
        <w:t>0.0239</w:t>
      </w:r>
      <w:r w:rsidRPr="005D55D9">
        <w:rPr>
          <w:rFonts w:ascii="Times New Roman" w:hAnsi="Times New Roman" w:cs="Times New Roman"/>
        </w:rPr>
        <w:t xml:space="preserve">, </w:t>
      </w:r>
      <w:r w:rsidR="00621711" w:rsidRPr="005D55D9">
        <w:rPr>
          <w:rFonts w:ascii="Times New Roman" w:hAnsi="Times New Roman" w:cs="Times New Roman"/>
        </w:rPr>
        <w:t>with</w:t>
      </w:r>
      <w:r w:rsidRPr="005D55D9">
        <w:rPr>
          <w:rFonts w:ascii="Times New Roman" w:hAnsi="Times New Roman" w:cs="Times New Roman"/>
        </w:rPr>
        <w:t xml:space="preserve"> </w:t>
      </w:r>
      <w:r w:rsidR="007631E4" w:rsidRPr="005D55D9">
        <w:rPr>
          <w:rFonts w:ascii="Times New Roman" w:hAnsi="Times New Roman" w:cs="Times New Roman"/>
        </w:rPr>
        <w:t>Dunn’s multiple comparisons test</w:t>
      </w:r>
      <w:r w:rsidRPr="005D55D9">
        <w:rPr>
          <w:rFonts w:ascii="Times New Roman" w:hAnsi="Times New Roman" w:cs="Times New Roman"/>
        </w:rPr>
        <w:t xml:space="preserve">; </w:t>
      </w:r>
      <w:r w:rsidRPr="005D55D9">
        <w:rPr>
          <w:rFonts w:ascii="Times New Roman" w:hAnsi="Times New Roman" w:cs="Times New Roman"/>
          <w:i/>
          <w:iCs/>
        </w:rPr>
        <w:t>n</w:t>
      </w:r>
      <w:r w:rsidRPr="005D55D9">
        <w:rPr>
          <w:rFonts w:ascii="Times New Roman" w:hAnsi="Times New Roman" w:cs="Times New Roman"/>
        </w:rPr>
        <w:t xml:space="preserve"> = 8 for </w:t>
      </w:r>
      <w:proofErr w:type="spellStart"/>
      <w:r w:rsidRPr="005D55D9">
        <w:rPr>
          <w:rFonts w:ascii="Times New Roman" w:hAnsi="Times New Roman" w:cs="Times New Roman"/>
        </w:rPr>
        <w:t>Glc</w:t>
      </w:r>
      <w:proofErr w:type="spellEnd"/>
      <w:r w:rsidRPr="005D55D9">
        <w:rPr>
          <w:rFonts w:ascii="Times New Roman" w:hAnsi="Times New Roman" w:cs="Times New Roman"/>
        </w:rPr>
        <w:t xml:space="preserve"> and 10 mM BHB, </w:t>
      </w:r>
      <w:r w:rsidRPr="005D55D9">
        <w:rPr>
          <w:rFonts w:ascii="Times New Roman" w:hAnsi="Times New Roman" w:cs="Times New Roman"/>
          <w:i/>
          <w:iCs/>
        </w:rPr>
        <w:t>n</w:t>
      </w:r>
      <w:r w:rsidRPr="005D55D9">
        <w:rPr>
          <w:rFonts w:ascii="Times New Roman" w:hAnsi="Times New Roman" w:cs="Times New Roman"/>
        </w:rPr>
        <w:t xml:space="preserve"> = 4 for 2 mM BHB; </w:t>
      </w:r>
      <w:proofErr w:type="spellStart"/>
      <w:r w:rsidR="009B2CF9" w:rsidRPr="005D55D9">
        <w:rPr>
          <w:rFonts w:ascii="Times New Roman" w:hAnsi="Times New Roman" w:cs="Times New Roman"/>
        </w:rPr>
        <w:t>n.s</w:t>
      </w:r>
      <w:proofErr w:type="spellEnd"/>
      <w:r w:rsidR="009B2CF9" w:rsidRPr="005D55D9">
        <w:rPr>
          <w:rFonts w:ascii="Times New Roman" w:hAnsi="Times New Roman" w:cs="Times New Roman"/>
        </w:rPr>
        <w:t>.</w:t>
      </w:r>
      <w:r w:rsidRPr="005D55D9">
        <w:rPr>
          <w:rFonts w:ascii="Times New Roman" w:hAnsi="Times New Roman" w:cs="Times New Roman"/>
        </w:rPr>
        <w:t>).</w:t>
      </w:r>
      <w:r w:rsidR="003F535B" w:rsidRPr="005D55D9">
        <w:rPr>
          <w:rFonts w:ascii="Times New Roman" w:hAnsi="Times New Roman" w:cs="Times New Roman"/>
        </w:rPr>
        <w:t xml:space="preserve"> </w:t>
      </w:r>
      <w:r w:rsidRPr="005D55D9">
        <w:rPr>
          <w:rFonts w:ascii="Times New Roman" w:hAnsi="Times New Roman" w:cs="Times New Roman"/>
        </w:rPr>
        <w:t xml:space="preserve">(c) Mean SD propagation speed during (ci) cycle 1 (Kruskal–Wallis test, </w:t>
      </w:r>
      <w:r w:rsidRPr="005D55D9">
        <w:rPr>
          <w:rFonts w:ascii="Times New Roman" w:hAnsi="Times New Roman" w:cs="Times New Roman"/>
          <w:i/>
          <w:iCs/>
        </w:rPr>
        <w:t>p</w:t>
      </w:r>
      <w:r w:rsidRPr="005D55D9">
        <w:rPr>
          <w:rFonts w:ascii="Times New Roman" w:hAnsi="Times New Roman" w:cs="Times New Roman"/>
        </w:rPr>
        <w:t xml:space="preserve"> = </w:t>
      </w:r>
      <w:r w:rsidR="00765AD1" w:rsidRPr="005D55D9">
        <w:rPr>
          <w:rFonts w:ascii="Times New Roman" w:hAnsi="Times New Roman" w:cs="Times New Roman"/>
        </w:rPr>
        <w:t>0.0155</w:t>
      </w:r>
      <w:r w:rsidRPr="005D55D9">
        <w:rPr>
          <w:rFonts w:ascii="Times New Roman" w:hAnsi="Times New Roman" w:cs="Times New Roman"/>
        </w:rPr>
        <w:t xml:space="preserve">, </w:t>
      </w:r>
      <w:r w:rsidR="00621711" w:rsidRPr="005D55D9">
        <w:rPr>
          <w:rFonts w:ascii="Times New Roman" w:hAnsi="Times New Roman" w:cs="Times New Roman"/>
        </w:rPr>
        <w:t>with</w:t>
      </w:r>
      <w:r w:rsidRPr="005D55D9">
        <w:rPr>
          <w:rFonts w:ascii="Times New Roman" w:hAnsi="Times New Roman" w:cs="Times New Roman"/>
        </w:rPr>
        <w:t xml:space="preserve"> </w:t>
      </w:r>
      <w:r w:rsidR="00765AD1" w:rsidRPr="005D55D9">
        <w:rPr>
          <w:rFonts w:ascii="Times New Roman" w:hAnsi="Times New Roman" w:cs="Times New Roman"/>
        </w:rPr>
        <w:t>Dunn’s multiple comparisons test;</w:t>
      </w:r>
      <w:r w:rsidRPr="005D55D9">
        <w:rPr>
          <w:rFonts w:ascii="Times New Roman" w:hAnsi="Times New Roman" w:cs="Times New Roman"/>
        </w:rPr>
        <w:t xml:space="preserve"> </w:t>
      </w:r>
      <w:r w:rsidRPr="005D55D9">
        <w:rPr>
          <w:rFonts w:ascii="Times New Roman" w:hAnsi="Times New Roman" w:cs="Times New Roman"/>
          <w:i/>
          <w:iCs/>
        </w:rPr>
        <w:t>n</w:t>
      </w:r>
      <w:r w:rsidRPr="005D55D9">
        <w:rPr>
          <w:rFonts w:ascii="Times New Roman" w:hAnsi="Times New Roman" w:cs="Times New Roman"/>
        </w:rPr>
        <w:t xml:space="preserve"> = 8 for </w:t>
      </w:r>
      <w:proofErr w:type="spellStart"/>
      <w:r w:rsidRPr="005D55D9">
        <w:rPr>
          <w:rFonts w:ascii="Times New Roman" w:hAnsi="Times New Roman" w:cs="Times New Roman"/>
        </w:rPr>
        <w:t>Glc</w:t>
      </w:r>
      <w:proofErr w:type="spellEnd"/>
      <w:r w:rsidRPr="005D55D9">
        <w:rPr>
          <w:rFonts w:ascii="Times New Roman" w:hAnsi="Times New Roman" w:cs="Times New Roman"/>
        </w:rPr>
        <w:t xml:space="preserve"> and 10 mM BHB, </w:t>
      </w:r>
      <w:r w:rsidRPr="005D55D9">
        <w:rPr>
          <w:rFonts w:ascii="Times New Roman" w:hAnsi="Times New Roman" w:cs="Times New Roman"/>
          <w:i/>
          <w:iCs/>
        </w:rPr>
        <w:t>n</w:t>
      </w:r>
      <w:r w:rsidRPr="005D55D9">
        <w:rPr>
          <w:rFonts w:ascii="Times New Roman" w:hAnsi="Times New Roman" w:cs="Times New Roman"/>
        </w:rPr>
        <w:t xml:space="preserve"> = 7 for </w:t>
      </w:r>
      <w:proofErr w:type="spellStart"/>
      <w:r w:rsidRPr="005D55D9">
        <w:rPr>
          <w:rFonts w:ascii="Times New Roman" w:hAnsi="Times New Roman" w:cs="Times New Roman"/>
        </w:rPr>
        <w:t>Suc</w:t>
      </w:r>
      <w:proofErr w:type="spellEnd"/>
      <w:r w:rsidRPr="005D55D9">
        <w:rPr>
          <w:rFonts w:ascii="Times New Roman" w:hAnsi="Times New Roman" w:cs="Times New Roman"/>
        </w:rPr>
        <w:t xml:space="preserve">, </w:t>
      </w:r>
      <w:r w:rsidRPr="005D55D9">
        <w:rPr>
          <w:rFonts w:ascii="Times New Roman" w:hAnsi="Times New Roman" w:cs="Times New Roman"/>
          <w:i/>
          <w:iCs/>
        </w:rPr>
        <w:t>n</w:t>
      </w:r>
      <w:r w:rsidRPr="005D55D9">
        <w:rPr>
          <w:rFonts w:ascii="Times New Roman" w:hAnsi="Times New Roman" w:cs="Times New Roman"/>
        </w:rPr>
        <w:t xml:space="preserve"> = 5 for 2 mM BHB; </w:t>
      </w:r>
      <w:proofErr w:type="spellStart"/>
      <w:r w:rsidRPr="005D55D9">
        <w:rPr>
          <w:rFonts w:ascii="Times New Roman" w:hAnsi="Times New Roman" w:cs="Times New Roman"/>
        </w:rPr>
        <w:t>Glc</w:t>
      </w:r>
      <w:proofErr w:type="spellEnd"/>
      <w:r w:rsidRPr="005D55D9">
        <w:rPr>
          <w:rFonts w:ascii="Times New Roman" w:hAnsi="Times New Roman" w:cs="Times New Roman"/>
        </w:rPr>
        <w:t xml:space="preserve"> vs 2 mM BHB, </w:t>
      </w:r>
      <w:r w:rsidRPr="005D55D9">
        <w:rPr>
          <w:rFonts w:ascii="Times New Roman" w:hAnsi="Times New Roman" w:cs="Times New Roman"/>
          <w:i/>
          <w:iCs/>
        </w:rPr>
        <w:t>p</w:t>
      </w:r>
      <w:r w:rsidRPr="005D55D9">
        <w:rPr>
          <w:rFonts w:ascii="Times New Roman" w:hAnsi="Times New Roman" w:cs="Times New Roman"/>
        </w:rPr>
        <w:t xml:space="preserve"> = 0.0</w:t>
      </w:r>
      <w:r w:rsidR="00441F1A" w:rsidRPr="005D55D9">
        <w:rPr>
          <w:rFonts w:ascii="Times New Roman" w:hAnsi="Times New Roman" w:cs="Times New Roman"/>
        </w:rPr>
        <w:t>111</w:t>
      </w:r>
      <w:r w:rsidRPr="005D55D9">
        <w:rPr>
          <w:rFonts w:ascii="Times New Roman" w:hAnsi="Times New Roman" w:cs="Times New Roman"/>
        </w:rPr>
        <w:t xml:space="preserve">) and (cii) cycle 2 (Kruskal–Wallis test, </w:t>
      </w:r>
      <w:r w:rsidRPr="005D55D9">
        <w:rPr>
          <w:rFonts w:ascii="Times New Roman" w:hAnsi="Times New Roman" w:cs="Times New Roman"/>
          <w:i/>
          <w:iCs/>
        </w:rPr>
        <w:t>p</w:t>
      </w:r>
      <w:r w:rsidRPr="005D55D9">
        <w:rPr>
          <w:rFonts w:ascii="Times New Roman" w:hAnsi="Times New Roman" w:cs="Times New Roman"/>
        </w:rPr>
        <w:t xml:space="preserve"> = </w:t>
      </w:r>
      <w:r w:rsidR="00F61DFD" w:rsidRPr="005D55D9">
        <w:rPr>
          <w:rFonts w:ascii="Times New Roman" w:hAnsi="Times New Roman" w:cs="Times New Roman"/>
        </w:rPr>
        <w:t>0.0004,</w:t>
      </w:r>
      <w:r w:rsidRPr="005D55D9">
        <w:rPr>
          <w:rFonts w:ascii="Times New Roman" w:hAnsi="Times New Roman" w:cs="Times New Roman"/>
        </w:rPr>
        <w:t xml:space="preserve"> </w:t>
      </w:r>
      <w:r w:rsidR="00621711" w:rsidRPr="005D55D9">
        <w:rPr>
          <w:rFonts w:ascii="Times New Roman" w:hAnsi="Times New Roman" w:cs="Times New Roman"/>
        </w:rPr>
        <w:t>with</w:t>
      </w:r>
      <w:r w:rsidRPr="005D55D9">
        <w:rPr>
          <w:rFonts w:ascii="Times New Roman" w:hAnsi="Times New Roman" w:cs="Times New Roman"/>
        </w:rPr>
        <w:t xml:space="preserve"> </w:t>
      </w:r>
      <w:r w:rsidR="007A5316" w:rsidRPr="005D55D9">
        <w:rPr>
          <w:rFonts w:ascii="Times New Roman" w:hAnsi="Times New Roman" w:cs="Times New Roman"/>
        </w:rPr>
        <w:t>Dunn’s multiple comparisons test</w:t>
      </w:r>
      <w:r w:rsidRPr="005D55D9">
        <w:rPr>
          <w:rFonts w:ascii="Times New Roman" w:hAnsi="Times New Roman" w:cs="Times New Roman"/>
        </w:rPr>
        <w:t xml:space="preserve">; </w:t>
      </w:r>
      <w:r w:rsidRPr="005D55D9">
        <w:rPr>
          <w:rFonts w:ascii="Times New Roman" w:hAnsi="Times New Roman" w:cs="Times New Roman"/>
          <w:i/>
          <w:iCs/>
        </w:rPr>
        <w:t>n</w:t>
      </w:r>
      <w:r w:rsidRPr="005D55D9">
        <w:rPr>
          <w:rFonts w:ascii="Times New Roman" w:hAnsi="Times New Roman" w:cs="Times New Roman"/>
        </w:rPr>
        <w:t xml:space="preserve"> = 8 for </w:t>
      </w:r>
      <w:proofErr w:type="spellStart"/>
      <w:r w:rsidRPr="005D55D9">
        <w:rPr>
          <w:rFonts w:ascii="Times New Roman" w:hAnsi="Times New Roman" w:cs="Times New Roman"/>
        </w:rPr>
        <w:t>Glc</w:t>
      </w:r>
      <w:proofErr w:type="spellEnd"/>
      <w:r w:rsidRPr="005D55D9">
        <w:rPr>
          <w:rFonts w:ascii="Times New Roman" w:hAnsi="Times New Roman" w:cs="Times New Roman"/>
        </w:rPr>
        <w:t xml:space="preserve"> and 10 mM BHB, </w:t>
      </w:r>
      <w:r w:rsidRPr="005D55D9">
        <w:rPr>
          <w:rFonts w:ascii="Times New Roman" w:hAnsi="Times New Roman" w:cs="Times New Roman"/>
          <w:i/>
          <w:iCs/>
        </w:rPr>
        <w:t>n</w:t>
      </w:r>
      <w:r w:rsidRPr="005D55D9">
        <w:rPr>
          <w:rFonts w:ascii="Times New Roman" w:hAnsi="Times New Roman" w:cs="Times New Roman"/>
        </w:rPr>
        <w:t xml:space="preserve"> = 4 for 2 mM BHB; 10 mM BHB vs 2 mM BHB, </w:t>
      </w:r>
      <w:r w:rsidRPr="005D55D9">
        <w:rPr>
          <w:rFonts w:ascii="Times New Roman" w:hAnsi="Times New Roman" w:cs="Times New Roman"/>
          <w:i/>
          <w:iCs/>
        </w:rPr>
        <w:t>p</w:t>
      </w:r>
      <w:r w:rsidRPr="005D55D9">
        <w:rPr>
          <w:rFonts w:ascii="Times New Roman" w:hAnsi="Times New Roman" w:cs="Times New Roman"/>
        </w:rPr>
        <w:t xml:space="preserve"> = </w:t>
      </w:r>
      <w:r w:rsidR="002D153D" w:rsidRPr="005D55D9">
        <w:rPr>
          <w:rFonts w:ascii="Times New Roman" w:hAnsi="Times New Roman" w:cs="Times New Roman"/>
        </w:rPr>
        <w:t>0.0019</w:t>
      </w:r>
      <w:r w:rsidRPr="005D55D9">
        <w:rPr>
          <w:rFonts w:ascii="Times New Roman" w:hAnsi="Times New Roman" w:cs="Times New Roman"/>
        </w:rPr>
        <w:t>).</w:t>
      </w:r>
      <w:r w:rsidR="00632095" w:rsidRPr="005D55D9">
        <w:rPr>
          <w:rFonts w:ascii="Times New Roman" w:hAnsi="Times New Roman" w:cs="Times New Roman"/>
        </w:rPr>
        <w:t xml:space="preserve"> </w:t>
      </w:r>
      <w:r w:rsidRPr="005D55D9">
        <w:rPr>
          <w:rFonts w:ascii="Times New Roman" w:hAnsi="Times New Roman" w:cs="Times New Roman"/>
        </w:rPr>
        <w:t>Boxplots display the median and interquartile range, with whiskers extending to the minimum and maximum values. *</w:t>
      </w:r>
      <w:r w:rsidRPr="005D55D9">
        <w:rPr>
          <w:rFonts w:ascii="Times New Roman" w:hAnsi="Times New Roman" w:cs="Times New Roman"/>
          <w:i/>
          <w:iCs/>
        </w:rPr>
        <w:t>p</w:t>
      </w:r>
      <w:r w:rsidRPr="005D55D9">
        <w:rPr>
          <w:rFonts w:ascii="Times New Roman" w:hAnsi="Times New Roman" w:cs="Times New Roman"/>
        </w:rPr>
        <w:t xml:space="preserve"> &lt; 0.05, **</w:t>
      </w:r>
      <w:r w:rsidRPr="005D55D9">
        <w:rPr>
          <w:rFonts w:ascii="Times New Roman" w:hAnsi="Times New Roman" w:cs="Times New Roman"/>
          <w:i/>
          <w:iCs/>
        </w:rPr>
        <w:t>p</w:t>
      </w:r>
      <w:r w:rsidRPr="005D55D9">
        <w:rPr>
          <w:rFonts w:ascii="Times New Roman" w:hAnsi="Times New Roman" w:cs="Times New Roman"/>
        </w:rPr>
        <w:t xml:space="preserve"> &lt; 0.01</w:t>
      </w:r>
      <w:r w:rsidR="00597D14" w:rsidRPr="005D55D9">
        <w:rPr>
          <w:rFonts w:ascii="Times New Roman" w:hAnsi="Times New Roman" w:cs="Times New Roman"/>
        </w:rPr>
        <w:t>, ***</w:t>
      </w:r>
      <w:r w:rsidR="00597D14" w:rsidRPr="005D55D9">
        <w:rPr>
          <w:rFonts w:ascii="Times New Roman" w:hAnsi="Times New Roman" w:cs="Times New Roman"/>
          <w:i/>
          <w:iCs/>
        </w:rPr>
        <w:t>p</w:t>
      </w:r>
      <w:r w:rsidR="00597D14" w:rsidRPr="005D55D9">
        <w:rPr>
          <w:rFonts w:ascii="Times New Roman" w:hAnsi="Times New Roman" w:cs="Times New Roman"/>
        </w:rPr>
        <w:t xml:space="preserve"> &lt; 0.001</w:t>
      </w:r>
      <w:r w:rsidRPr="005D55D9">
        <w:rPr>
          <w:rFonts w:ascii="Times New Roman" w:hAnsi="Times New Roman" w:cs="Times New Roman"/>
        </w:rPr>
        <w:t>.</w:t>
      </w:r>
    </w:p>
    <w:p w14:paraId="2866C8C9" w14:textId="3D1F3827" w:rsidR="008C5C54" w:rsidRPr="005D55D9" w:rsidRDefault="008C5C54" w:rsidP="00DE3393">
      <w:pPr>
        <w:spacing w:line="360" w:lineRule="auto"/>
        <w:rPr>
          <w:rFonts w:ascii="Times New Roman" w:hAnsi="Times New Roman" w:cs="Times New Roman"/>
        </w:rPr>
      </w:pPr>
    </w:p>
    <w:p w14:paraId="3646452D" w14:textId="77777777" w:rsidR="008B682B" w:rsidRDefault="008B68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B98E123" w14:textId="06925151" w:rsidR="00DE3393" w:rsidRPr="005D55D9" w:rsidRDefault="00DE3393" w:rsidP="004F7FAF">
      <w:pPr>
        <w:spacing w:line="360" w:lineRule="auto"/>
        <w:jc w:val="center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4E4BAEC" wp14:editId="59429EF8">
            <wp:extent cx="3200400" cy="2414337"/>
            <wp:effectExtent l="0" t="0" r="0" b="0"/>
            <wp:docPr id="6744684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468490" name="Picture 67446849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50829" w14:textId="57191229" w:rsidR="00CF4DE2" w:rsidRDefault="004F7FAF" w:rsidP="00CF4DE2">
      <w:pPr>
        <w:spacing w:line="360" w:lineRule="auto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  <w:b/>
          <w:bCs/>
        </w:rPr>
        <w:t>Fig. S3</w:t>
      </w:r>
      <w:r w:rsidRPr="005D55D9">
        <w:rPr>
          <w:rFonts w:ascii="Times New Roman" w:hAnsi="Times New Roman" w:cs="Times New Roman"/>
        </w:rPr>
        <w:t xml:space="preserve"> </w:t>
      </w:r>
      <w:r w:rsidR="007F5582" w:rsidRPr="005D55D9">
        <w:rPr>
          <w:rFonts w:ascii="Times New Roman" w:hAnsi="Times New Roman" w:cs="Times New Roman"/>
        </w:rPr>
        <w:t>Glutathione redox potential in mouse brain slices following incubation with glucose or β-hydroxybutyrate (BHB). Acute mouse brain slices were incubated for 3 hours in aCSF containing 10 mM glucose or 10 mM BHB. Reduced glutathione (GSH) and glutathione disulfide (GSSG) were quantified by HPLC and used to calculate the GSSG/GSH redox potential [</w:t>
      </w:r>
      <w:r w:rsidR="007F5582" w:rsidRPr="005D55D9">
        <w:rPr>
          <w:rFonts w:ascii="Times New Roman" w:hAnsi="Times New Roman" w:cs="Times New Roman"/>
          <w:i/>
          <w:iCs/>
        </w:rPr>
        <w:t>E</w:t>
      </w:r>
      <w:r w:rsidR="00076EE2" w:rsidRPr="005D55D9">
        <w:rPr>
          <w:rFonts w:ascii="Times New Roman" w:hAnsi="Times New Roman" w:cs="Times New Roman"/>
          <w:i/>
          <w:iCs/>
          <w:vertAlign w:val="subscript"/>
        </w:rPr>
        <w:t>h</w:t>
      </w:r>
      <w:r w:rsidR="007F5582" w:rsidRPr="005D55D9">
        <w:rPr>
          <w:rFonts w:ascii="Times New Roman" w:hAnsi="Times New Roman" w:cs="Times New Roman"/>
        </w:rPr>
        <w:t xml:space="preserve">(GSSG/GSH)], with more positive values indicating a more oxidized redox state. </w:t>
      </w:r>
      <w:r w:rsidR="00C82C98" w:rsidRPr="005D55D9">
        <w:rPr>
          <w:rFonts w:ascii="Times New Roman" w:hAnsi="Times New Roman" w:cs="Times New Roman"/>
        </w:rPr>
        <w:t xml:space="preserve">Samples were analyzed in technical duplicate, with duplicate measurements averaged to yield one value per biological sample. </w:t>
      </w:r>
      <w:r w:rsidR="007F5582" w:rsidRPr="005D55D9">
        <w:rPr>
          <w:rFonts w:ascii="Times New Roman" w:hAnsi="Times New Roman" w:cs="Times New Roman"/>
          <w:i/>
          <w:iCs/>
        </w:rPr>
        <w:t>E</w:t>
      </w:r>
      <w:r w:rsidR="00076EE2" w:rsidRPr="005D55D9">
        <w:rPr>
          <w:rFonts w:ascii="Times New Roman" w:hAnsi="Times New Roman" w:cs="Times New Roman"/>
          <w:i/>
          <w:iCs/>
          <w:vertAlign w:val="subscript"/>
        </w:rPr>
        <w:t>h</w:t>
      </w:r>
      <w:r w:rsidR="007F5582" w:rsidRPr="005D55D9">
        <w:rPr>
          <w:rFonts w:ascii="Times New Roman" w:hAnsi="Times New Roman" w:cs="Times New Roman"/>
        </w:rPr>
        <w:t xml:space="preserve">(GSSG/GSH) did not significantly differ between glucose- and BHB-incubated tissue (two-tailed unpaired Welch’s </w:t>
      </w:r>
      <w:r w:rsidR="007F5582" w:rsidRPr="005D55D9">
        <w:rPr>
          <w:rFonts w:ascii="Times New Roman" w:hAnsi="Times New Roman" w:cs="Times New Roman"/>
          <w:i/>
          <w:iCs/>
        </w:rPr>
        <w:t>t</w:t>
      </w:r>
      <w:r w:rsidR="007F5582" w:rsidRPr="005D55D9">
        <w:rPr>
          <w:rFonts w:ascii="Times New Roman" w:hAnsi="Times New Roman" w:cs="Times New Roman"/>
        </w:rPr>
        <w:t xml:space="preserve"> test, </w:t>
      </w:r>
      <w:r w:rsidR="007F5582" w:rsidRPr="005D55D9">
        <w:rPr>
          <w:rFonts w:ascii="Times New Roman" w:hAnsi="Times New Roman" w:cs="Times New Roman"/>
          <w:i/>
          <w:iCs/>
        </w:rPr>
        <w:t>p</w:t>
      </w:r>
      <w:r w:rsidR="007F5582" w:rsidRPr="005D55D9">
        <w:rPr>
          <w:rFonts w:ascii="Times New Roman" w:hAnsi="Times New Roman" w:cs="Times New Roman"/>
        </w:rPr>
        <w:t xml:space="preserve"> = 0.7314; </w:t>
      </w:r>
      <w:r w:rsidR="007F5582" w:rsidRPr="005D55D9">
        <w:rPr>
          <w:rFonts w:ascii="Times New Roman" w:hAnsi="Times New Roman" w:cs="Times New Roman"/>
          <w:i/>
          <w:iCs/>
        </w:rPr>
        <w:t>n</w:t>
      </w:r>
      <w:r w:rsidR="007F5582" w:rsidRPr="005D55D9">
        <w:rPr>
          <w:rFonts w:ascii="Times New Roman" w:hAnsi="Times New Roman" w:cs="Times New Roman"/>
        </w:rPr>
        <w:t xml:space="preserve"> = 6 per group). </w:t>
      </w:r>
      <w:r w:rsidR="00AC208C" w:rsidRPr="005D55D9">
        <w:rPr>
          <w:rFonts w:ascii="Times New Roman" w:hAnsi="Times New Roman" w:cs="Times New Roman"/>
        </w:rPr>
        <w:t>Box plots show the median and interquartile range, with whiskers extending to the minimum and maximum values</w:t>
      </w:r>
      <w:r w:rsidR="00F71514">
        <w:rPr>
          <w:rFonts w:ascii="Times New Roman" w:hAnsi="Times New Roman" w:cs="Times New Roman"/>
        </w:rPr>
        <w:t>.</w:t>
      </w:r>
    </w:p>
    <w:p w14:paraId="1848E89D" w14:textId="77777777" w:rsidR="00F71514" w:rsidRDefault="00F71514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br w:type="page"/>
      </w:r>
    </w:p>
    <w:p w14:paraId="696F75AB" w14:textId="77DA99BD" w:rsidR="00A7257F" w:rsidRPr="00CF4DE2" w:rsidRDefault="005B7856" w:rsidP="00CF4DE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lastRenderedPageBreak/>
        <w:t xml:space="preserve">Supplementary </w:t>
      </w:r>
      <w:r w:rsidR="00467FBD" w:rsidRPr="005D55D9">
        <w:rPr>
          <w:rFonts w:ascii="Times New Roman" w:hAnsi="Times New Roman" w:cs="Times New Roman"/>
          <w:i/>
          <w:iCs/>
        </w:rPr>
        <w:t>References</w:t>
      </w:r>
    </w:p>
    <w:p w14:paraId="2EF259C7" w14:textId="77777777" w:rsidR="007C4658" w:rsidRPr="007C4658" w:rsidRDefault="00A7257F" w:rsidP="007C4658">
      <w:pPr>
        <w:pStyle w:val="EndNoteBibliography"/>
        <w:spacing w:after="0"/>
        <w:ind w:left="720" w:hanging="720"/>
        <w:rPr>
          <w:noProof/>
        </w:rPr>
      </w:pPr>
      <w:r w:rsidRPr="005D55D9">
        <w:fldChar w:fldCharType="begin"/>
      </w:r>
      <w:r w:rsidRPr="005D55D9">
        <w:instrText xml:space="preserve"> ADDIN EN.REFLIST </w:instrText>
      </w:r>
      <w:r w:rsidRPr="005D55D9">
        <w:fldChar w:fldCharType="separate"/>
      </w:r>
      <w:r w:rsidR="007C4658" w:rsidRPr="007C4658">
        <w:rPr>
          <w:noProof/>
        </w:rPr>
        <w:t>Harris C, Hansen JM (2012) Oxidative Stress, Thiols, and Redox Profiles. In: Harris C, Hansen JM (eds) Developmental Toxicology: Methods and Protocols. Humana Press, Totowa, NJ, pp 325–346. doi:10.1007/978-1-61779-867-2_21</w:t>
      </w:r>
    </w:p>
    <w:p w14:paraId="29BC1AE8" w14:textId="5E30D041" w:rsidR="007C4658" w:rsidRPr="007C4658" w:rsidRDefault="007C4658" w:rsidP="007C4658">
      <w:pPr>
        <w:pStyle w:val="EndNoteBibliography"/>
        <w:ind w:left="720" w:hanging="720"/>
        <w:rPr>
          <w:noProof/>
        </w:rPr>
      </w:pPr>
      <w:r w:rsidRPr="007C4658">
        <w:rPr>
          <w:noProof/>
        </w:rPr>
        <w:t>Jones DP, Carlson JL, Samiec PS, Sternberg P, Mody VC, Reed RL, Brown LAS (1998) Glutathione measurement in human plasma: Evaluation of sample collection, storage and derivatization conditions for analysis of dansyl derivatives by HPLC. Clinica Chimica Acta 275 (2):175–184. doi:</w:t>
      </w:r>
      <w:hyperlink r:id="rId10" w:history="1">
        <w:r w:rsidRPr="007C4658">
          <w:rPr>
            <w:rStyle w:val="Hyperlink"/>
            <w:noProof/>
          </w:rPr>
          <w:t>https://doi.org/10.1016/S0009-8981(98)00089-8</w:t>
        </w:r>
      </w:hyperlink>
    </w:p>
    <w:p w14:paraId="433910F7" w14:textId="649B0282" w:rsidR="00A7257F" w:rsidRPr="00A7257F" w:rsidRDefault="00A7257F" w:rsidP="004F7FAF">
      <w:pPr>
        <w:spacing w:line="360" w:lineRule="auto"/>
        <w:rPr>
          <w:rFonts w:ascii="Times New Roman" w:hAnsi="Times New Roman" w:cs="Times New Roman"/>
        </w:rPr>
      </w:pPr>
      <w:r w:rsidRPr="005D55D9">
        <w:rPr>
          <w:rFonts w:ascii="Times New Roman" w:hAnsi="Times New Roman" w:cs="Times New Roman"/>
        </w:rPr>
        <w:fldChar w:fldCharType="end"/>
      </w:r>
    </w:p>
    <w:sectPr w:rsidR="00A7257F" w:rsidRPr="00A7257F"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D9DE6D" w14:textId="77777777" w:rsidR="008C5F69" w:rsidRDefault="008C5F69" w:rsidP="00B92BCB">
      <w:pPr>
        <w:spacing w:after="0" w:line="240" w:lineRule="auto"/>
      </w:pPr>
      <w:r>
        <w:separator/>
      </w:r>
    </w:p>
  </w:endnote>
  <w:endnote w:type="continuationSeparator" w:id="0">
    <w:p w14:paraId="77806C8B" w14:textId="77777777" w:rsidR="008C5F69" w:rsidRDefault="008C5F69" w:rsidP="00B92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3744683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C7FF21" w14:textId="4B1C0944" w:rsidR="004A2DBB" w:rsidRDefault="004A2DBB" w:rsidP="00CD011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B3676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3C0A3C6" w14:textId="77777777" w:rsidR="004A2DBB" w:rsidRDefault="004A2D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Times New Roman" w:hAnsi="Times New Roman" w:cs="Times New Roman"/>
      </w:rPr>
      <w:id w:val="7582637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73276BF" w14:textId="18F5B329" w:rsidR="004A2DBB" w:rsidRPr="004A2DBB" w:rsidRDefault="004A2DBB" w:rsidP="00CD011C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</w:rPr>
        </w:pPr>
        <w:r w:rsidRPr="004A2DBB">
          <w:rPr>
            <w:rStyle w:val="PageNumber"/>
            <w:rFonts w:ascii="Times New Roman" w:hAnsi="Times New Roman" w:cs="Times New Roman"/>
          </w:rPr>
          <w:fldChar w:fldCharType="begin"/>
        </w:r>
        <w:r w:rsidRPr="004A2DBB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4A2DBB">
          <w:rPr>
            <w:rStyle w:val="PageNumber"/>
            <w:rFonts w:ascii="Times New Roman" w:hAnsi="Times New Roman" w:cs="Times New Roman"/>
          </w:rPr>
          <w:fldChar w:fldCharType="separate"/>
        </w:r>
        <w:r w:rsidRPr="004A2DBB">
          <w:rPr>
            <w:rStyle w:val="PageNumber"/>
            <w:rFonts w:ascii="Times New Roman" w:hAnsi="Times New Roman" w:cs="Times New Roman"/>
            <w:noProof/>
          </w:rPr>
          <w:t>1</w:t>
        </w:r>
        <w:r w:rsidRPr="004A2DBB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1E4B41C3" w14:textId="77777777" w:rsidR="004A2DBB" w:rsidRPr="004A2DBB" w:rsidRDefault="004A2DBB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E85E62" w14:textId="77777777" w:rsidR="008C5F69" w:rsidRDefault="008C5F69" w:rsidP="00B92BCB">
      <w:pPr>
        <w:spacing w:after="0" w:line="240" w:lineRule="auto"/>
      </w:pPr>
      <w:r>
        <w:separator/>
      </w:r>
    </w:p>
  </w:footnote>
  <w:footnote w:type="continuationSeparator" w:id="0">
    <w:p w14:paraId="328141F8" w14:textId="77777777" w:rsidR="008C5F69" w:rsidRDefault="008C5F69" w:rsidP="00B92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B344BF8"/>
    <w:multiLevelType w:val="hybridMultilevel"/>
    <w:tmpl w:val="7F56A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1150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ular Molec Neurobio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d92arspytwrx2ee9pevews8rsfvvf2fr00d&quot;&gt;Parrish Lab_2&lt;record-ids&gt;&lt;item&gt;576&lt;/item&gt;&lt;item&gt;578&lt;/item&gt;&lt;/record-ids&gt;&lt;/item&gt;&lt;/Libraries&gt;"/>
    <w:docVar w:name="EN.UseJSCitationFormat" w:val="False"/>
  </w:docVars>
  <w:rsids>
    <w:rsidRoot w:val="00722A7C"/>
    <w:rsid w:val="00000EA7"/>
    <w:rsid w:val="0000577D"/>
    <w:rsid w:val="0000660F"/>
    <w:rsid w:val="00012F55"/>
    <w:rsid w:val="00015DB7"/>
    <w:rsid w:val="00016910"/>
    <w:rsid w:val="0002167C"/>
    <w:rsid w:val="00023A0E"/>
    <w:rsid w:val="00037091"/>
    <w:rsid w:val="00041B20"/>
    <w:rsid w:val="00043566"/>
    <w:rsid w:val="00065FE2"/>
    <w:rsid w:val="00067336"/>
    <w:rsid w:val="000709E7"/>
    <w:rsid w:val="00072560"/>
    <w:rsid w:val="00072AA3"/>
    <w:rsid w:val="00076EE2"/>
    <w:rsid w:val="000810F1"/>
    <w:rsid w:val="00083654"/>
    <w:rsid w:val="00083800"/>
    <w:rsid w:val="00086E86"/>
    <w:rsid w:val="0008784C"/>
    <w:rsid w:val="000915A9"/>
    <w:rsid w:val="00097A95"/>
    <w:rsid w:val="000A7914"/>
    <w:rsid w:val="000B52D6"/>
    <w:rsid w:val="000C09D4"/>
    <w:rsid w:val="000C0FAC"/>
    <w:rsid w:val="000C50A8"/>
    <w:rsid w:val="000C57D7"/>
    <w:rsid w:val="000E3CD3"/>
    <w:rsid w:val="000E46DD"/>
    <w:rsid w:val="000E6258"/>
    <w:rsid w:val="000F1E79"/>
    <w:rsid w:val="000F48F3"/>
    <w:rsid w:val="000F5D3F"/>
    <w:rsid w:val="000F6104"/>
    <w:rsid w:val="000F7916"/>
    <w:rsid w:val="001021B8"/>
    <w:rsid w:val="0011779C"/>
    <w:rsid w:val="00125197"/>
    <w:rsid w:val="00127B51"/>
    <w:rsid w:val="00133A12"/>
    <w:rsid w:val="00133AC7"/>
    <w:rsid w:val="00142D2A"/>
    <w:rsid w:val="00142DFD"/>
    <w:rsid w:val="001459D4"/>
    <w:rsid w:val="0014715D"/>
    <w:rsid w:val="0015183C"/>
    <w:rsid w:val="0015521F"/>
    <w:rsid w:val="00155C4A"/>
    <w:rsid w:val="00171A7D"/>
    <w:rsid w:val="001725E6"/>
    <w:rsid w:val="0017482C"/>
    <w:rsid w:val="00176285"/>
    <w:rsid w:val="00186B7C"/>
    <w:rsid w:val="00190437"/>
    <w:rsid w:val="001927D6"/>
    <w:rsid w:val="00193B04"/>
    <w:rsid w:val="00194E18"/>
    <w:rsid w:val="00194EFB"/>
    <w:rsid w:val="00197EA0"/>
    <w:rsid w:val="001A0BAE"/>
    <w:rsid w:val="001A26CC"/>
    <w:rsid w:val="001A419E"/>
    <w:rsid w:val="001A4769"/>
    <w:rsid w:val="001A59D6"/>
    <w:rsid w:val="001B5630"/>
    <w:rsid w:val="001B5992"/>
    <w:rsid w:val="001B71B5"/>
    <w:rsid w:val="001C03FC"/>
    <w:rsid w:val="001C1A98"/>
    <w:rsid w:val="001C2DD5"/>
    <w:rsid w:val="001C4D6B"/>
    <w:rsid w:val="001C5B4D"/>
    <w:rsid w:val="001D67A7"/>
    <w:rsid w:val="001D6C48"/>
    <w:rsid w:val="001E4035"/>
    <w:rsid w:val="001E5999"/>
    <w:rsid w:val="001F107D"/>
    <w:rsid w:val="001F3114"/>
    <w:rsid w:val="001F5327"/>
    <w:rsid w:val="001F611B"/>
    <w:rsid w:val="001F7FE8"/>
    <w:rsid w:val="00200462"/>
    <w:rsid w:val="00201C67"/>
    <w:rsid w:val="0020245C"/>
    <w:rsid w:val="00202CCE"/>
    <w:rsid w:val="0021208F"/>
    <w:rsid w:val="0021752B"/>
    <w:rsid w:val="00217902"/>
    <w:rsid w:val="00227692"/>
    <w:rsid w:val="002308A9"/>
    <w:rsid w:val="00240993"/>
    <w:rsid w:val="002418D6"/>
    <w:rsid w:val="00241B9B"/>
    <w:rsid w:val="00247255"/>
    <w:rsid w:val="00247D67"/>
    <w:rsid w:val="002501BD"/>
    <w:rsid w:val="00250753"/>
    <w:rsid w:val="00257406"/>
    <w:rsid w:val="00261838"/>
    <w:rsid w:val="00261F6C"/>
    <w:rsid w:val="00264F5D"/>
    <w:rsid w:val="00267736"/>
    <w:rsid w:val="00273045"/>
    <w:rsid w:val="00274BE9"/>
    <w:rsid w:val="002804CD"/>
    <w:rsid w:val="00285AA5"/>
    <w:rsid w:val="00287718"/>
    <w:rsid w:val="00294293"/>
    <w:rsid w:val="00294B35"/>
    <w:rsid w:val="00297854"/>
    <w:rsid w:val="002A4A39"/>
    <w:rsid w:val="002A6A8C"/>
    <w:rsid w:val="002A729A"/>
    <w:rsid w:val="002B4C81"/>
    <w:rsid w:val="002C006C"/>
    <w:rsid w:val="002C11A6"/>
    <w:rsid w:val="002C3867"/>
    <w:rsid w:val="002C4986"/>
    <w:rsid w:val="002D153D"/>
    <w:rsid w:val="002D2A20"/>
    <w:rsid w:val="002E0071"/>
    <w:rsid w:val="002E1911"/>
    <w:rsid w:val="002E2528"/>
    <w:rsid w:val="002E7457"/>
    <w:rsid w:val="002E7AD5"/>
    <w:rsid w:val="002F04B2"/>
    <w:rsid w:val="002F05EC"/>
    <w:rsid w:val="002F1FEC"/>
    <w:rsid w:val="002F2DB7"/>
    <w:rsid w:val="002F3C5C"/>
    <w:rsid w:val="00300FAA"/>
    <w:rsid w:val="00305149"/>
    <w:rsid w:val="00314352"/>
    <w:rsid w:val="00323970"/>
    <w:rsid w:val="0032442E"/>
    <w:rsid w:val="00326478"/>
    <w:rsid w:val="00327747"/>
    <w:rsid w:val="003305CA"/>
    <w:rsid w:val="0033232D"/>
    <w:rsid w:val="00332AB5"/>
    <w:rsid w:val="00344D0E"/>
    <w:rsid w:val="0034718F"/>
    <w:rsid w:val="00347A8C"/>
    <w:rsid w:val="003519C6"/>
    <w:rsid w:val="0036046D"/>
    <w:rsid w:val="00361278"/>
    <w:rsid w:val="0036247B"/>
    <w:rsid w:val="0036548D"/>
    <w:rsid w:val="0037346D"/>
    <w:rsid w:val="00386DBB"/>
    <w:rsid w:val="00392F69"/>
    <w:rsid w:val="003A2384"/>
    <w:rsid w:val="003B25E8"/>
    <w:rsid w:val="003B30A8"/>
    <w:rsid w:val="003C270C"/>
    <w:rsid w:val="003C2C02"/>
    <w:rsid w:val="003C49FA"/>
    <w:rsid w:val="003C5540"/>
    <w:rsid w:val="003C66A9"/>
    <w:rsid w:val="003C7445"/>
    <w:rsid w:val="003D0195"/>
    <w:rsid w:val="003E0FB8"/>
    <w:rsid w:val="003E1746"/>
    <w:rsid w:val="003E4D27"/>
    <w:rsid w:val="003F219F"/>
    <w:rsid w:val="003F31D4"/>
    <w:rsid w:val="003F535B"/>
    <w:rsid w:val="00402202"/>
    <w:rsid w:val="0040571F"/>
    <w:rsid w:val="00410C30"/>
    <w:rsid w:val="0041302D"/>
    <w:rsid w:val="004210DA"/>
    <w:rsid w:val="00424931"/>
    <w:rsid w:val="0043163A"/>
    <w:rsid w:val="00432D18"/>
    <w:rsid w:val="00437642"/>
    <w:rsid w:val="00441F1A"/>
    <w:rsid w:val="00442742"/>
    <w:rsid w:val="00442926"/>
    <w:rsid w:val="00442CFD"/>
    <w:rsid w:val="00444397"/>
    <w:rsid w:val="004459A4"/>
    <w:rsid w:val="00452156"/>
    <w:rsid w:val="004578D6"/>
    <w:rsid w:val="00465E03"/>
    <w:rsid w:val="00467FBD"/>
    <w:rsid w:val="00471DA5"/>
    <w:rsid w:val="00474EB1"/>
    <w:rsid w:val="0048769B"/>
    <w:rsid w:val="004955AB"/>
    <w:rsid w:val="00496ED0"/>
    <w:rsid w:val="004A0DF8"/>
    <w:rsid w:val="004A2DBB"/>
    <w:rsid w:val="004A4606"/>
    <w:rsid w:val="004A5003"/>
    <w:rsid w:val="004A5991"/>
    <w:rsid w:val="004A67BE"/>
    <w:rsid w:val="004B2C92"/>
    <w:rsid w:val="004B50EE"/>
    <w:rsid w:val="004C1001"/>
    <w:rsid w:val="004C4567"/>
    <w:rsid w:val="004D3469"/>
    <w:rsid w:val="004D45DC"/>
    <w:rsid w:val="004E2CC7"/>
    <w:rsid w:val="004E45AA"/>
    <w:rsid w:val="004E6B0D"/>
    <w:rsid w:val="004F0B7F"/>
    <w:rsid w:val="004F5319"/>
    <w:rsid w:val="004F66E7"/>
    <w:rsid w:val="004F7FAF"/>
    <w:rsid w:val="00502290"/>
    <w:rsid w:val="00502FB4"/>
    <w:rsid w:val="00503290"/>
    <w:rsid w:val="0050536D"/>
    <w:rsid w:val="00506F12"/>
    <w:rsid w:val="00510114"/>
    <w:rsid w:val="0051084E"/>
    <w:rsid w:val="005174F8"/>
    <w:rsid w:val="005204B1"/>
    <w:rsid w:val="005239EE"/>
    <w:rsid w:val="00524102"/>
    <w:rsid w:val="00524EFF"/>
    <w:rsid w:val="00527D6D"/>
    <w:rsid w:val="0053294E"/>
    <w:rsid w:val="00545371"/>
    <w:rsid w:val="00552DAA"/>
    <w:rsid w:val="005559EF"/>
    <w:rsid w:val="0056157B"/>
    <w:rsid w:val="005703AB"/>
    <w:rsid w:val="00571F02"/>
    <w:rsid w:val="00577169"/>
    <w:rsid w:val="00577D52"/>
    <w:rsid w:val="00596229"/>
    <w:rsid w:val="005966A2"/>
    <w:rsid w:val="00597D14"/>
    <w:rsid w:val="005A34A1"/>
    <w:rsid w:val="005A7D01"/>
    <w:rsid w:val="005B2F2D"/>
    <w:rsid w:val="005B7856"/>
    <w:rsid w:val="005C47C3"/>
    <w:rsid w:val="005D24C3"/>
    <w:rsid w:val="005D3E89"/>
    <w:rsid w:val="005D55D9"/>
    <w:rsid w:val="005E0F5D"/>
    <w:rsid w:val="005E3CEE"/>
    <w:rsid w:val="005E525C"/>
    <w:rsid w:val="005E5444"/>
    <w:rsid w:val="006061BD"/>
    <w:rsid w:val="00606DE0"/>
    <w:rsid w:val="00621711"/>
    <w:rsid w:val="006244B0"/>
    <w:rsid w:val="00626EFF"/>
    <w:rsid w:val="00630776"/>
    <w:rsid w:val="00632095"/>
    <w:rsid w:val="00637C93"/>
    <w:rsid w:val="0065168F"/>
    <w:rsid w:val="00654B1E"/>
    <w:rsid w:val="00663AD9"/>
    <w:rsid w:val="00665C9C"/>
    <w:rsid w:val="00676740"/>
    <w:rsid w:val="00676F0F"/>
    <w:rsid w:val="00684D4E"/>
    <w:rsid w:val="006862E4"/>
    <w:rsid w:val="006868FC"/>
    <w:rsid w:val="0069327F"/>
    <w:rsid w:val="006957C2"/>
    <w:rsid w:val="006A7D4A"/>
    <w:rsid w:val="006B2A45"/>
    <w:rsid w:val="006B4A8F"/>
    <w:rsid w:val="006C51AE"/>
    <w:rsid w:val="006C7049"/>
    <w:rsid w:val="006D0045"/>
    <w:rsid w:val="006D275A"/>
    <w:rsid w:val="006D30F6"/>
    <w:rsid w:val="006E154F"/>
    <w:rsid w:val="006F303F"/>
    <w:rsid w:val="006F44D8"/>
    <w:rsid w:val="006F4B9F"/>
    <w:rsid w:val="006F5189"/>
    <w:rsid w:val="006F68F7"/>
    <w:rsid w:val="007042F3"/>
    <w:rsid w:val="00705427"/>
    <w:rsid w:val="00710440"/>
    <w:rsid w:val="00717E4A"/>
    <w:rsid w:val="00722515"/>
    <w:rsid w:val="00722A7C"/>
    <w:rsid w:val="00730118"/>
    <w:rsid w:val="0073173E"/>
    <w:rsid w:val="0074011F"/>
    <w:rsid w:val="007435D9"/>
    <w:rsid w:val="00744534"/>
    <w:rsid w:val="007464CC"/>
    <w:rsid w:val="00747198"/>
    <w:rsid w:val="00753090"/>
    <w:rsid w:val="00755679"/>
    <w:rsid w:val="007631E4"/>
    <w:rsid w:val="007642EA"/>
    <w:rsid w:val="00765AD1"/>
    <w:rsid w:val="00781964"/>
    <w:rsid w:val="00782572"/>
    <w:rsid w:val="00783303"/>
    <w:rsid w:val="0079122A"/>
    <w:rsid w:val="0079525A"/>
    <w:rsid w:val="00795549"/>
    <w:rsid w:val="007A1006"/>
    <w:rsid w:val="007A50D7"/>
    <w:rsid w:val="007A5316"/>
    <w:rsid w:val="007A5F6D"/>
    <w:rsid w:val="007A6825"/>
    <w:rsid w:val="007B6190"/>
    <w:rsid w:val="007B711D"/>
    <w:rsid w:val="007C4658"/>
    <w:rsid w:val="007C5719"/>
    <w:rsid w:val="007D3A76"/>
    <w:rsid w:val="007D546E"/>
    <w:rsid w:val="007D6A86"/>
    <w:rsid w:val="007E1DEA"/>
    <w:rsid w:val="007E5376"/>
    <w:rsid w:val="007E7CCC"/>
    <w:rsid w:val="007F1815"/>
    <w:rsid w:val="007F1E20"/>
    <w:rsid w:val="007F3A22"/>
    <w:rsid w:val="007F5582"/>
    <w:rsid w:val="008039F5"/>
    <w:rsid w:val="00803A22"/>
    <w:rsid w:val="0080430E"/>
    <w:rsid w:val="00811C5F"/>
    <w:rsid w:val="0081253B"/>
    <w:rsid w:val="00821902"/>
    <w:rsid w:val="008222BE"/>
    <w:rsid w:val="008259AD"/>
    <w:rsid w:val="00834AE7"/>
    <w:rsid w:val="0083702A"/>
    <w:rsid w:val="00841913"/>
    <w:rsid w:val="00851EEB"/>
    <w:rsid w:val="0085596A"/>
    <w:rsid w:val="0086554F"/>
    <w:rsid w:val="008752DD"/>
    <w:rsid w:val="008864E3"/>
    <w:rsid w:val="00893394"/>
    <w:rsid w:val="008949F1"/>
    <w:rsid w:val="008A15E0"/>
    <w:rsid w:val="008A3A2A"/>
    <w:rsid w:val="008B2B20"/>
    <w:rsid w:val="008B3AAA"/>
    <w:rsid w:val="008B5008"/>
    <w:rsid w:val="008B682B"/>
    <w:rsid w:val="008C4C3A"/>
    <w:rsid w:val="008C5C54"/>
    <w:rsid w:val="008C5F69"/>
    <w:rsid w:val="008C66C0"/>
    <w:rsid w:val="008C6F5C"/>
    <w:rsid w:val="008D7244"/>
    <w:rsid w:val="008E13CE"/>
    <w:rsid w:val="008E6F16"/>
    <w:rsid w:val="008F0950"/>
    <w:rsid w:val="008F364C"/>
    <w:rsid w:val="008F4773"/>
    <w:rsid w:val="008F52D0"/>
    <w:rsid w:val="008F69CA"/>
    <w:rsid w:val="009035D3"/>
    <w:rsid w:val="00915184"/>
    <w:rsid w:val="0092102E"/>
    <w:rsid w:val="00923AD8"/>
    <w:rsid w:val="009279B6"/>
    <w:rsid w:val="009302D5"/>
    <w:rsid w:val="009314DE"/>
    <w:rsid w:val="00947BF2"/>
    <w:rsid w:val="00955C23"/>
    <w:rsid w:val="00955D77"/>
    <w:rsid w:val="00955DF1"/>
    <w:rsid w:val="00956EA5"/>
    <w:rsid w:val="00957D79"/>
    <w:rsid w:val="00961E69"/>
    <w:rsid w:val="00963FD8"/>
    <w:rsid w:val="00980955"/>
    <w:rsid w:val="00987856"/>
    <w:rsid w:val="009A547C"/>
    <w:rsid w:val="009B1909"/>
    <w:rsid w:val="009B1B06"/>
    <w:rsid w:val="009B1DE4"/>
    <w:rsid w:val="009B2CF9"/>
    <w:rsid w:val="009C0878"/>
    <w:rsid w:val="009C3875"/>
    <w:rsid w:val="009C6610"/>
    <w:rsid w:val="009D2EA2"/>
    <w:rsid w:val="009D4BB7"/>
    <w:rsid w:val="009E53BB"/>
    <w:rsid w:val="009F1F2E"/>
    <w:rsid w:val="009F3635"/>
    <w:rsid w:val="009F4DB8"/>
    <w:rsid w:val="00A013A8"/>
    <w:rsid w:val="00A05719"/>
    <w:rsid w:val="00A21BC9"/>
    <w:rsid w:val="00A238C7"/>
    <w:rsid w:val="00A23CB6"/>
    <w:rsid w:val="00A27DAB"/>
    <w:rsid w:val="00A3700C"/>
    <w:rsid w:val="00A3776A"/>
    <w:rsid w:val="00A52E9A"/>
    <w:rsid w:val="00A53891"/>
    <w:rsid w:val="00A66E4F"/>
    <w:rsid w:val="00A7257F"/>
    <w:rsid w:val="00A93D5B"/>
    <w:rsid w:val="00A951C0"/>
    <w:rsid w:val="00AA4621"/>
    <w:rsid w:val="00AC03E0"/>
    <w:rsid w:val="00AC0E9C"/>
    <w:rsid w:val="00AC173A"/>
    <w:rsid w:val="00AC208C"/>
    <w:rsid w:val="00AC3C33"/>
    <w:rsid w:val="00AE241E"/>
    <w:rsid w:val="00AE2437"/>
    <w:rsid w:val="00AE4FA2"/>
    <w:rsid w:val="00AF082A"/>
    <w:rsid w:val="00AF3E3C"/>
    <w:rsid w:val="00AF53D5"/>
    <w:rsid w:val="00AF637E"/>
    <w:rsid w:val="00B02CFF"/>
    <w:rsid w:val="00B11C55"/>
    <w:rsid w:val="00B149C0"/>
    <w:rsid w:val="00B15DB0"/>
    <w:rsid w:val="00B36484"/>
    <w:rsid w:val="00B37B55"/>
    <w:rsid w:val="00B413BD"/>
    <w:rsid w:val="00B45A5F"/>
    <w:rsid w:val="00B50130"/>
    <w:rsid w:val="00B5232E"/>
    <w:rsid w:val="00B53A8A"/>
    <w:rsid w:val="00B55DD4"/>
    <w:rsid w:val="00B6141A"/>
    <w:rsid w:val="00B63F77"/>
    <w:rsid w:val="00B704E8"/>
    <w:rsid w:val="00B70DEE"/>
    <w:rsid w:val="00B81966"/>
    <w:rsid w:val="00B84CDE"/>
    <w:rsid w:val="00B9249C"/>
    <w:rsid w:val="00B92BCB"/>
    <w:rsid w:val="00B97C56"/>
    <w:rsid w:val="00BA7870"/>
    <w:rsid w:val="00BC5201"/>
    <w:rsid w:val="00BD2999"/>
    <w:rsid w:val="00BD504D"/>
    <w:rsid w:val="00BD602D"/>
    <w:rsid w:val="00BD7C81"/>
    <w:rsid w:val="00BE003B"/>
    <w:rsid w:val="00BE3540"/>
    <w:rsid w:val="00BE548E"/>
    <w:rsid w:val="00BF4ED1"/>
    <w:rsid w:val="00BF51CD"/>
    <w:rsid w:val="00BF6344"/>
    <w:rsid w:val="00BF7728"/>
    <w:rsid w:val="00BF7C7D"/>
    <w:rsid w:val="00C00789"/>
    <w:rsid w:val="00C10B7A"/>
    <w:rsid w:val="00C15A9B"/>
    <w:rsid w:val="00C1757F"/>
    <w:rsid w:val="00C2131F"/>
    <w:rsid w:val="00C217B6"/>
    <w:rsid w:val="00C220FD"/>
    <w:rsid w:val="00C2382E"/>
    <w:rsid w:val="00C263FB"/>
    <w:rsid w:val="00C26A83"/>
    <w:rsid w:val="00C31F8F"/>
    <w:rsid w:val="00C36AB2"/>
    <w:rsid w:val="00C374B3"/>
    <w:rsid w:val="00C44DE0"/>
    <w:rsid w:val="00C47671"/>
    <w:rsid w:val="00C55446"/>
    <w:rsid w:val="00C62BBA"/>
    <w:rsid w:val="00C64C21"/>
    <w:rsid w:val="00C7089E"/>
    <w:rsid w:val="00C70EBC"/>
    <w:rsid w:val="00C732A6"/>
    <w:rsid w:val="00C82C98"/>
    <w:rsid w:val="00C83F75"/>
    <w:rsid w:val="00C85D6D"/>
    <w:rsid w:val="00C862D9"/>
    <w:rsid w:val="00C941D5"/>
    <w:rsid w:val="00C97B5E"/>
    <w:rsid w:val="00CA387B"/>
    <w:rsid w:val="00CB03AD"/>
    <w:rsid w:val="00CB3676"/>
    <w:rsid w:val="00CB5318"/>
    <w:rsid w:val="00CB6E7E"/>
    <w:rsid w:val="00CC151B"/>
    <w:rsid w:val="00CC3B4F"/>
    <w:rsid w:val="00CD1D2D"/>
    <w:rsid w:val="00CE1BC3"/>
    <w:rsid w:val="00CF3B6C"/>
    <w:rsid w:val="00CF4DE2"/>
    <w:rsid w:val="00D028D1"/>
    <w:rsid w:val="00D040ED"/>
    <w:rsid w:val="00D13821"/>
    <w:rsid w:val="00D142CC"/>
    <w:rsid w:val="00D156CE"/>
    <w:rsid w:val="00D201AA"/>
    <w:rsid w:val="00D27697"/>
    <w:rsid w:val="00D330FD"/>
    <w:rsid w:val="00D45843"/>
    <w:rsid w:val="00D51866"/>
    <w:rsid w:val="00D53A4E"/>
    <w:rsid w:val="00D55CA8"/>
    <w:rsid w:val="00D63C63"/>
    <w:rsid w:val="00D65235"/>
    <w:rsid w:val="00D65D6B"/>
    <w:rsid w:val="00D713B5"/>
    <w:rsid w:val="00D84C79"/>
    <w:rsid w:val="00D856BB"/>
    <w:rsid w:val="00D85AED"/>
    <w:rsid w:val="00D86107"/>
    <w:rsid w:val="00D93AFA"/>
    <w:rsid w:val="00D96759"/>
    <w:rsid w:val="00DA50C3"/>
    <w:rsid w:val="00DA5F0D"/>
    <w:rsid w:val="00DB37AE"/>
    <w:rsid w:val="00DC26F3"/>
    <w:rsid w:val="00DC4FC4"/>
    <w:rsid w:val="00DD0CC7"/>
    <w:rsid w:val="00DD3213"/>
    <w:rsid w:val="00DE3393"/>
    <w:rsid w:val="00DE4E42"/>
    <w:rsid w:val="00DE514E"/>
    <w:rsid w:val="00E02F10"/>
    <w:rsid w:val="00E04BD8"/>
    <w:rsid w:val="00E05865"/>
    <w:rsid w:val="00E1122E"/>
    <w:rsid w:val="00E150DF"/>
    <w:rsid w:val="00E20CF6"/>
    <w:rsid w:val="00E45AA1"/>
    <w:rsid w:val="00E47B99"/>
    <w:rsid w:val="00E51A4D"/>
    <w:rsid w:val="00E52090"/>
    <w:rsid w:val="00E5349A"/>
    <w:rsid w:val="00E6787E"/>
    <w:rsid w:val="00E701E3"/>
    <w:rsid w:val="00E70D14"/>
    <w:rsid w:val="00E738AA"/>
    <w:rsid w:val="00E75350"/>
    <w:rsid w:val="00E776F4"/>
    <w:rsid w:val="00E80492"/>
    <w:rsid w:val="00E85198"/>
    <w:rsid w:val="00E935D4"/>
    <w:rsid w:val="00E95233"/>
    <w:rsid w:val="00E95C0A"/>
    <w:rsid w:val="00E974AC"/>
    <w:rsid w:val="00EA10C6"/>
    <w:rsid w:val="00EA4F01"/>
    <w:rsid w:val="00EA5310"/>
    <w:rsid w:val="00EB1C4E"/>
    <w:rsid w:val="00EB35EA"/>
    <w:rsid w:val="00EB5756"/>
    <w:rsid w:val="00EB609F"/>
    <w:rsid w:val="00EC76FA"/>
    <w:rsid w:val="00EC773B"/>
    <w:rsid w:val="00ED1DF6"/>
    <w:rsid w:val="00ED2A53"/>
    <w:rsid w:val="00EF6DD3"/>
    <w:rsid w:val="00F04E9E"/>
    <w:rsid w:val="00F1441A"/>
    <w:rsid w:val="00F15A06"/>
    <w:rsid w:val="00F17E10"/>
    <w:rsid w:val="00F21A19"/>
    <w:rsid w:val="00F21C69"/>
    <w:rsid w:val="00F23150"/>
    <w:rsid w:val="00F272F6"/>
    <w:rsid w:val="00F4473F"/>
    <w:rsid w:val="00F55940"/>
    <w:rsid w:val="00F56DD6"/>
    <w:rsid w:val="00F576FA"/>
    <w:rsid w:val="00F577F5"/>
    <w:rsid w:val="00F61DFD"/>
    <w:rsid w:val="00F643F6"/>
    <w:rsid w:val="00F6598B"/>
    <w:rsid w:val="00F71514"/>
    <w:rsid w:val="00F76351"/>
    <w:rsid w:val="00F8401B"/>
    <w:rsid w:val="00F849F4"/>
    <w:rsid w:val="00F86ACA"/>
    <w:rsid w:val="00F93E83"/>
    <w:rsid w:val="00F93E87"/>
    <w:rsid w:val="00FA364B"/>
    <w:rsid w:val="00FB2A23"/>
    <w:rsid w:val="00FB4B54"/>
    <w:rsid w:val="00FC1539"/>
    <w:rsid w:val="00FC17AB"/>
    <w:rsid w:val="00FC49E3"/>
    <w:rsid w:val="00FC5663"/>
    <w:rsid w:val="00FD0F87"/>
    <w:rsid w:val="00FD15D4"/>
    <w:rsid w:val="00FD6857"/>
    <w:rsid w:val="00FE1DAF"/>
    <w:rsid w:val="00FE5E93"/>
    <w:rsid w:val="00FE6A74"/>
    <w:rsid w:val="00FF26E3"/>
    <w:rsid w:val="00FF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25B85A"/>
  <w15:chartTrackingRefBased/>
  <w15:docId w15:val="{7316D0D4-892B-2649-A3B2-A89C5E2C2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2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A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A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A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A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A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A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A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A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A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A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A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A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A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A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A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A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A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A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A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A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2A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A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A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A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92B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BCB"/>
  </w:style>
  <w:style w:type="paragraph" w:styleId="Footer">
    <w:name w:val="footer"/>
    <w:basedOn w:val="Normal"/>
    <w:link w:val="FooterChar"/>
    <w:uiPriority w:val="99"/>
    <w:unhideWhenUsed/>
    <w:rsid w:val="00B92B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BCB"/>
  </w:style>
  <w:style w:type="character" w:styleId="Hyperlink">
    <w:name w:val="Hyperlink"/>
    <w:basedOn w:val="DefaultParagraphFont"/>
    <w:uiPriority w:val="99"/>
    <w:unhideWhenUsed/>
    <w:rsid w:val="003264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6478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4A2DBB"/>
  </w:style>
  <w:style w:type="paragraph" w:styleId="Revision">
    <w:name w:val="Revision"/>
    <w:hidden/>
    <w:uiPriority w:val="99"/>
    <w:semiHidden/>
    <w:rsid w:val="00410C3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D29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29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29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9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999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A7257F"/>
    <w:pPr>
      <w:spacing w:after="0"/>
      <w:jc w:val="center"/>
    </w:pPr>
    <w:rPr>
      <w:rFonts w:ascii="Times New Roman" w:hAnsi="Times New Roman" w:cs="Times New Roma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7257F"/>
    <w:rPr>
      <w:rFonts w:ascii="Times New Roman" w:hAnsi="Times New Roman" w:cs="Times New Roman"/>
    </w:rPr>
  </w:style>
  <w:style w:type="paragraph" w:customStyle="1" w:styleId="EndNoteBibliography">
    <w:name w:val="EndNote Bibliography"/>
    <w:basedOn w:val="Normal"/>
    <w:link w:val="EndNoteBibliographyChar"/>
    <w:rsid w:val="00A7257F"/>
    <w:pPr>
      <w:spacing w:line="240" w:lineRule="auto"/>
    </w:pPr>
    <w:rPr>
      <w:rFonts w:ascii="Times New Roman" w:hAnsi="Times New Roman" w:cs="Times New Roman"/>
    </w:rPr>
  </w:style>
  <w:style w:type="character" w:customStyle="1" w:styleId="EndNoteBibliographyChar">
    <w:name w:val="EndNote Bibliography Char"/>
    <w:basedOn w:val="DefaultParagraphFont"/>
    <w:link w:val="EndNoteBibliography"/>
    <w:rsid w:val="00A7257F"/>
    <w:rPr>
      <w:rFonts w:ascii="Times New Roman" w:hAnsi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1F532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doi.org/10.1016/S0009-8981(98)00089-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8</Pages>
  <Words>1738</Words>
  <Characters>9909</Characters>
  <Application>Microsoft Office Word</Application>
  <DocSecurity>0</DocSecurity>
  <Lines>82</Lines>
  <Paragraphs>23</Paragraphs>
  <ScaleCrop>false</ScaleCrop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Ricks</dc:creator>
  <cp:keywords/>
  <dc:description/>
  <cp:lastModifiedBy>Rachel Ricks</cp:lastModifiedBy>
  <cp:revision>234</cp:revision>
  <cp:lastPrinted>2026-09-02T06:45:00Z</cp:lastPrinted>
  <dcterms:created xsi:type="dcterms:W3CDTF">2026-08-31T19:01:00Z</dcterms:created>
  <dcterms:modified xsi:type="dcterms:W3CDTF">2026-09-18T15:41:00Z</dcterms:modified>
</cp:coreProperties>
</file>