
<file path=[Content_Types].xml><?xml version="1.0" encoding="utf-8"?>
<Types xmlns="http://schemas.openxmlformats.org/package/2006/content-types">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4D52" w:rsidRPr="009E3A8A" w:rsidRDefault="006C4D52">
      <w:pPr>
        <w:rPr>
          <w:rFonts w:ascii="Times New Roman" w:hAnsi="Times New Roman" w:cs="Times New Roman"/>
          <w:sz w:val="24"/>
          <w:szCs w:val="24"/>
        </w:rPr>
      </w:pPr>
      <w:r w:rsidRPr="009E3A8A">
        <w:rPr>
          <w:rFonts w:ascii="Times New Roman" w:hAnsi="Times New Roman" w:cs="Times New Roman"/>
          <w:sz w:val="24"/>
          <w:szCs w:val="24"/>
        </w:rPr>
        <w:t>Supplemental Reading</w:t>
      </w:r>
    </w:p>
    <w:p w:rsidR="006C4D52" w:rsidRPr="009E3A8A" w:rsidRDefault="006C4D52">
      <w:pPr>
        <w:rPr>
          <w:rFonts w:ascii="Times New Roman" w:hAnsi="Times New Roman" w:cs="Times New Roman"/>
          <w:sz w:val="24"/>
          <w:szCs w:val="24"/>
        </w:rPr>
      </w:pPr>
    </w:p>
    <w:p w:rsidR="006C4D52" w:rsidRPr="00D24313" w:rsidRDefault="006C4D52">
      <w:pPr>
        <w:rPr>
          <w:b/>
        </w:rPr>
      </w:pPr>
      <w:r w:rsidRPr="00D24313">
        <w:rPr>
          <w:rFonts w:ascii="Times New Roman" w:hAnsi="Times New Roman" w:cs="Times New Roman"/>
          <w:b/>
          <w:sz w:val="24"/>
          <w:szCs w:val="24"/>
        </w:rPr>
        <w:t>Methods</w:t>
      </w:r>
    </w:p>
    <w:p w:rsidR="006C4D52" w:rsidRPr="00D058D2" w:rsidRDefault="00D24313" w:rsidP="006C4D52">
      <w:pPr>
        <w:tabs>
          <w:tab w:val="left" w:pos="720"/>
          <w:tab w:val="left" w:pos="4680"/>
        </w:tabs>
        <w:spacing w:line="360" w:lineRule="auto"/>
        <w:rPr>
          <w:rFonts w:ascii="Times New Roman" w:hAnsi="Times New Roman" w:cs="Times New Roman"/>
          <w:sz w:val="24"/>
          <w:szCs w:val="24"/>
        </w:rPr>
      </w:pPr>
      <w:r>
        <w:rPr>
          <w:rFonts w:ascii="Times New Roman" w:hAnsi="Times New Roman" w:cs="Times New Roman"/>
          <w:sz w:val="24"/>
          <w:szCs w:val="24"/>
        </w:rPr>
        <w:tab/>
      </w:r>
      <w:r w:rsidR="006C4D52" w:rsidRPr="00D058D2">
        <w:rPr>
          <w:rFonts w:ascii="Times New Roman" w:hAnsi="Times New Roman" w:cs="Times New Roman"/>
          <w:sz w:val="24"/>
          <w:szCs w:val="24"/>
        </w:rPr>
        <w:t xml:space="preserve">The "system of interest" in this study is the Koyukuk-Middle Yukon (KMY) region. Because this is a regional study the unit of analysis is the regional livelihood zone (LZ) referred to as the Koyukuk-Middle Yukon (KMY) region. A livelihood zone is a “relatively homogeneous area defined specifically in terms of four variables: (1) primary food sources; (2) primary income sources; (3) hazards; and (4) socio-cultural dynamics </w:t>
      </w:r>
      <w:commentRangeStart w:id="0"/>
      <w:r w:rsidR="003E32C9" w:rsidRPr="00D058D2">
        <w:rPr>
          <w:rFonts w:ascii="Times New Roman" w:hAnsi="Times New Roman" w:cs="Times New Roman"/>
          <w:sz w:val="24"/>
          <w:szCs w:val="24"/>
        </w:rPr>
        <w:fldChar w:fldCharType="begin"/>
      </w:r>
      <w:r w:rsidR="006C4D52" w:rsidRPr="00D058D2">
        <w:rPr>
          <w:rFonts w:ascii="Times New Roman" w:hAnsi="Times New Roman" w:cs="Times New Roman"/>
          <w:sz w:val="24"/>
          <w:szCs w:val="24"/>
        </w:rPr>
        <w:instrText xml:space="preserve"> ADDIN EN.CITE &lt;EndNote&gt;&lt;Cite&gt;&lt;Author&gt;Downing&lt;/Author&gt;&lt;Year&gt;2004&lt;/Year&gt;&lt;RecNum&gt;56&lt;/RecNum&gt;&lt;DisplayText&gt;(Downing and Patwardhan 2004)&lt;/DisplayText&gt;&lt;record&gt;&lt;rec-number&gt;56&lt;/rec-number&gt;&lt;foreign-keys&gt;&lt;key app="EN" db-id="rfpxzxtehdawruetvzgx2508xa5pppssfta2"&gt;56&lt;/key&gt;&lt;/foreign-keys&gt;&lt;ref-type name="Book Section"&gt;5&lt;/ref-type&gt;&lt;contributors&gt;&lt;authors&gt;&lt;author&gt;Downing, T.E.&lt;/author&gt;&lt;author&gt;Patwardhan, A.&lt;/author&gt;&lt;/authors&gt;&lt;secondary-authors&gt;&lt;author&gt;Lim, Bo&lt;/author&gt;&lt;author&gt;Spanger-Siegfried, Erika&lt;/author&gt;&lt;/secondary-authors&gt;&lt;/contributors&gt;&lt;titles&gt;&lt;title&gt;Assessing Vulnerability for Climate Adaptation&lt;/title&gt;&lt;secondary-title&gt;Adaptation Policy Frameworks for Climate Change: Developing Strategies, Policies and Measures&lt;/secondary-title&gt;&lt;/titles&gt;&lt;pages&gt;67-89&lt;/pages&gt;&lt;keywords&gt;&lt;keyword&gt;livelihood zones&lt;/keyword&gt;&lt;/keywords&gt;&lt;dates&gt;&lt;year&gt;2004&lt;/year&gt;&lt;/dates&gt;&lt;pub-location&gt;Cambridge&lt;/pub-location&gt;&lt;publisher&gt;Cambridge University Press&lt;/publisher&gt;&lt;urls&gt;&lt;related-urls&gt;&lt;url&gt;http://www.undp.org/gef/05/documents/publications/apf-technical-paper03.pdf&lt;/url&gt;&lt;/related-urls&gt;&lt;/urls&gt;&lt;/record&gt;&lt;/Cite&gt;&lt;/EndNote&gt;</w:instrText>
      </w:r>
      <w:r w:rsidR="003E32C9" w:rsidRPr="00D058D2">
        <w:rPr>
          <w:rFonts w:ascii="Times New Roman" w:hAnsi="Times New Roman" w:cs="Times New Roman"/>
          <w:sz w:val="24"/>
          <w:szCs w:val="24"/>
        </w:rPr>
        <w:fldChar w:fldCharType="separate"/>
      </w:r>
      <w:r w:rsidR="006C4D52" w:rsidRPr="00D058D2">
        <w:rPr>
          <w:rFonts w:ascii="Times New Roman" w:hAnsi="Times New Roman" w:cs="Times New Roman"/>
          <w:noProof/>
          <w:sz w:val="24"/>
          <w:szCs w:val="24"/>
        </w:rPr>
        <w:t>(Downing and Patwardhan 2004)</w:t>
      </w:r>
      <w:r w:rsidR="003E32C9" w:rsidRPr="00D058D2">
        <w:rPr>
          <w:rFonts w:ascii="Times New Roman" w:hAnsi="Times New Roman" w:cs="Times New Roman"/>
          <w:sz w:val="24"/>
          <w:szCs w:val="24"/>
        </w:rPr>
        <w:fldChar w:fldCharType="end"/>
      </w:r>
      <w:commentRangeEnd w:id="0"/>
      <w:r w:rsidR="001C3AAA">
        <w:rPr>
          <w:rStyle w:val="CommentReference"/>
        </w:rPr>
        <w:commentReference w:id="0"/>
      </w:r>
      <w:r w:rsidR="006C4D52" w:rsidRPr="00D058D2">
        <w:rPr>
          <w:rFonts w:ascii="Times New Roman" w:hAnsi="Times New Roman" w:cs="Times New Roman"/>
          <w:sz w:val="24"/>
          <w:szCs w:val="24"/>
        </w:rPr>
        <w:t>.” Using an LZ as the unit of analysis allows the research to sample only a few villages within a large area and make a statement about the whole area. The KMY livelihood zone is comprised of 11 villages (see Figure 1) and an area of approximately 50,000 square miles. It encompasses four U.S. national wildlife refuges and two Alaska state game management units. Three tribes were formal collaborators (Huslia, Hughes, and Koyukuk), and their villages are where I stayed for extended periods and conducted formal interviews. I also spent considerable time in the hub village of Galena where state and federal agency offices are located.  Shorter visits were in 5 of the 11 villages in the region to attend meetings.</w:t>
      </w:r>
    </w:p>
    <w:p w:rsidR="006C4D52" w:rsidRPr="00D058D2" w:rsidRDefault="006C4D52" w:rsidP="006C4D52">
      <w:pPr>
        <w:tabs>
          <w:tab w:val="left" w:pos="720"/>
          <w:tab w:val="left" w:pos="4680"/>
        </w:tabs>
        <w:spacing w:line="360" w:lineRule="auto"/>
        <w:rPr>
          <w:rFonts w:ascii="Times New Roman" w:hAnsi="Times New Roman" w:cs="Times New Roman"/>
          <w:sz w:val="24"/>
          <w:szCs w:val="24"/>
        </w:rPr>
      </w:pPr>
      <w:r w:rsidRPr="00D058D2">
        <w:rPr>
          <w:rFonts w:ascii="Times New Roman" w:hAnsi="Times New Roman" w:cs="Times New Roman"/>
          <w:sz w:val="24"/>
          <w:szCs w:val="24"/>
        </w:rPr>
        <w:tab/>
        <w:t xml:space="preserve">Over six years (2003-2008) the research evolved in various phases, with each phase occurring over the span of approximately one to two years each. The term “phase” notwithstanding, they are by no means discrete or linear. Phases transitioned over time from one to the other with some overlapping. The first and second phases included interviewing Koyukon Elders on their observations of weather and climate. The results of these interviews directed analysis of weather station data to determine patterns of seasonal change and vulnerability (see McNeeley 2009 and McNeeley and Shulski, </w:t>
      </w:r>
      <w:r w:rsidR="00E85954">
        <w:rPr>
          <w:rFonts w:ascii="Times New Roman" w:hAnsi="Times New Roman" w:cs="Times New Roman"/>
          <w:sz w:val="24"/>
          <w:szCs w:val="24"/>
        </w:rPr>
        <w:t>2011</w:t>
      </w:r>
      <w:r w:rsidRPr="00D058D2">
        <w:rPr>
          <w:rFonts w:ascii="Times New Roman" w:hAnsi="Times New Roman" w:cs="Times New Roman"/>
          <w:sz w:val="24"/>
          <w:szCs w:val="24"/>
        </w:rPr>
        <w:t xml:space="preserve"> for details on the interview phase and weather data analyses). The third phase entailed observing advisory committee meetings, conference calls, informal discussions with agency managers, biologists, and local advisory committee chairs and members. It required attending many regulatory meetings and analysis of the decisions made therein. It also entailed collecting and laborious analysis of a multitude of meeting documents and transcripts. The purpose of this phase was to understand the regulatory system from a broader perspective that included all the stakeholders in an effort to analyze </w:t>
      </w:r>
      <w:r w:rsidRPr="00D058D2">
        <w:rPr>
          <w:rFonts w:ascii="Times New Roman" w:hAnsi="Times New Roman" w:cs="Times New Roman"/>
          <w:sz w:val="24"/>
          <w:szCs w:val="24"/>
        </w:rPr>
        <w:lastRenderedPageBreak/>
        <w:t>barriers and opportunities for adaptation strategies. The results of this third phase are presented here.</w:t>
      </w:r>
    </w:p>
    <w:p w:rsidR="006C4D52" w:rsidRPr="00D058D2" w:rsidRDefault="006C4D52" w:rsidP="006C4D52">
      <w:pPr>
        <w:tabs>
          <w:tab w:val="left" w:pos="720"/>
          <w:tab w:val="left" w:pos="4680"/>
        </w:tabs>
        <w:spacing w:line="360" w:lineRule="auto"/>
        <w:rPr>
          <w:rFonts w:ascii="Times New Roman" w:hAnsi="Times New Roman" w:cs="Times New Roman"/>
          <w:sz w:val="24"/>
          <w:szCs w:val="24"/>
        </w:rPr>
      </w:pPr>
      <w:r>
        <w:rPr>
          <w:rFonts w:ascii="Times New Roman" w:hAnsi="Times New Roman" w:cs="Times New Roman"/>
          <w:sz w:val="24"/>
          <w:szCs w:val="24"/>
        </w:rPr>
        <w:tab/>
      </w:r>
      <w:r w:rsidRPr="00D058D2">
        <w:rPr>
          <w:rFonts w:ascii="Times New Roman" w:hAnsi="Times New Roman" w:cs="Times New Roman"/>
          <w:sz w:val="24"/>
          <w:szCs w:val="24"/>
        </w:rPr>
        <w:t>By participating in all of these meetings within the institutional context of subsistence and wildlife management, I gained insights on the social production of the outcomes of these meetings (decisions, proposals, policies, and laws) as well as the related historical documents I analyzed from similar meetings in past years.</w:t>
      </w:r>
      <w:r w:rsidRPr="00D058D2">
        <w:rPr>
          <w:rFonts w:ascii="Times New Roman" w:hAnsi="Times New Roman" w:cs="Times New Roman"/>
          <w:b/>
          <w:sz w:val="24"/>
          <w:szCs w:val="24"/>
        </w:rPr>
        <w:t xml:space="preserve"> </w:t>
      </w:r>
    </w:p>
    <w:p w:rsidR="006C4D52" w:rsidRPr="00D058D2" w:rsidRDefault="006C4D52" w:rsidP="006C4D52">
      <w:pPr>
        <w:tabs>
          <w:tab w:val="left" w:pos="720"/>
          <w:tab w:val="left" w:pos="4680"/>
        </w:tabs>
        <w:spacing w:line="360" w:lineRule="auto"/>
        <w:rPr>
          <w:rFonts w:ascii="Times New Roman" w:hAnsi="Times New Roman" w:cs="Times New Roman"/>
          <w:sz w:val="24"/>
          <w:szCs w:val="24"/>
        </w:rPr>
      </w:pPr>
      <w:r w:rsidRPr="00D058D2">
        <w:rPr>
          <w:rFonts w:ascii="Times New Roman" w:hAnsi="Times New Roman" w:cs="Times New Roman"/>
          <w:sz w:val="24"/>
          <w:szCs w:val="24"/>
        </w:rPr>
        <w:tab/>
        <w:t>Archived documents from Western Interior Regional Advisory Council (WIRAC) meetings, Board of Game (BOG) meetings, agency position papers, state advisory committees to the BOG and WIRAC petitions and proposals to the Board of Game and Federal Subsistence Boards, records of decision, moose management reports and plans were all analyzed in order to understand the context of the regulatory system and institutional setting as well as when and why specific decisions and policies were made. I performed queries (i.e., keyword searches) on all of the WIRAC transcripts (1994-2008) to determine when and how the issue of climate change arose in this context over time with a special focus on when warmer falls and impacts on moose hunting became part of the agenda for the WIRAC. I also used all of these documents to develop a timeline of when and where the issue of extending the fall moose hunt in response to warmer falls developed. The documents were central to my analysis of barriers and opportunities for sustainable adaptation in that the history of the issue evolved and how the regulatory system has or has not responded to the issue is found in these documents.</w:t>
      </w:r>
    </w:p>
    <w:p w:rsidR="006C4D52" w:rsidRPr="006C4D52" w:rsidRDefault="006C4D52" w:rsidP="006C4D52">
      <w:pPr>
        <w:tabs>
          <w:tab w:val="left" w:pos="720"/>
          <w:tab w:val="left" w:pos="4680"/>
        </w:tabs>
        <w:spacing w:line="360" w:lineRule="auto"/>
        <w:rPr>
          <w:rFonts w:ascii="Times New Roman" w:hAnsi="Times New Roman" w:cs="Times New Roman"/>
          <w:sz w:val="24"/>
          <w:szCs w:val="24"/>
        </w:rPr>
      </w:pPr>
      <w:r w:rsidRPr="00D058D2">
        <w:rPr>
          <w:rFonts w:ascii="Times New Roman" w:hAnsi="Times New Roman" w:cs="Times New Roman"/>
          <w:sz w:val="24"/>
          <w:szCs w:val="24"/>
        </w:rPr>
        <w:tab/>
        <w:t>The uniqueness of this study is not only the incorporation of indigenous observations and western social and natural sciences, but also the unusual “buy in” and involvement of a full spectrum of stakeholders, although with commitments from each varying in scope and degree as is to be expected. This included not only Alaska Native communities, tribal councils, Elders, and youth, but also the state agency the Alaska Department of Game and Fish biologists, managers, subsistence specialists; federal agency United States Fish and Wildlife Agency (biologist, managers, etc.); and climatologists. Most of these stakeholders operate within the institution of subsistence and wildlife management and understand that biophysical changes in Interior Alaska are in part a consequence of a warming climate and changing environment. These stakeholders differ in goals, mandates, jurisdiction, populations of interest, etc., but share a common goal of sustainable adaptation to climate change.</w:t>
      </w:r>
    </w:p>
    <w:sectPr w:rsidR="006C4D52" w:rsidRPr="006C4D52" w:rsidSect="00EF3393">
      <w:pgSz w:w="12240" w:h="15840"/>
      <w:pgMar w:top="1440" w:right="1440" w:bottom="1440" w:left="1440" w:header="720" w:footer="720" w:gutter="0"/>
      <w:cols w:space="720"/>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smcneele" w:date="2011-07-08T11:17:00Z" w:initials="s">
    <w:p w:rsidR="001C3AAA" w:rsidRDefault="001C3AAA" w:rsidP="001C3AAA">
      <w:pPr>
        <w:autoSpaceDE w:val="0"/>
        <w:autoSpaceDN w:val="0"/>
        <w:adjustRightInd w:val="0"/>
        <w:spacing w:after="0" w:line="240" w:lineRule="auto"/>
        <w:rPr>
          <w:rFonts w:ascii="Arial" w:hAnsi="Arial" w:cs="Arial"/>
          <w:sz w:val="24"/>
          <w:szCs w:val="24"/>
        </w:rPr>
      </w:pPr>
      <w:r>
        <w:rPr>
          <w:rStyle w:val="CommentReference"/>
        </w:rPr>
        <w:annotationRef/>
      </w:r>
      <w:r>
        <w:rPr>
          <w:rFonts w:ascii="Arial" w:hAnsi="Arial" w:cs="Arial"/>
          <w:sz w:val="24"/>
          <w:szCs w:val="24"/>
        </w:rPr>
        <w:t xml:space="preserve">Downing, T. E., and A. </w:t>
      </w:r>
      <w:proofErr w:type="spellStart"/>
      <w:r>
        <w:rPr>
          <w:rFonts w:ascii="Arial" w:hAnsi="Arial" w:cs="Arial"/>
          <w:sz w:val="24"/>
          <w:szCs w:val="24"/>
        </w:rPr>
        <w:t>Patwardhan</w:t>
      </w:r>
      <w:proofErr w:type="spellEnd"/>
      <w:r>
        <w:rPr>
          <w:rFonts w:ascii="Arial" w:hAnsi="Arial" w:cs="Arial"/>
          <w:sz w:val="24"/>
          <w:szCs w:val="24"/>
        </w:rPr>
        <w:t xml:space="preserve"> (2004), Assessing Vulnerability for Climate Adaptation, in </w:t>
      </w:r>
      <w:r>
        <w:rPr>
          <w:rFonts w:ascii="Arial" w:hAnsi="Arial" w:cs="Arial"/>
          <w:i/>
          <w:iCs/>
          <w:sz w:val="24"/>
          <w:szCs w:val="24"/>
        </w:rPr>
        <w:t>Adaptation Policy Frameworks for Climate Change: Developing Strategies, Policies and Measures</w:t>
      </w:r>
      <w:r>
        <w:rPr>
          <w:rFonts w:ascii="Arial" w:hAnsi="Arial" w:cs="Arial"/>
          <w:sz w:val="24"/>
          <w:szCs w:val="24"/>
        </w:rPr>
        <w:t xml:space="preserve">, edited by B. Lim and E. </w:t>
      </w:r>
      <w:proofErr w:type="spellStart"/>
      <w:r>
        <w:rPr>
          <w:rFonts w:ascii="Arial" w:hAnsi="Arial" w:cs="Arial"/>
          <w:sz w:val="24"/>
          <w:szCs w:val="24"/>
        </w:rPr>
        <w:t>Spanger</w:t>
      </w:r>
      <w:proofErr w:type="spellEnd"/>
      <w:r>
        <w:rPr>
          <w:rFonts w:ascii="Arial" w:hAnsi="Arial" w:cs="Arial"/>
          <w:sz w:val="24"/>
          <w:szCs w:val="24"/>
        </w:rPr>
        <w:t>-Siegfried, pp. 67-89, Cambridge University Press, Cambridge.</w:t>
      </w:r>
    </w:p>
    <w:p w:rsidR="001C3AAA" w:rsidRDefault="001C3AAA">
      <w:pPr>
        <w:pStyle w:val="CommentText"/>
      </w:pPr>
    </w:p>
  </w:comment>
</w:comment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defaultTabStop w:val="720"/>
  <w:characterSpacingControl w:val="doNotCompress"/>
  <w:compat/>
  <w:rsids>
    <w:rsidRoot w:val="006C4D52"/>
    <w:rsid w:val="001C3AAA"/>
    <w:rsid w:val="003E32C9"/>
    <w:rsid w:val="00402BDA"/>
    <w:rsid w:val="00587E4F"/>
    <w:rsid w:val="006C4D52"/>
    <w:rsid w:val="009E3A8A"/>
    <w:rsid w:val="00D24313"/>
    <w:rsid w:val="00D35C42"/>
    <w:rsid w:val="00E85954"/>
    <w:rsid w:val="00EF339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339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1C3AAA"/>
    <w:rPr>
      <w:sz w:val="16"/>
      <w:szCs w:val="16"/>
    </w:rPr>
  </w:style>
  <w:style w:type="paragraph" w:styleId="CommentText">
    <w:name w:val="annotation text"/>
    <w:basedOn w:val="Normal"/>
    <w:link w:val="CommentTextChar"/>
    <w:uiPriority w:val="99"/>
    <w:semiHidden/>
    <w:unhideWhenUsed/>
    <w:rsid w:val="001C3AAA"/>
    <w:pPr>
      <w:spacing w:line="240" w:lineRule="auto"/>
    </w:pPr>
    <w:rPr>
      <w:sz w:val="20"/>
      <w:szCs w:val="20"/>
    </w:rPr>
  </w:style>
  <w:style w:type="character" w:customStyle="1" w:styleId="CommentTextChar">
    <w:name w:val="Comment Text Char"/>
    <w:basedOn w:val="DefaultParagraphFont"/>
    <w:link w:val="CommentText"/>
    <w:uiPriority w:val="99"/>
    <w:semiHidden/>
    <w:rsid w:val="001C3AAA"/>
    <w:rPr>
      <w:sz w:val="20"/>
      <w:szCs w:val="20"/>
    </w:rPr>
  </w:style>
  <w:style w:type="paragraph" w:styleId="CommentSubject">
    <w:name w:val="annotation subject"/>
    <w:basedOn w:val="CommentText"/>
    <w:next w:val="CommentText"/>
    <w:link w:val="CommentSubjectChar"/>
    <w:uiPriority w:val="99"/>
    <w:semiHidden/>
    <w:unhideWhenUsed/>
    <w:rsid w:val="001C3AAA"/>
    <w:rPr>
      <w:b/>
      <w:bCs/>
    </w:rPr>
  </w:style>
  <w:style w:type="character" w:customStyle="1" w:styleId="CommentSubjectChar">
    <w:name w:val="Comment Subject Char"/>
    <w:basedOn w:val="CommentTextChar"/>
    <w:link w:val="CommentSubject"/>
    <w:uiPriority w:val="99"/>
    <w:semiHidden/>
    <w:rsid w:val="001C3AAA"/>
    <w:rPr>
      <w:b/>
      <w:bCs/>
    </w:rPr>
  </w:style>
  <w:style w:type="paragraph" w:styleId="BalloonText">
    <w:name w:val="Balloon Text"/>
    <w:basedOn w:val="Normal"/>
    <w:link w:val="BalloonTextChar"/>
    <w:uiPriority w:val="99"/>
    <w:semiHidden/>
    <w:unhideWhenUsed/>
    <w:rsid w:val="001C3A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3AA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2</Pages>
  <Words>906</Words>
  <Characters>5169</Characters>
  <Application>Microsoft Office Word</Application>
  <DocSecurity>0</DocSecurity>
  <Lines>43</Lines>
  <Paragraphs>12</Paragraphs>
  <ScaleCrop>false</ScaleCrop>
  <Company>UCAR</Company>
  <LinksUpToDate>false</LinksUpToDate>
  <CharactersWithSpaces>6063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smcneele</dc:creator>
  <cp:keywords/>
  <dc:description/>
  <cp:lastModifiedBy>smcneele</cp:lastModifiedBy>
  <cp:revision>3</cp:revision>
  <dcterms:created xsi:type="dcterms:W3CDTF">2011-07-08T17:16:00Z</dcterms:created>
  <dcterms:modified xsi:type="dcterms:W3CDTF">2011-07-08T17:18:00Z</dcterms:modified>
</cp:coreProperties>
</file>