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C98" w:rsidRDefault="00773C98" w:rsidP="00773C98">
      <w:pPr>
        <w:rPr>
          <w:b/>
        </w:rPr>
      </w:pPr>
      <w:r w:rsidRPr="00F4189B">
        <w:rPr>
          <w:b/>
        </w:rPr>
        <w:t xml:space="preserve">Appendix </w:t>
      </w:r>
      <w:r w:rsidR="007F1400">
        <w:rPr>
          <w:b/>
        </w:rPr>
        <w:t>A</w:t>
      </w:r>
      <w:r w:rsidRPr="00F4189B">
        <w:rPr>
          <w:b/>
        </w:rPr>
        <w:t xml:space="preserve">: Crop </w:t>
      </w:r>
      <w:r w:rsidR="00780CC5">
        <w:rPr>
          <w:b/>
        </w:rPr>
        <w:t xml:space="preserve">Modeling – </w:t>
      </w:r>
      <w:r w:rsidRPr="00F4189B">
        <w:rPr>
          <w:b/>
        </w:rPr>
        <w:t>Methodology</w:t>
      </w:r>
      <w:r w:rsidR="00803DF1">
        <w:rPr>
          <w:b/>
        </w:rPr>
        <w:t>,</w:t>
      </w:r>
      <w:r w:rsidRPr="00F4189B">
        <w:rPr>
          <w:b/>
        </w:rPr>
        <w:t xml:space="preserve"> Results</w:t>
      </w:r>
      <w:r w:rsidR="00780CC5">
        <w:rPr>
          <w:b/>
        </w:rPr>
        <w:t xml:space="preserve">, </w:t>
      </w:r>
      <w:r w:rsidR="00120CED">
        <w:rPr>
          <w:b/>
        </w:rPr>
        <w:t>Evaluation</w:t>
      </w:r>
      <w:r w:rsidR="00803DF1">
        <w:rPr>
          <w:b/>
        </w:rPr>
        <w:t>, and Limitations</w:t>
      </w:r>
    </w:p>
    <w:p w:rsidR="00773C98" w:rsidRPr="00F4189B" w:rsidRDefault="00773C98" w:rsidP="00773C98">
      <w:pPr>
        <w:rPr>
          <w:b/>
        </w:rPr>
      </w:pPr>
    </w:p>
    <w:p w:rsidR="00780CC5" w:rsidRPr="0002792C" w:rsidRDefault="00780CC5" w:rsidP="00773C98">
      <w:pPr>
        <w:pStyle w:val="BodyText"/>
        <w:rPr>
          <w:i/>
        </w:rPr>
      </w:pPr>
      <w:r w:rsidRPr="0002792C">
        <w:rPr>
          <w:i/>
        </w:rPr>
        <w:t>Methodology</w:t>
      </w:r>
    </w:p>
    <w:p w:rsidR="00780CC5" w:rsidRDefault="00780CC5" w:rsidP="00773C98">
      <w:pPr>
        <w:pStyle w:val="BodyText"/>
      </w:pPr>
    </w:p>
    <w:p w:rsidR="00BC3ECD" w:rsidRDefault="00773C98" w:rsidP="00773C98">
      <w:pPr>
        <w:pStyle w:val="BodyText"/>
      </w:pPr>
      <w:r w:rsidRPr="003B444B">
        <w:t>To assess the implications of various combinations of cropland management strategies for agricultural productivity and soil carbon sequestration (SCS), the CERES-Maize model</w:t>
      </w:r>
      <w:r w:rsidR="00BC3ECD">
        <w:t xml:space="preserve"> </w:t>
      </w:r>
      <w:r w:rsidR="007414DD">
        <w:t xml:space="preserve">in DSSAT </w:t>
      </w:r>
      <w:r w:rsidR="00BC3ECD">
        <w:t xml:space="preserve">with </w:t>
      </w:r>
      <w:r w:rsidR="008330B6">
        <w:t xml:space="preserve">the integrated </w:t>
      </w:r>
      <w:r w:rsidR="00BC3ECD">
        <w:t xml:space="preserve">CENTURY Soil Organic Matters </w:t>
      </w:r>
      <w:r w:rsidR="008330B6">
        <w:t>model</w:t>
      </w:r>
      <w:r w:rsidR="00BC3ECD">
        <w:t xml:space="preserve"> </w:t>
      </w:r>
      <w:r w:rsidRPr="003B444B">
        <w:t>was used to simulate maize yield and soil organic matter dynamics in smallholder farmers’ fields</w:t>
      </w:r>
      <w:r>
        <w:t>.</w:t>
      </w:r>
      <w:r w:rsidR="00BC3ECD">
        <w:t xml:space="preserve"> </w:t>
      </w:r>
    </w:p>
    <w:p w:rsidR="00BC3ECD" w:rsidRDefault="00BC3ECD" w:rsidP="00773C98">
      <w:pPr>
        <w:pStyle w:val="BodyText"/>
      </w:pPr>
    </w:p>
    <w:p w:rsidR="00094DB9" w:rsidRDefault="00BC3ECD" w:rsidP="00773C98">
      <w:pPr>
        <w:pStyle w:val="BodyText"/>
      </w:pPr>
      <w:r w:rsidRPr="00BC3ECD">
        <w:t xml:space="preserve">The CENTURY </w:t>
      </w:r>
      <w:r w:rsidR="008330B6">
        <w:t>model</w:t>
      </w:r>
      <w:r w:rsidRPr="00BC3ECD">
        <w:t xml:space="preserve"> in DSSAT-CENTURY simulates the decomposition of soil organic matters and the loss of soil carbon in through CO</w:t>
      </w:r>
      <w:r w:rsidRPr="00BC3ECD">
        <w:rPr>
          <w:vertAlign w:val="subscript"/>
        </w:rPr>
        <w:t>2</w:t>
      </w:r>
      <w:r w:rsidRPr="00BC3ECD">
        <w:t xml:space="preserve"> emission. This process directly interacts with crop growth and farmers’ management practices being simulated by crop models in DSSAT (CERES-Maize in this study) with the same daily time-step. Incorporation of crop residue from senescence and harvest is also simulated during the process. The modeling framework not only keeps tracks the dynamics during the cropping season but also in-between cropping seasons so that the decomposition of crop residue over time and manure application before planting, if </w:t>
      </w:r>
      <w:r w:rsidR="00803DF1">
        <w:t>applied</w:t>
      </w:r>
      <w:r w:rsidRPr="00BC3ECD">
        <w:t xml:space="preserve">, are also continuously being simulated within the system. The simulated dynamics of soil organic matters/carbon provides estimates of organically decomposed soil nitrogen that becomes available for plant roots to uptake, based on the soil-inherent properties. By simulating the soil organic matter dynamics the process also simulates its enhancing moisture holding capacity, which directly benefits crop growth under rainfed condition. This process is especially important for low-input system that prevails in sub-Saharan Africa. </w:t>
      </w:r>
      <w:r w:rsidR="00D81BA6">
        <w:t>Recent</w:t>
      </w:r>
      <w:r w:rsidR="003C0966">
        <w:t xml:space="preserve"> studies used </w:t>
      </w:r>
      <w:r w:rsidR="00050F17">
        <w:t xml:space="preserve">the </w:t>
      </w:r>
      <w:r w:rsidR="003C0966">
        <w:t xml:space="preserve">DSSAT-CENTURY </w:t>
      </w:r>
      <w:r w:rsidR="00050F17">
        <w:t xml:space="preserve">model </w:t>
      </w:r>
      <w:r w:rsidR="003C0966">
        <w:t xml:space="preserve">to </w:t>
      </w:r>
      <w:r w:rsidR="00050F17">
        <w:t>simulate crop production and estimate soil processes of, for example, the peanut-millet cropping system in Senegal (</w:t>
      </w:r>
      <w:proofErr w:type="spellStart"/>
      <w:r w:rsidR="00050F17">
        <w:t>Diagna</w:t>
      </w:r>
      <w:proofErr w:type="spellEnd"/>
      <w:r w:rsidR="00050F17">
        <w:t xml:space="preserve"> et al., 2007), maize-based system in Ghana (Koo et al., 2007</w:t>
      </w:r>
      <w:r w:rsidR="008728B1">
        <w:t xml:space="preserve">; </w:t>
      </w:r>
      <w:r w:rsidR="008728B1" w:rsidRPr="008728B1">
        <w:t>González-Estrada</w:t>
      </w:r>
      <w:r w:rsidR="008728B1">
        <w:t xml:space="preserve"> et al., 2008</w:t>
      </w:r>
      <w:r w:rsidR="00050F17">
        <w:t xml:space="preserve">), and </w:t>
      </w:r>
      <w:r w:rsidR="008728B1">
        <w:t xml:space="preserve">maize-wheat system in </w:t>
      </w:r>
      <w:r w:rsidR="008728B1" w:rsidRPr="008728B1">
        <w:t>a Mediterranean area</w:t>
      </w:r>
      <w:r w:rsidR="00D81BA6">
        <w:t xml:space="preserve"> (</w:t>
      </w:r>
      <w:proofErr w:type="spellStart"/>
      <w:r w:rsidR="00D81BA6">
        <w:t>Sanctis</w:t>
      </w:r>
      <w:proofErr w:type="spellEnd"/>
      <w:r w:rsidR="00D81BA6">
        <w:t xml:space="preserve"> et al., 2012). F</w:t>
      </w:r>
      <w:r w:rsidRPr="00BC3ECD">
        <w:t>urther details on the CENTURY implementation in DSSAT can be foun</w:t>
      </w:r>
      <w:r>
        <w:t>d in Gijsman et al. (2002)</w:t>
      </w:r>
      <w:r w:rsidR="00D81BA6">
        <w:t xml:space="preserve">, </w:t>
      </w:r>
      <w:r w:rsidR="00830C54">
        <w:t>Porter et al. (2009)</w:t>
      </w:r>
      <w:r w:rsidR="00D81BA6">
        <w:t>, and Basso et al. (2011)</w:t>
      </w:r>
      <w:r>
        <w:t>.</w:t>
      </w:r>
      <w:r w:rsidR="00830C54">
        <w:t xml:space="preserve"> </w:t>
      </w:r>
    </w:p>
    <w:p w:rsidR="003C0966" w:rsidRDefault="003C0966" w:rsidP="00773C98">
      <w:pPr>
        <w:pStyle w:val="BodyText"/>
      </w:pPr>
    </w:p>
    <w:p w:rsidR="00094DB9" w:rsidRDefault="00FC3B52" w:rsidP="00773C98">
      <w:pPr>
        <w:pStyle w:val="BodyText"/>
      </w:pPr>
      <w:r>
        <w:t xml:space="preserve">Soil properties </w:t>
      </w:r>
      <w:r w:rsidR="00014382">
        <w:t>are</w:t>
      </w:r>
      <w:r>
        <w:t xml:space="preserve"> an important input </w:t>
      </w:r>
      <w:r w:rsidR="00053201">
        <w:t>into the crop and soil process modeling, yet there was no on</w:t>
      </w:r>
      <w:r w:rsidR="00B91009">
        <w:t xml:space="preserve">-farm soil measurement data </w:t>
      </w:r>
      <w:r w:rsidR="00053201">
        <w:t>available</w:t>
      </w:r>
      <w:r w:rsidR="00B91009">
        <w:t xml:space="preserve"> in the study sites</w:t>
      </w:r>
      <w:r w:rsidR="00053201">
        <w:t xml:space="preserve">. </w:t>
      </w:r>
      <w:r w:rsidR="00094DB9" w:rsidRPr="00094DB9">
        <w:t xml:space="preserve">Hence we used generic soil profiles defined for each of three soil texture types (clayey, loamy, and sandy), developed for </w:t>
      </w:r>
      <w:r w:rsidR="008330B6">
        <w:t xml:space="preserve">representing </w:t>
      </w:r>
      <w:r w:rsidR="00094DB9" w:rsidRPr="00094DB9">
        <w:t>the medium level of soil fertility (SOC content range: 0.7-1.2% for top 20 cm layer) and med</w:t>
      </w:r>
      <w:r w:rsidR="008330B6">
        <w:t>ium rooting depth (90-150 cm)</w:t>
      </w:r>
      <w:r w:rsidR="00B91009">
        <w:t xml:space="preserve">. Area distribution of the soil texture classes </w:t>
      </w:r>
      <w:r w:rsidR="00DA69DC">
        <w:t xml:space="preserve">in each site </w:t>
      </w:r>
      <w:r w:rsidR="00B91009">
        <w:t xml:space="preserve">was retrieved from the </w:t>
      </w:r>
      <w:r w:rsidR="00DA69DC" w:rsidRPr="00DA69DC">
        <w:t>Soil Functional Capacity Classification System</w:t>
      </w:r>
      <w:r w:rsidR="00DA69DC">
        <w:t xml:space="preserve"> (FCC)</w:t>
      </w:r>
      <w:r w:rsidR="00B02F04">
        <w:t xml:space="preserve"> (Sanchez et al., 2003)</w:t>
      </w:r>
      <w:r w:rsidR="00DA69DC">
        <w:t xml:space="preserve">. </w:t>
      </w:r>
      <w:r w:rsidR="00DA69DC" w:rsidRPr="00DA69DC">
        <w:t xml:space="preserve">The generic soil profiles, HC27, </w:t>
      </w:r>
      <w:r w:rsidR="00DA69DC">
        <w:t xml:space="preserve">and FCC database </w:t>
      </w:r>
      <w:r w:rsidR="00B260CD">
        <w:t>were</w:t>
      </w:r>
      <w:r w:rsidR="00DA69DC" w:rsidRPr="00DA69DC">
        <w:t xml:space="preserve"> downloaded </w:t>
      </w:r>
      <w:r w:rsidR="00DA69DC">
        <w:t>from the HarvestChoice website</w:t>
      </w:r>
      <w:r w:rsidR="00DA69DC">
        <w:rPr>
          <w:rStyle w:val="FootnoteReference"/>
        </w:rPr>
        <w:footnoteReference w:id="1"/>
      </w:r>
      <w:r w:rsidR="00DA69DC">
        <w:t>.</w:t>
      </w:r>
      <w:r w:rsidR="00B260CD">
        <w:t xml:space="preserve"> For the </w:t>
      </w:r>
      <w:r w:rsidR="00094DB9" w:rsidRPr="00094DB9">
        <w:t>CENTURY</w:t>
      </w:r>
      <w:r w:rsidR="00B260CD">
        <w:t xml:space="preserve"> model</w:t>
      </w:r>
      <w:r w:rsidR="00094DB9" w:rsidRPr="00094DB9">
        <w:t xml:space="preserve">, </w:t>
      </w:r>
      <w:r w:rsidR="00A31F50">
        <w:t xml:space="preserve">two </w:t>
      </w:r>
      <w:r w:rsidR="00094DB9" w:rsidRPr="00094DB9">
        <w:t>additional</w:t>
      </w:r>
      <w:r w:rsidR="00A31F50">
        <w:t xml:space="preserve"> parameters were set to initialize the soil organic carbon pool fractions: land use history and the length of cultivation period. T</w:t>
      </w:r>
      <w:r w:rsidR="00094DB9" w:rsidRPr="00094DB9">
        <w:t>he land-use history prior to the simulation was assumed as “Cultivated with good management practices, initial</w:t>
      </w:r>
      <w:r w:rsidR="00A31F50">
        <w:t>ly cultivated land (Code: 101)”, and t</w:t>
      </w:r>
      <w:r w:rsidR="00094DB9" w:rsidRPr="00094DB9">
        <w:t>he duration of cultivation was derived from the survey data</w:t>
      </w:r>
      <w:r w:rsidR="00A31F50">
        <w:t>, ranged</w:t>
      </w:r>
      <w:r w:rsidR="00094DB9" w:rsidRPr="00094DB9">
        <w:t xml:space="preserve"> between 10 and 25 years.</w:t>
      </w:r>
    </w:p>
    <w:p w:rsidR="00BC3ECD" w:rsidRDefault="00773C98" w:rsidP="00773C98">
      <w:pPr>
        <w:pStyle w:val="BodyText"/>
      </w:pPr>
      <w:r>
        <w:t xml:space="preserve"> </w:t>
      </w:r>
    </w:p>
    <w:p w:rsidR="00773C98" w:rsidRDefault="00773C98" w:rsidP="00773C98">
      <w:pPr>
        <w:pStyle w:val="BodyText"/>
      </w:pPr>
      <w:r w:rsidRPr="003B444B">
        <w:t>Seven common management practices were identified for rainfed maize, including variety, inorganic fertilizer, manure application, residue management, mulching, rotation with legumes, and soil and water conservation (SWC) techniques. For each component, use or nonuse cases were characterized based on the household survey results at district level. Following are the description of each management practice component and its code used in the presentation of simulation outputs.</w:t>
      </w:r>
    </w:p>
    <w:p w:rsidR="007E6EC9" w:rsidRPr="003B444B" w:rsidRDefault="007E6EC9" w:rsidP="00773C98">
      <w:pPr>
        <w:pStyle w:val="BodyText"/>
      </w:pPr>
    </w:p>
    <w:p w:rsidR="00773C98" w:rsidRPr="003B444B" w:rsidRDefault="00773C98" w:rsidP="007E6EC9">
      <w:pPr>
        <w:pStyle w:val="BulletedList"/>
        <w:tabs>
          <w:tab w:val="clear" w:pos="720"/>
          <w:tab w:val="num" w:pos="360"/>
        </w:tabs>
        <w:spacing w:before="0" w:after="0"/>
        <w:ind w:left="360"/>
      </w:pPr>
      <w:r w:rsidRPr="003B444B">
        <w:t>Maize variety</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OPV: medium-maturity generic improved open-pollination variety</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lastRenderedPageBreak/>
        <w:t>HYB: DeKalb XL71 hybrid variety</w:t>
      </w:r>
    </w:p>
    <w:p w:rsidR="00773C98" w:rsidRPr="003B444B" w:rsidRDefault="00773C98" w:rsidP="00773C98">
      <w:pPr>
        <w:pStyle w:val="BulletedList"/>
        <w:tabs>
          <w:tab w:val="clear" w:pos="720"/>
          <w:tab w:val="num" w:pos="360"/>
        </w:tabs>
        <w:spacing w:before="0" w:after="0"/>
        <w:ind w:left="360"/>
      </w:pPr>
      <w:r w:rsidRPr="003B444B">
        <w:t>Inorganic fertilizer</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FRT: 40 kilograms of nitrogen per hectare of inorganic fertilizer, split applied (20 kilograms of nitrogen per hectare on planting at depth of five centimeters and 20 kilograms of nitrogen per hectare on 30th day after planting as top dressing) with no incorporation</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FRT: no fertilizer application</w:t>
      </w:r>
    </w:p>
    <w:p w:rsidR="00773C98" w:rsidRPr="003B444B" w:rsidRDefault="00773C98" w:rsidP="00773C98">
      <w:pPr>
        <w:pStyle w:val="BulletedList"/>
        <w:tabs>
          <w:tab w:val="clear" w:pos="720"/>
          <w:tab w:val="num" w:pos="360"/>
        </w:tabs>
        <w:spacing w:before="0" w:after="0"/>
        <w:ind w:left="360"/>
      </w:pPr>
      <w:r w:rsidRPr="003B444B">
        <w:t>Supplementary irrigation</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IRG: 100 millimeters per hectare of furrow irrigation split applied on the day of planting and 40th day after planting (for example, 50 millimeters per hectare each application)</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IRG: rainfed cultivation with no irrigation</w:t>
      </w:r>
    </w:p>
    <w:p w:rsidR="00773C98" w:rsidRPr="003B444B" w:rsidRDefault="00773C98" w:rsidP="00773C98">
      <w:pPr>
        <w:pStyle w:val="BulletedList"/>
        <w:tabs>
          <w:tab w:val="clear" w:pos="720"/>
          <w:tab w:val="num" w:pos="360"/>
        </w:tabs>
        <w:spacing w:before="0" w:after="0"/>
        <w:ind w:left="360"/>
      </w:pPr>
      <w:r w:rsidRPr="003B444B">
        <w:t>Manure application</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MNR: one ton per hectare of animal manure (nitrogen content 1.4 percent) applied on the fallow field three times with 20-day interval, between main growing seasons (total of three tons per hectare per year)</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MNR: no manure application</w:t>
      </w:r>
    </w:p>
    <w:p w:rsidR="00773C98" w:rsidRPr="003B444B" w:rsidRDefault="00773C98" w:rsidP="00773C98">
      <w:pPr>
        <w:pStyle w:val="BulletedList"/>
        <w:tabs>
          <w:tab w:val="clear" w:pos="720"/>
          <w:tab w:val="num" w:pos="360"/>
        </w:tabs>
        <w:spacing w:before="0" w:after="0"/>
        <w:ind w:left="360"/>
      </w:pPr>
      <w:r w:rsidRPr="003B444B">
        <w:t>Residue management</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RSD: 50 percent of crop residue left on the field after harvest (50 percent of residue removed after harvest)</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RSD: all crop residue removed from the field after harvest</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Three additional levels of residue harvest (harvesting 0 percent, 25 percent, and 75 percent of residue after harvest) simulated for testing the model sensitivity</w:t>
      </w:r>
    </w:p>
    <w:p w:rsidR="00773C98" w:rsidRPr="003B444B" w:rsidRDefault="00773C98" w:rsidP="00773C98">
      <w:pPr>
        <w:pStyle w:val="BulletedList"/>
        <w:tabs>
          <w:tab w:val="clear" w:pos="720"/>
          <w:tab w:val="num" w:pos="360"/>
        </w:tabs>
        <w:spacing w:before="0" w:after="0"/>
        <w:ind w:left="360"/>
      </w:pPr>
      <w:r w:rsidRPr="003B444B">
        <w:t>Rotation with legume</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ROT: rotation with dry beans every fourth year (maize–maize–maize–dry bean)</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ROT: continuous maize cultivation</w:t>
      </w:r>
    </w:p>
    <w:p w:rsidR="00773C98" w:rsidRPr="003B444B" w:rsidRDefault="00773C98" w:rsidP="00773C98">
      <w:pPr>
        <w:pStyle w:val="BulletedList"/>
        <w:tabs>
          <w:tab w:val="clear" w:pos="720"/>
          <w:tab w:val="num" w:pos="360"/>
        </w:tabs>
        <w:spacing w:before="0" w:after="0"/>
        <w:ind w:left="360"/>
      </w:pPr>
      <w:r w:rsidRPr="003B444B">
        <w:t>SWC practices</w:t>
      </w:r>
    </w:p>
    <w:p w:rsidR="00773C98" w:rsidRPr="003B444B"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SWC: assumes various soil and water conservation techniques practiced on the field so that the soil water availability before planting is 30 percent of field capacity and a small amount (two millimeters per hectare every ten days) of soil moisture is additionally available in the root zone throughout the growing season</w:t>
      </w:r>
    </w:p>
    <w:p w:rsidR="00773C98" w:rsidRDefault="00773C98" w:rsidP="00773C98">
      <w:pPr>
        <w:pStyle w:val="BulletedListWithinaList"/>
        <w:tabs>
          <w:tab w:val="clear" w:pos="1080"/>
          <w:tab w:val="num" w:pos="540"/>
        </w:tabs>
        <w:spacing w:before="0" w:after="0"/>
        <w:ind w:left="540" w:hanging="180"/>
        <w:rPr>
          <w:rFonts w:cs="Times New Roman"/>
        </w:rPr>
      </w:pPr>
      <w:r w:rsidRPr="003B444B">
        <w:rPr>
          <w:rFonts w:cs="Times New Roman"/>
        </w:rPr>
        <w:t>No SWC: no SWC practices; soil water availability at 10 percent of field capacity before planting</w:t>
      </w:r>
    </w:p>
    <w:p w:rsidR="00780CC5" w:rsidRDefault="00780CC5" w:rsidP="0002792C">
      <w:pPr>
        <w:pStyle w:val="BulletedListWithinaList"/>
        <w:numPr>
          <w:ilvl w:val="0"/>
          <w:numId w:val="0"/>
        </w:numPr>
        <w:spacing w:before="0" w:after="0"/>
        <w:rPr>
          <w:rFonts w:cs="Times New Roman"/>
        </w:rPr>
      </w:pPr>
    </w:p>
    <w:p w:rsidR="00780CC5" w:rsidRPr="0002792C" w:rsidRDefault="00780CC5" w:rsidP="0002792C">
      <w:pPr>
        <w:pStyle w:val="BulletedListWithinaList"/>
        <w:numPr>
          <w:ilvl w:val="0"/>
          <w:numId w:val="0"/>
        </w:numPr>
        <w:spacing w:before="0" w:after="0"/>
        <w:rPr>
          <w:rFonts w:cs="Times New Roman"/>
          <w:i/>
        </w:rPr>
      </w:pPr>
      <w:r w:rsidRPr="0002792C">
        <w:rPr>
          <w:rFonts w:cs="Times New Roman"/>
          <w:i/>
        </w:rPr>
        <w:t>Results</w:t>
      </w:r>
    </w:p>
    <w:p w:rsidR="00780CC5" w:rsidRPr="003B444B" w:rsidRDefault="00780CC5" w:rsidP="0002792C">
      <w:pPr>
        <w:pStyle w:val="BulletedListWithinaList"/>
        <w:numPr>
          <w:ilvl w:val="0"/>
          <w:numId w:val="0"/>
        </w:numPr>
        <w:spacing w:before="0" w:after="0"/>
        <w:rPr>
          <w:rFonts w:cs="Times New Roman"/>
        </w:rPr>
      </w:pPr>
    </w:p>
    <w:p w:rsidR="00773C98" w:rsidRDefault="00773C98" w:rsidP="00773C98">
      <w:pPr>
        <w:pStyle w:val="BodyTextIndentSpaceBefore"/>
        <w:spacing w:before="0"/>
        <w:ind w:firstLine="0"/>
      </w:pPr>
      <w:r w:rsidRPr="003B444B">
        <w:t xml:space="preserve">From the 40-year time series simulation results, averaged soil organic carbon content for first five years and last five years were calculated for each climate, soil texture, and management practice combination, and used as the basis for the overall soil carbon stock changes for the time span. For the estimation of SCS, the </w:t>
      </w:r>
      <w:r w:rsidRPr="003B444B">
        <w:rPr>
          <w:i/>
        </w:rPr>
        <w:t>no-effort</w:t>
      </w:r>
      <w:r>
        <w:t xml:space="preserve"> management case (full removal of</w:t>
      </w:r>
      <w:r w:rsidRPr="003B444B">
        <w:t xml:space="preserve"> residue</w:t>
      </w:r>
      <w:r>
        <w:t>s</w:t>
      </w:r>
      <w:r w:rsidRPr="003B444B">
        <w:t>, no rotation, no manure</w:t>
      </w:r>
      <w:r>
        <w:t xml:space="preserve"> application</w:t>
      </w:r>
      <w:r w:rsidRPr="003B444B">
        <w:t xml:space="preserve">, no SWC, no fertilizer application, and the use of OPV) was used as a baseline to be compared with other management practice packages. The results </w:t>
      </w:r>
      <w:r>
        <w:t xml:space="preserve">for selected combinations of management practices for each district and soil type </w:t>
      </w:r>
      <w:r w:rsidRPr="003B444B">
        <w:t xml:space="preserve">are </w:t>
      </w:r>
      <w:r>
        <w:t>presented in Appendix Figures</w:t>
      </w:r>
      <w:r w:rsidRPr="003B444B">
        <w:t xml:space="preserve"> </w:t>
      </w:r>
      <w:r w:rsidR="00780CC5">
        <w:t>A</w:t>
      </w:r>
      <w:r w:rsidRPr="003B444B">
        <w:t>.1</w:t>
      </w:r>
      <w:r>
        <w:t>-</w:t>
      </w:r>
      <w:r w:rsidRPr="003B444B">
        <w:t xml:space="preserve"> </w:t>
      </w:r>
      <w:r w:rsidR="00780CC5">
        <w:t>A</w:t>
      </w:r>
      <w:r>
        <w:t>.</w:t>
      </w:r>
      <w:r w:rsidRPr="003B444B">
        <w:t>1</w:t>
      </w:r>
      <w:r>
        <w:t xml:space="preserve">0 below. </w:t>
      </w:r>
    </w:p>
    <w:p w:rsidR="00803DF1" w:rsidRDefault="00803DF1" w:rsidP="00773C98">
      <w:pPr>
        <w:pStyle w:val="BodyTextIndentSpaceBefore"/>
        <w:spacing w:before="0"/>
        <w:ind w:firstLine="0"/>
      </w:pPr>
    </w:p>
    <w:p w:rsidR="00780CC5" w:rsidRPr="0002792C" w:rsidRDefault="00120CED" w:rsidP="00773C98">
      <w:pPr>
        <w:pStyle w:val="BodyTextIndentSpaceBefore"/>
        <w:spacing w:before="0"/>
        <w:ind w:firstLine="0"/>
        <w:rPr>
          <w:i/>
        </w:rPr>
      </w:pPr>
      <w:r>
        <w:rPr>
          <w:i/>
        </w:rPr>
        <w:t>Calibration</w:t>
      </w:r>
    </w:p>
    <w:p w:rsidR="00780CC5" w:rsidRDefault="00780CC5" w:rsidP="00773C98">
      <w:pPr>
        <w:pStyle w:val="BodyTextIndentSpaceBefore"/>
        <w:spacing w:before="0"/>
        <w:ind w:firstLine="0"/>
      </w:pPr>
    </w:p>
    <w:p w:rsidR="00780D6D" w:rsidRDefault="00120CED" w:rsidP="00773C98">
      <w:pPr>
        <w:pStyle w:val="BodyTextIndentSpaceBefore"/>
        <w:spacing w:before="0"/>
        <w:ind w:firstLine="0"/>
      </w:pPr>
      <w:r w:rsidRPr="00120CED">
        <w:t>Calibration in complex crop models, such as CERES-Maize in this case, typically refers to the calibration of genetic coefficients</w:t>
      </w:r>
      <w:r>
        <w:t>. T</w:t>
      </w:r>
      <w:r w:rsidRPr="00120CED">
        <w:t xml:space="preserve">he data </w:t>
      </w:r>
      <w:r>
        <w:t>to calibrate genetic coefficients of locally</w:t>
      </w:r>
      <w:r w:rsidR="007764C5">
        <w:t>-</w:t>
      </w:r>
      <w:r>
        <w:t>used maize variet</w:t>
      </w:r>
      <w:r w:rsidR="007764C5">
        <w:t>ies</w:t>
      </w:r>
      <w:r>
        <w:t xml:space="preserve"> were</w:t>
      </w:r>
      <w:r w:rsidRPr="00120CED">
        <w:t xml:space="preserve"> not </w:t>
      </w:r>
      <w:r>
        <w:t>a</w:t>
      </w:r>
      <w:r w:rsidRPr="00120CED">
        <w:t xml:space="preserve">vailable </w:t>
      </w:r>
      <w:r w:rsidR="00F040AF">
        <w:t>in this study; thus</w:t>
      </w:r>
      <w:r w:rsidR="007764C5">
        <w:t>,</w:t>
      </w:r>
      <w:r w:rsidR="00F040AF">
        <w:t xml:space="preserve"> </w:t>
      </w:r>
      <w:r w:rsidRPr="00120CED">
        <w:t>we used two existing coefficients for the OPV and hybrid variet</w:t>
      </w:r>
      <w:r w:rsidR="007764C5">
        <w:t>ies</w:t>
      </w:r>
      <w:r w:rsidR="00F040AF">
        <w:t xml:space="preserve"> </w:t>
      </w:r>
      <w:r w:rsidRPr="00120CED">
        <w:t xml:space="preserve">that can be grown based on their season length. </w:t>
      </w:r>
      <w:r w:rsidR="00780D6D">
        <w:t xml:space="preserve">To test whether these </w:t>
      </w:r>
      <w:r w:rsidRPr="00120CED">
        <w:t>un-calibrated varieties introduce bias in</w:t>
      </w:r>
      <w:r w:rsidR="00780D6D">
        <w:t xml:space="preserve"> the </w:t>
      </w:r>
      <w:r w:rsidR="00780D6D">
        <w:lastRenderedPageBreak/>
        <w:t xml:space="preserve">estimation of maize yields, </w:t>
      </w:r>
      <w:r w:rsidRPr="00120CED">
        <w:t>the simulated yield</w:t>
      </w:r>
      <w:r w:rsidR="00780D6D">
        <w:t>s</w:t>
      </w:r>
      <w:r w:rsidRPr="00120CED">
        <w:t xml:space="preserve"> for the business-as-usual management package w</w:t>
      </w:r>
      <w:r w:rsidR="00780D6D">
        <w:t>ere</w:t>
      </w:r>
      <w:r w:rsidRPr="00120CED">
        <w:t xml:space="preserve"> compared with the surveyed yield</w:t>
      </w:r>
      <w:r w:rsidR="00780D6D">
        <w:t>s, aggregated</w:t>
      </w:r>
      <w:r w:rsidRPr="00120CED">
        <w:t xml:space="preserve"> by site</w:t>
      </w:r>
      <w:r w:rsidR="007E6EC9">
        <w:t>.</w:t>
      </w:r>
      <w:r w:rsidR="00296650">
        <w:rPr>
          <w:rStyle w:val="FootnoteReference"/>
        </w:rPr>
        <w:footnoteReference w:id="2"/>
      </w:r>
      <w:r w:rsidR="00780D6D">
        <w:t xml:space="preserve"> O</w:t>
      </w:r>
      <w:r w:rsidRPr="00120CED">
        <w:t>verall</w:t>
      </w:r>
      <w:r w:rsidR="00296650">
        <w:t>,</w:t>
      </w:r>
      <w:r w:rsidRPr="00120CED">
        <w:t xml:space="preserve"> the bias coefficient, which is the slope of zero-interception linear trend line between the aggregated observed and simulated yield values, was 0.95</w:t>
      </w:r>
      <w:r w:rsidR="00780D6D">
        <w:t xml:space="preserve">2 (i.e., about 5% underestimation; </w:t>
      </w:r>
      <w:r w:rsidR="00296650">
        <w:t>Figure A.</w:t>
      </w:r>
      <w:r w:rsidR="000615AF">
        <w:t>11</w:t>
      </w:r>
      <w:r w:rsidR="00780D6D">
        <w:t>)</w:t>
      </w:r>
      <w:r w:rsidRPr="00120CED">
        <w:t xml:space="preserve">, which is acceptably closed to </w:t>
      </w:r>
      <w:r w:rsidR="00780D6D">
        <w:t xml:space="preserve">the value of </w:t>
      </w:r>
      <w:r w:rsidR="00296650">
        <w:t>1.000</w:t>
      </w:r>
      <w:r w:rsidR="00780D6D">
        <w:t xml:space="preserve"> (i.e., no bias)</w:t>
      </w:r>
      <w:r w:rsidRPr="00120CED">
        <w:t xml:space="preserve">. </w:t>
      </w:r>
      <w:r w:rsidR="00296650">
        <w:t xml:space="preserve">Given the relatively small degree of potential bias, and </w:t>
      </w:r>
      <w:r w:rsidR="00780D6D" w:rsidRPr="00780D6D">
        <w:t>the economic analysis</w:t>
      </w:r>
      <w:r w:rsidR="00296650">
        <w:t>’</w:t>
      </w:r>
      <w:r w:rsidR="00780D6D" w:rsidRPr="00780D6D">
        <w:t xml:space="preserve"> </w:t>
      </w:r>
      <w:r w:rsidR="00296650">
        <w:t xml:space="preserve">use of relative </w:t>
      </w:r>
      <w:r w:rsidR="00780D6D" w:rsidRPr="00780D6D">
        <w:t xml:space="preserve">yield </w:t>
      </w:r>
      <w:r w:rsidR="00780D6D" w:rsidRPr="0002792C">
        <w:rPr>
          <w:i/>
        </w:rPr>
        <w:t>changes</w:t>
      </w:r>
      <w:r w:rsidR="00296650">
        <w:t xml:space="preserve"> across the management packages</w:t>
      </w:r>
      <w:r w:rsidR="00780D6D" w:rsidRPr="00780D6D">
        <w:t>,</w:t>
      </w:r>
      <w:r w:rsidR="00780D6D">
        <w:t xml:space="preserve"> </w:t>
      </w:r>
      <w:r w:rsidR="007E6EC9">
        <w:t xml:space="preserve">rather than absolute yields, </w:t>
      </w:r>
      <w:r w:rsidR="00780D6D" w:rsidRPr="00780D6D">
        <w:t>we assumed the potential bias in the yie</w:t>
      </w:r>
      <w:r w:rsidR="00780D6D">
        <w:t>ld estimates is not significant.</w:t>
      </w:r>
      <w:r w:rsidR="00296650">
        <w:t xml:space="preserve"> </w:t>
      </w:r>
    </w:p>
    <w:p w:rsidR="00296650" w:rsidRDefault="00296650" w:rsidP="00773C98">
      <w:pPr>
        <w:pStyle w:val="BodyTextIndentSpaceBefore"/>
        <w:spacing w:before="0"/>
        <w:ind w:firstLine="0"/>
      </w:pPr>
    </w:p>
    <w:p w:rsidR="00296650" w:rsidRDefault="007E6EC9" w:rsidP="00773C98">
      <w:pPr>
        <w:pStyle w:val="BodyTextIndentSpaceBefore"/>
        <w:spacing w:before="0"/>
        <w:ind w:firstLine="0"/>
      </w:pPr>
      <w:r>
        <w:t xml:space="preserve">To </w:t>
      </w:r>
      <w:r w:rsidR="00296650">
        <w:t>evaluat</w:t>
      </w:r>
      <w:r>
        <w:t>e</w:t>
      </w:r>
      <w:r w:rsidR="00296650">
        <w:t xml:space="preserve"> the model</w:t>
      </w:r>
      <w:r>
        <w:t>’s</w:t>
      </w:r>
      <w:r w:rsidR="00296650">
        <w:t xml:space="preserve"> performance </w:t>
      </w:r>
      <w:r>
        <w:t xml:space="preserve">in </w:t>
      </w:r>
      <w:r w:rsidR="00296650">
        <w:t xml:space="preserve">estimating SCS potential, </w:t>
      </w:r>
      <w:r w:rsidR="00296650" w:rsidRPr="00296650">
        <w:t>we compar</w:t>
      </w:r>
      <w:r w:rsidR="00755A30">
        <w:t>ed</w:t>
      </w:r>
      <w:r w:rsidR="00296650" w:rsidRPr="00296650">
        <w:t xml:space="preserve"> our estimates with an earlier study conducted </w:t>
      </w:r>
      <w:r w:rsidR="0068249E">
        <w:t>across</w:t>
      </w:r>
      <w:r w:rsidR="00296650" w:rsidRPr="00296650">
        <w:t xml:space="preserve"> sites located within </w:t>
      </w:r>
      <w:proofErr w:type="spellStart"/>
      <w:r w:rsidR="00296650" w:rsidRPr="00296650">
        <w:t>Mukurwe-ini</w:t>
      </w:r>
      <w:proofErr w:type="spellEnd"/>
      <w:r w:rsidR="00296650" w:rsidRPr="00296650">
        <w:t xml:space="preserve">, </w:t>
      </w:r>
      <w:proofErr w:type="spellStart"/>
      <w:r w:rsidR="00296650" w:rsidRPr="00296650">
        <w:t>Njoro</w:t>
      </w:r>
      <w:proofErr w:type="spellEnd"/>
      <w:r w:rsidR="00296650" w:rsidRPr="00296650">
        <w:t xml:space="preserve">, and </w:t>
      </w:r>
      <w:proofErr w:type="spellStart"/>
      <w:r w:rsidR="00296650" w:rsidRPr="00296650">
        <w:t>Othaya</w:t>
      </w:r>
      <w:proofErr w:type="spellEnd"/>
      <w:r w:rsidR="00296650" w:rsidRPr="00296650">
        <w:t xml:space="preserve"> districts by the Kenya Smallholder Coffee Carbon Project (SCCP): ECOM </w:t>
      </w:r>
      <w:proofErr w:type="spellStart"/>
      <w:r w:rsidR="00296650" w:rsidRPr="00296650">
        <w:t>Agroindustri</w:t>
      </w:r>
      <w:r w:rsidR="00382A58">
        <w:t>al</w:t>
      </w:r>
      <w:proofErr w:type="spellEnd"/>
      <w:r w:rsidR="00382A58">
        <w:t xml:space="preserve"> Corporation Ltd (ECOM</w:t>
      </w:r>
      <w:r w:rsidR="00296650">
        <w:t xml:space="preserve"> 2009), which </w:t>
      </w:r>
      <w:r w:rsidR="00296650" w:rsidRPr="00296650">
        <w:t xml:space="preserve">used the </w:t>
      </w:r>
      <w:proofErr w:type="spellStart"/>
      <w:r w:rsidR="00296650" w:rsidRPr="00296650">
        <w:t>Rothamsted</w:t>
      </w:r>
      <w:proofErr w:type="spellEnd"/>
      <w:r w:rsidR="00296650" w:rsidRPr="00296650">
        <w:t xml:space="preserve"> Carbon Model to estimate potential changes in soil organic carbon stocks after 20 years by six management practice packages for coffee and maize</w:t>
      </w:r>
      <w:r>
        <w:t xml:space="preserve"> (Coleman and </w:t>
      </w:r>
      <w:proofErr w:type="spellStart"/>
      <w:r>
        <w:t>Jenkinson</w:t>
      </w:r>
      <w:proofErr w:type="spellEnd"/>
      <w:r>
        <w:t xml:space="preserve"> 2007)</w:t>
      </w:r>
      <w:r w:rsidR="00296650" w:rsidRPr="00296650">
        <w:t>. Out of the six</w:t>
      </w:r>
      <w:r w:rsidR="00296650">
        <w:t xml:space="preserve"> management practices used in the study</w:t>
      </w:r>
      <w:r w:rsidR="00296650" w:rsidRPr="00296650">
        <w:t xml:space="preserve">, four were </w:t>
      </w:r>
      <w:r w:rsidR="00296650">
        <w:t xml:space="preserve">relatively, </w:t>
      </w:r>
      <w:r w:rsidR="00296650" w:rsidRPr="00296650">
        <w:t>not precisely</w:t>
      </w:r>
      <w:r w:rsidR="00296650">
        <w:t xml:space="preserve">, </w:t>
      </w:r>
      <w:r w:rsidR="00296650" w:rsidRPr="00296650">
        <w:t>compatible with the management packages used in this study (</w:t>
      </w:r>
      <w:r w:rsidR="00296650">
        <w:t xml:space="preserve">e.g., </w:t>
      </w:r>
      <w:r w:rsidR="00296650" w:rsidRPr="00296650">
        <w:t xml:space="preserve">no residue and no manure, no residue and manure, residue and manure, and residue and no manure) for two soil types (heavy clay content and low clay content). </w:t>
      </w:r>
      <w:r w:rsidR="00296650">
        <w:t>B</w:t>
      </w:r>
      <w:r w:rsidR="00296650" w:rsidRPr="00296650">
        <w:t>ased on the description of report</w:t>
      </w:r>
      <w:r w:rsidR="00296650">
        <w:t>,</w:t>
      </w:r>
      <w:r w:rsidR="00296650" w:rsidRPr="00296650">
        <w:t xml:space="preserve"> hybrid variety, no fertilizer application</w:t>
      </w:r>
      <w:r w:rsidR="00296650">
        <w:t>, and no rotation were selected f</w:t>
      </w:r>
      <w:r w:rsidR="00296650" w:rsidRPr="00296650">
        <w:t>or other management practice components. For the other components (i.e., SWC practices and mulching) and climate, all cases were selected</w:t>
      </w:r>
      <w:r w:rsidR="00296650">
        <w:t xml:space="preserve"> and aggregated</w:t>
      </w:r>
      <w:r w:rsidR="00296650" w:rsidRPr="00296650">
        <w:t>, assuming there would be a mixture of farmers that may or may not adopt these practices</w:t>
      </w:r>
      <w:r w:rsidR="00296650">
        <w:t>. C</w:t>
      </w:r>
      <w:r w:rsidR="00296650" w:rsidRPr="00296650">
        <w:t xml:space="preserve">limate biases </w:t>
      </w:r>
      <w:r w:rsidR="00296650">
        <w:t xml:space="preserve">were </w:t>
      </w:r>
      <w:r w:rsidR="00296650" w:rsidRPr="00296650">
        <w:t xml:space="preserve">averaged between dry and wet conditions. In addition, since the study used [no residue and manure] as the baseline, results from this study were accordingly adjusted. The comparison results </w:t>
      </w:r>
      <w:r w:rsidR="00504D88">
        <w:t xml:space="preserve">are shown in Figure A.12. </w:t>
      </w:r>
      <w:r w:rsidR="00296650" w:rsidRPr="00296650">
        <w:t>Although there are differences in the level of estimates, the overall pattern between two stu</w:t>
      </w:r>
      <w:r w:rsidR="00504D88">
        <w:t>dies matched relatively closely, such that t</w:t>
      </w:r>
      <w:r w:rsidR="00296650" w:rsidRPr="00296650">
        <w:t xml:space="preserve">he two studies coincided at determining the positive (soil carbon sequestration) and negative (soil carbon depletion) management practices. Considering the many differences of methodologies (e.g., differences in models, simulation time period, model complexity, simulated management practices, simulation time-step, </w:t>
      </w:r>
      <w:proofErr w:type="spellStart"/>
      <w:r w:rsidR="00296650" w:rsidRPr="00296650">
        <w:t>etc</w:t>
      </w:r>
      <w:proofErr w:type="spellEnd"/>
      <w:r w:rsidR="00296650" w:rsidRPr="00296650">
        <w:t>) and the model input data (e.g., climate, soil, and variety) between two studies, the overall matching trends of estimates were noted as remarkably close.</w:t>
      </w:r>
    </w:p>
    <w:p w:rsidR="00780D6D" w:rsidRDefault="00780D6D" w:rsidP="00773C98">
      <w:pPr>
        <w:pStyle w:val="BodyTextIndentSpaceBefore"/>
        <w:spacing w:before="0"/>
        <w:ind w:firstLine="0"/>
      </w:pPr>
    </w:p>
    <w:p w:rsidR="00780CC5" w:rsidRPr="0002792C" w:rsidRDefault="00780CC5" w:rsidP="00F14253">
      <w:pPr>
        <w:pStyle w:val="BodyTextIndentSpaceBefore"/>
        <w:spacing w:before="0"/>
        <w:ind w:firstLine="0"/>
        <w:rPr>
          <w:i/>
        </w:rPr>
      </w:pPr>
      <w:r w:rsidRPr="0002792C">
        <w:rPr>
          <w:i/>
        </w:rPr>
        <w:t>Limitation</w:t>
      </w:r>
    </w:p>
    <w:p w:rsidR="00780CC5" w:rsidRDefault="00780CC5" w:rsidP="00F14253">
      <w:pPr>
        <w:pStyle w:val="BodyTextIndentSpaceBefore"/>
        <w:spacing w:before="0"/>
        <w:ind w:firstLine="0"/>
      </w:pPr>
    </w:p>
    <w:p w:rsidR="00F14253" w:rsidRDefault="00F14253" w:rsidP="00F14253">
      <w:pPr>
        <w:pStyle w:val="BodyTextIndentSpaceBefore"/>
        <w:spacing w:before="0"/>
        <w:ind w:firstLine="0"/>
      </w:pPr>
      <w:r>
        <w:t>W</w:t>
      </w:r>
      <w:r w:rsidRPr="00F14253">
        <w:t xml:space="preserve">hile crop </w:t>
      </w:r>
      <w:r>
        <w:t>system</w:t>
      </w:r>
      <w:r w:rsidRPr="00F14253">
        <w:t xml:space="preserve"> models</w:t>
      </w:r>
      <w:r>
        <w:t>, such as the CERES-Maize with CENTURY model used in this study,</w:t>
      </w:r>
      <w:r w:rsidRPr="00F14253">
        <w:t xml:space="preserve"> provide useful information on the estimation of </w:t>
      </w:r>
      <w:r>
        <w:t xml:space="preserve">crop </w:t>
      </w:r>
      <w:r w:rsidRPr="00F14253">
        <w:t xml:space="preserve">productivity </w:t>
      </w:r>
      <w:r>
        <w:t xml:space="preserve">and soil dynamics </w:t>
      </w:r>
      <w:r w:rsidRPr="00F14253">
        <w:t xml:space="preserve">under </w:t>
      </w:r>
      <w:r w:rsidR="00755A30">
        <w:t>“</w:t>
      </w:r>
      <w:r w:rsidRPr="00F14253">
        <w:t>what-if</w:t>
      </w:r>
      <w:r w:rsidR="00755A30">
        <w:t>”</w:t>
      </w:r>
      <w:r w:rsidRPr="00F14253">
        <w:t xml:space="preserve"> scenarios, </w:t>
      </w:r>
      <w:r>
        <w:t xml:space="preserve">they </w:t>
      </w:r>
      <w:r w:rsidRPr="00F14253">
        <w:t xml:space="preserve">do not take into account all biotic and abiotic constraints that farmers may face in the field. </w:t>
      </w:r>
      <w:r w:rsidR="00504D88">
        <w:t>Thus, a</w:t>
      </w:r>
      <w:r w:rsidR="00504D88" w:rsidRPr="00504D88">
        <w:t>s shown in the Figure A.11</w:t>
      </w:r>
      <w:r w:rsidR="00504D88">
        <w:t xml:space="preserve"> for the baseline case</w:t>
      </w:r>
      <w:r w:rsidR="00504D88" w:rsidRPr="00504D88">
        <w:t xml:space="preserve">, surveyed and simulated yields are not expected to match perfectly. </w:t>
      </w:r>
      <w:r w:rsidRPr="00F14253">
        <w:t>Damage from pests, diseases, and weeds</w:t>
      </w:r>
      <w:r w:rsidR="00755A30">
        <w:t>;</w:t>
      </w:r>
      <w:r w:rsidRPr="00F14253">
        <w:t xml:space="preserve"> </w:t>
      </w:r>
      <w:r w:rsidR="007414DD">
        <w:t xml:space="preserve">within-field </w:t>
      </w:r>
      <w:r w:rsidRPr="00F14253">
        <w:t>heterogeneity of soil properties</w:t>
      </w:r>
      <w:r w:rsidR="00755A30">
        <w:t>;</w:t>
      </w:r>
      <w:r w:rsidRPr="00F14253">
        <w:t xml:space="preserve"> and sub-optimum management practices found in the </w:t>
      </w:r>
      <w:r w:rsidR="008F0395">
        <w:t xml:space="preserve">farmers’ </w:t>
      </w:r>
      <w:r w:rsidRPr="00F14253">
        <w:t>field</w:t>
      </w:r>
      <w:r w:rsidR="008F0395">
        <w:t>s</w:t>
      </w:r>
      <w:r w:rsidRPr="00F14253">
        <w:t xml:space="preserve">, for example, are difficult to be implemented on the current generation of process-based modeling platforms, including the CERES-Maize model used in this study. Thus model-estimated yields and yield responses to the management practices should be cautiously interpreted, </w:t>
      </w:r>
      <w:r w:rsidR="00755A30">
        <w:t>as these estimates assume that</w:t>
      </w:r>
      <w:r w:rsidRPr="00F14253">
        <w:t xml:space="preserve"> farmers</w:t>
      </w:r>
      <w:r w:rsidR="00755A30">
        <w:t xml:space="preserve"> have</w:t>
      </w:r>
      <w:r w:rsidRPr="00F14253">
        <w:t xml:space="preserve"> good agronomic understanding and resources for effectively managing constraints.</w:t>
      </w:r>
    </w:p>
    <w:p w:rsidR="00F14253" w:rsidRPr="007E6EC9" w:rsidRDefault="00F14253" w:rsidP="00F14253">
      <w:pPr>
        <w:pStyle w:val="BodyTextIndentSpaceBefore"/>
        <w:spacing w:before="0"/>
        <w:ind w:firstLine="0"/>
        <w:rPr>
          <w:szCs w:val="22"/>
        </w:rPr>
      </w:pPr>
    </w:p>
    <w:p w:rsidR="007E6EC9" w:rsidRPr="007E6EC9" w:rsidRDefault="007E6EC9">
      <w:pPr>
        <w:spacing w:after="200" w:line="276" w:lineRule="auto"/>
        <w:rPr>
          <w:szCs w:val="22"/>
        </w:rPr>
      </w:pPr>
      <w:r w:rsidRPr="00755A30">
        <w:rPr>
          <w:i/>
          <w:szCs w:val="22"/>
        </w:rPr>
        <w:t>References</w:t>
      </w:r>
      <w:r w:rsidRPr="007E6EC9">
        <w:rPr>
          <w:szCs w:val="22"/>
        </w:rPr>
        <w:t>:</w:t>
      </w:r>
    </w:p>
    <w:p w:rsidR="000D3150" w:rsidRDefault="000D3150" w:rsidP="000D3150">
      <w:pPr>
        <w:autoSpaceDE w:val="0"/>
        <w:autoSpaceDN w:val="0"/>
        <w:adjustRightInd w:val="0"/>
      </w:pPr>
      <w:r w:rsidRPr="007E6EC9">
        <w:t xml:space="preserve">Basso B., </w:t>
      </w:r>
      <w:proofErr w:type="spellStart"/>
      <w:r w:rsidRPr="007E6EC9">
        <w:t>Gargiulo</w:t>
      </w:r>
      <w:proofErr w:type="spellEnd"/>
      <w:r w:rsidRPr="007E6EC9">
        <w:t xml:space="preserve"> O., </w:t>
      </w:r>
      <w:proofErr w:type="spellStart"/>
      <w:r w:rsidRPr="007E6EC9">
        <w:t>Paustian</w:t>
      </w:r>
      <w:proofErr w:type="spellEnd"/>
      <w:r w:rsidRPr="007E6EC9">
        <w:t xml:space="preserve"> K., Robertson G.P., Porter C., Grace P.R., Jones J.W. (2011) Procedures for Initializing Soil Organic Carbon Pools in the DSSAT-CENTURY Model for Agricultural Systems. Soil Science Society of America Journal 75:69-78.</w:t>
      </w:r>
    </w:p>
    <w:p w:rsidR="000D3150" w:rsidRDefault="000D3150" w:rsidP="007E6EC9">
      <w:pPr>
        <w:autoSpaceDE w:val="0"/>
        <w:autoSpaceDN w:val="0"/>
        <w:adjustRightInd w:val="0"/>
        <w:rPr>
          <w:rFonts w:eastAsiaTheme="minorHAnsi"/>
          <w:bCs/>
          <w:szCs w:val="22"/>
        </w:rPr>
      </w:pPr>
    </w:p>
    <w:p w:rsidR="007E6EC9" w:rsidRPr="007E6EC9" w:rsidRDefault="007E6EC9" w:rsidP="007E6EC9">
      <w:pPr>
        <w:autoSpaceDE w:val="0"/>
        <w:autoSpaceDN w:val="0"/>
        <w:adjustRightInd w:val="0"/>
        <w:rPr>
          <w:rFonts w:eastAsiaTheme="minorHAnsi"/>
          <w:szCs w:val="22"/>
        </w:rPr>
      </w:pPr>
      <w:proofErr w:type="gramStart"/>
      <w:r w:rsidRPr="007E6EC9">
        <w:rPr>
          <w:rFonts w:eastAsiaTheme="minorHAnsi"/>
          <w:bCs/>
          <w:szCs w:val="22"/>
        </w:rPr>
        <w:lastRenderedPageBreak/>
        <w:t>Coleman</w:t>
      </w:r>
      <w:r>
        <w:rPr>
          <w:rFonts w:eastAsiaTheme="minorHAnsi"/>
          <w:bCs/>
          <w:szCs w:val="22"/>
        </w:rPr>
        <w:t>, K.</w:t>
      </w:r>
      <w:r w:rsidRPr="007E6EC9">
        <w:rPr>
          <w:rFonts w:eastAsiaTheme="minorHAnsi"/>
          <w:bCs/>
          <w:szCs w:val="22"/>
        </w:rPr>
        <w:t xml:space="preserve"> and </w:t>
      </w:r>
      <w:r>
        <w:rPr>
          <w:rFonts w:eastAsiaTheme="minorHAnsi"/>
          <w:bCs/>
          <w:szCs w:val="22"/>
        </w:rPr>
        <w:t xml:space="preserve">D.S. </w:t>
      </w:r>
      <w:proofErr w:type="spellStart"/>
      <w:r w:rsidRPr="007E6EC9">
        <w:rPr>
          <w:rFonts w:eastAsiaTheme="minorHAnsi"/>
          <w:bCs/>
          <w:szCs w:val="22"/>
        </w:rPr>
        <w:t>Jenkinson</w:t>
      </w:r>
      <w:proofErr w:type="spellEnd"/>
      <w:r w:rsidRPr="007E6EC9">
        <w:rPr>
          <w:rFonts w:eastAsiaTheme="minorHAnsi"/>
          <w:bCs/>
          <w:szCs w:val="22"/>
        </w:rPr>
        <w:t>.</w:t>
      </w:r>
      <w:proofErr w:type="gramEnd"/>
      <w:r w:rsidRPr="007E6EC9">
        <w:rPr>
          <w:rFonts w:eastAsiaTheme="minorHAnsi"/>
          <w:bCs/>
          <w:szCs w:val="22"/>
        </w:rPr>
        <w:t xml:space="preserve"> 2007. A model for the turnover</w:t>
      </w:r>
      <w:r>
        <w:rPr>
          <w:rFonts w:eastAsiaTheme="minorHAnsi"/>
          <w:bCs/>
          <w:szCs w:val="22"/>
        </w:rPr>
        <w:t xml:space="preserve"> </w:t>
      </w:r>
      <w:r w:rsidRPr="007E6EC9">
        <w:rPr>
          <w:rFonts w:eastAsiaTheme="minorHAnsi"/>
          <w:bCs/>
          <w:szCs w:val="22"/>
        </w:rPr>
        <w:t>of carbon in soil</w:t>
      </w:r>
      <w:r>
        <w:rPr>
          <w:rFonts w:eastAsiaTheme="minorHAnsi"/>
          <w:bCs/>
          <w:szCs w:val="22"/>
        </w:rPr>
        <w:t>:</w:t>
      </w:r>
      <w:r w:rsidRPr="007E6EC9">
        <w:rPr>
          <w:rFonts w:eastAsiaTheme="minorHAnsi"/>
          <w:b/>
          <w:bCs/>
          <w:sz w:val="36"/>
          <w:szCs w:val="36"/>
        </w:rPr>
        <w:t xml:space="preserve"> </w:t>
      </w:r>
      <w:r w:rsidRPr="007E6EC9">
        <w:rPr>
          <w:rFonts w:eastAsiaTheme="minorHAnsi"/>
          <w:bCs/>
          <w:szCs w:val="22"/>
        </w:rPr>
        <w:t>Model description and users guide</w:t>
      </w:r>
      <w:r w:rsidR="00084B22">
        <w:rPr>
          <w:rFonts w:eastAsiaTheme="minorHAnsi"/>
          <w:bCs/>
          <w:szCs w:val="22"/>
        </w:rPr>
        <w:t xml:space="preserve">. Available at: </w:t>
      </w:r>
      <w:r w:rsidR="00084B22" w:rsidRPr="00084B22">
        <w:rPr>
          <w:rFonts w:eastAsiaTheme="minorHAnsi"/>
          <w:bCs/>
          <w:szCs w:val="22"/>
        </w:rPr>
        <w:t>http://www.rothamsted.ac.uk/aen/carbon/rothc.htm</w:t>
      </w:r>
      <w:r w:rsidR="00084B22">
        <w:rPr>
          <w:rFonts w:eastAsiaTheme="minorHAnsi"/>
          <w:bCs/>
          <w:szCs w:val="22"/>
        </w:rPr>
        <w:t>.</w:t>
      </w:r>
    </w:p>
    <w:p w:rsidR="007E6EC9" w:rsidRDefault="007E6EC9" w:rsidP="007E6EC9">
      <w:pPr>
        <w:pStyle w:val="PlainText"/>
        <w:rPr>
          <w:color w:val="1F497D" w:themeColor="text2"/>
        </w:rPr>
      </w:pPr>
    </w:p>
    <w:p w:rsidR="00AA7A29" w:rsidRPr="00801C53" w:rsidRDefault="00AA7A29" w:rsidP="00AA7A29">
      <w:pPr>
        <w:pStyle w:val="PlainText"/>
        <w:rPr>
          <w:rFonts w:ascii="Times New Roman" w:hAnsi="Times New Roman" w:cs="Times New Roman"/>
        </w:rPr>
      </w:pPr>
      <w:r w:rsidRPr="00801C53">
        <w:rPr>
          <w:rFonts w:ascii="Times New Roman" w:hAnsi="Times New Roman" w:cs="Times New Roman"/>
        </w:rPr>
        <w:t xml:space="preserve">De </w:t>
      </w:r>
      <w:proofErr w:type="spellStart"/>
      <w:r w:rsidRPr="00801C53">
        <w:rPr>
          <w:rFonts w:ascii="Times New Roman" w:hAnsi="Times New Roman" w:cs="Times New Roman"/>
        </w:rPr>
        <w:t>Sanctis</w:t>
      </w:r>
      <w:proofErr w:type="spellEnd"/>
      <w:r w:rsidRPr="00801C53">
        <w:rPr>
          <w:rFonts w:ascii="Times New Roman" w:hAnsi="Times New Roman" w:cs="Times New Roman"/>
        </w:rPr>
        <w:t xml:space="preserve">, G., </w:t>
      </w:r>
      <w:proofErr w:type="spellStart"/>
      <w:r w:rsidRPr="00801C53">
        <w:rPr>
          <w:rFonts w:ascii="Times New Roman" w:hAnsi="Times New Roman" w:cs="Times New Roman"/>
        </w:rPr>
        <w:t>Roggero</w:t>
      </w:r>
      <w:proofErr w:type="spellEnd"/>
      <w:r w:rsidRPr="00801C53">
        <w:rPr>
          <w:rFonts w:ascii="Times New Roman" w:hAnsi="Times New Roman" w:cs="Times New Roman"/>
        </w:rPr>
        <w:t xml:space="preserve">, P.P., </w:t>
      </w:r>
      <w:proofErr w:type="spellStart"/>
      <w:r w:rsidRPr="00801C53">
        <w:rPr>
          <w:rFonts w:ascii="Times New Roman" w:hAnsi="Times New Roman" w:cs="Times New Roman"/>
        </w:rPr>
        <w:t>Seddaiu</w:t>
      </w:r>
      <w:proofErr w:type="spellEnd"/>
      <w:r w:rsidRPr="00801C53">
        <w:rPr>
          <w:rFonts w:ascii="Times New Roman" w:hAnsi="Times New Roman" w:cs="Times New Roman"/>
        </w:rPr>
        <w:t xml:space="preserve">, G., </w:t>
      </w:r>
      <w:proofErr w:type="spellStart"/>
      <w:r w:rsidRPr="00801C53">
        <w:rPr>
          <w:rFonts w:ascii="Times New Roman" w:hAnsi="Times New Roman" w:cs="Times New Roman"/>
        </w:rPr>
        <w:t>Orsini</w:t>
      </w:r>
      <w:proofErr w:type="spellEnd"/>
      <w:r w:rsidRPr="00801C53">
        <w:rPr>
          <w:rFonts w:ascii="Times New Roman" w:hAnsi="Times New Roman" w:cs="Times New Roman"/>
        </w:rPr>
        <w:t>, R., Porter, C.H., Jones, J.W. Long-term no tillage increased soil organic carbon content of rain-fed cereal systems in a Mediterranean area (2012) European Journal of Agronomy, 40, pp. 18-27.</w:t>
      </w:r>
    </w:p>
    <w:p w:rsidR="00AA7A29" w:rsidRDefault="00AA7A29" w:rsidP="000D3150">
      <w:pPr>
        <w:pStyle w:val="PlainText"/>
        <w:rPr>
          <w:rFonts w:ascii="Times New Roman" w:hAnsi="Times New Roman" w:cs="Times New Roman"/>
        </w:rPr>
      </w:pPr>
    </w:p>
    <w:p w:rsidR="000D3150" w:rsidRPr="007E6EC9" w:rsidRDefault="000D3150" w:rsidP="000D3150">
      <w:pPr>
        <w:pStyle w:val="PlainText"/>
        <w:rPr>
          <w:rFonts w:ascii="Times New Roman" w:hAnsi="Times New Roman" w:cs="Times New Roman"/>
        </w:rPr>
      </w:pPr>
      <w:proofErr w:type="spellStart"/>
      <w:r w:rsidRPr="007E6EC9">
        <w:rPr>
          <w:rFonts w:ascii="Times New Roman" w:hAnsi="Times New Roman" w:cs="Times New Roman"/>
        </w:rPr>
        <w:t>Diagana</w:t>
      </w:r>
      <w:proofErr w:type="spellEnd"/>
      <w:r w:rsidRPr="007E6EC9">
        <w:rPr>
          <w:rFonts w:ascii="Times New Roman" w:hAnsi="Times New Roman" w:cs="Times New Roman"/>
        </w:rPr>
        <w:t xml:space="preserve"> B., </w:t>
      </w:r>
      <w:proofErr w:type="spellStart"/>
      <w:r w:rsidRPr="007E6EC9">
        <w:rPr>
          <w:rFonts w:ascii="Times New Roman" w:hAnsi="Times New Roman" w:cs="Times New Roman"/>
        </w:rPr>
        <w:t>Antle</w:t>
      </w:r>
      <w:proofErr w:type="spellEnd"/>
      <w:r w:rsidRPr="007E6EC9">
        <w:rPr>
          <w:rFonts w:ascii="Times New Roman" w:hAnsi="Times New Roman" w:cs="Times New Roman"/>
        </w:rPr>
        <w:t xml:space="preserve"> J., </w:t>
      </w:r>
      <w:proofErr w:type="spellStart"/>
      <w:r w:rsidRPr="007E6EC9">
        <w:rPr>
          <w:rFonts w:ascii="Times New Roman" w:hAnsi="Times New Roman" w:cs="Times New Roman"/>
        </w:rPr>
        <w:t>Stoorvogel</w:t>
      </w:r>
      <w:proofErr w:type="spellEnd"/>
      <w:r w:rsidRPr="007E6EC9">
        <w:rPr>
          <w:rFonts w:ascii="Times New Roman" w:hAnsi="Times New Roman" w:cs="Times New Roman"/>
        </w:rPr>
        <w:t xml:space="preserve"> J., Gray K. (2007) Economic potential for soil carbon sequestration in the </w:t>
      </w:r>
      <w:proofErr w:type="spellStart"/>
      <w:r w:rsidRPr="007E6EC9">
        <w:rPr>
          <w:rFonts w:ascii="Times New Roman" w:hAnsi="Times New Roman" w:cs="Times New Roman"/>
        </w:rPr>
        <w:t>Nioro</w:t>
      </w:r>
      <w:proofErr w:type="spellEnd"/>
      <w:r w:rsidRPr="007E6EC9">
        <w:rPr>
          <w:rFonts w:ascii="Times New Roman" w:hAnsi="Times New Roman" w:cs="Times New Roman"/>
        </w:rPr>
        <w:t xml:space="preserve"> region of Senegal's Peanut Basin. Agricultural Systems 94:26-37.</w:t>
      </w:r>
    </w:p>
    <w:p w:rsidR="00AA7A29" w:rsidRDefault="00AA7A29" w:rsidP="00AA7A29">
      <w:pPr>
        <w:outlineLvl w:val="1"/>
        <w:rPr>
          <w:szCs w:val="22"/>
        </w:rPr>
      </w:pPr>
    </w:p>
    <w:p w:rsidR="00382A58" w:rsidRPr="00382A58" w:rsidRDefault="00382A58" w:rsidP="00382A58">
      <w:pPr>
        <w:pStyle w:val="Title"/>
        <w:jc w:val="left"/>
        <w:rPr>
          <w:rFonts w:ascii="Times New Roman" w:hAnsi="Times New Roman" w:cs="Times New Roman"/>
          <w:b w:val="0"/>
          <w:sz w:val="22"/>
          <w:szCs w:val="22"/>
        </w:rPr>
      </w:pPr>
      <w:proofErr w:type="gramStart"/>
      <w:r w:rsidRPr="00382A58">
        <w:rPr>
          <w:rFonts w:ascii="Times New Roman" w:hAnsi="Times New Roman" w:cs="Times New Roman"/>
          <w:b w:val="0"/>
          <w:sz w:val="22"/>
          <w:szCs w:val="22"/>
          <w:lang w:val="en-US"/>
        </w:rPr>
        <w:t xml:space="preserve">ECOM </w:t>
      </w:r>
      <w:proofErr w:type="spellStart"/>
      <w:r w:rsidRPr="00382A58">
        <w:rPr>
          <w:rFonts w:ascii="Times New Roman" w:hAnsi="Times New Roman" w:cs="Times New Roman"/>
          <w:b w:val="0"/>
          <w:sz w:val="22"/>
          <w:szCs w:val="22"/>
          <w:lang w:val="en-US"/>
        </w:rPr>
        <w:t>Agroindustrial</w:t>
      </w:r>
      <w:proofErr w:type="spellEnd"/>
      <w:r w:rsidRPr="00382A58">
        <w:rPr>
          <w:rFonts w:ascii="Times New Roman" w:hAnsi="Times New Roman" w:cs="Times New Roman"/>
          <w:b w:val="0"/>
          <w:sz w:val="22"/>
          <w:szCs w:val="22"/>
          <w:lang w:val="en-US"/>
        </w:rPr>
        <w:t xml:space="preserve"> Corporation Ltd.</w:t>
      </w:r>
      <w:r w:rsidRPr="00382A58">
        <w:rPr>
          <w:rFonts w:ascii="Times New Roman" w:hAnsi="Times New Roman" w:cs="Times New Roman"/>
          <w:b w:val="0"/>
          <w:sz w:val="22"/>
          <w:szCs w:val="22"/>
        </w:rPr>
        <w:t xml:space="preserve"> 2009.</w:t>
      </w:r>
      <w:proofErr w:type="gramEnd"/>
      <w:r w:rsidRPr="00382A58">
        <w:rPr>
          <w:rFonts w:ascii="Times New Roman" w:hAnsi="Times New Roman" w:cs="Times New Roman"/>
          <w:b w:val="0"/>
          <w:sz w:val="22"/>
          <w:szCs w:val="22"/>
        </w:rPr>
        <w:t xml:space="preserve"> </w:t>
      </w:r>
      <w:proofErr w:type="gramStart"/>
      <w:r w:rsidRPr="00382A58">
        <w:rPr>
          <w:rFonts w:ascii="Times New Roman" w:hAnsi="Times New Roman" w:cs="Times New Roman"/>
          <w:b w:val="0"/>
          <w:sz w:val="22"/>
          <w:szCs w:val="22"/>
          <w:lang w:val="en-US"/>
        </w:rPr>
        <w:t xml:space="preserve">Kenya </w:t>
      </w:r>
      <w:proofErr w:type="spellStart"/>
      <w:r w:rsidRPr="00382A58">
        <w:rPr>
          <w:rFonts w:ascii="Times New Roman" w:hAnsi="Times New Roman" w:cs="Times New Roman"/>
          <w:b w:val="0"/>
          <w:sz w:val="22"/>
          <w:szCs w:val="22"/>
          <w:lang w:val="en-US"/>
        </w:rPr>
        <w:t>Sm</w:t>
      </w:r>
      <w:r w:rsidRPr="00382A58">
        <w:rPr>
          <w:rFonts w:ascii="Times New Roman" w:hAnsi="Times New Roman" w:cs="Times New Roman"/>
          <w:b w:val="0"/>
          <w:sz w:val="22"/>
          <w:szCs w:val="22"/>
        </w:rPr>
        <w:t>allholder</w:t>
      </w:r>
      <w:proofErr w:type="spellEnd"/>
      <w:r w:rsidRPr="00382A58">
        <w:rPr>
          <w:rFonts w:ascii="Times New Roman" w:hAnsi="Times New Roman" w:cs="Times New Roman"/>
          <w:b w:val="0"/>
          <w:sz w:val="22"/>
          <w:szCs w:val="22"/>
        </w:rPr>
        <w:t xml:space="preserve"> coffee carbon project.</w:t>
      </w:r>
      <w:proofErr w:type="gramEnd"/>
      <w:r w:rsidRPr="00382A58">
        <w:rPr>
          <w:rFonts w:ascii="Times New Roman" w:hAnsi="Times New Roman" w:cs="Times New Roman"/>
          <w:b w:val="0"/>
          <w:sz w:val="22"/>
          <w:szCs w:val="22"/>
        </w:rPr>
        <w:t xml:space="preserve"> </w:t>
      </w:r>
      <w:proofErr w:type="gramStart"/>
      <w:r w:rsidRPr="00382A58">
        <w:rPr>
          <w:rFonts w:ascii="Times New Roman" w:hAnsi="Times New Roman" w:cs="Times New Roman"/>
          <w:b w:val="0"/>
          <w:sz w:val="22"/>
          <w:szCs w:val="22"/>
        </w:rPr>
        <w:t xml:space="preserve">Voluntary Carbon Standard </w:t>
      </w:r>
      <w:r w:rsidRPr="00382A58">
        <w:rPr>
          <w:rFonts w:ascii="Times New Roman" w:hAnsi="Times New Roman" w:cs="Times New Roman"/>
          <w:b w:val="0"/>
          <w:bCs w:val="0"/>
          <w:sz w:val="22"/>
          <w:szCs w:val="22"/>
          <w:lang w:val="en-US"/>
        </w:rPr>
        <w:t>Project Description.</w:t>
      </w:r>
      <w:proofErr w:type="gramEnd"/>
    </w:p>
    <w:p w:rsidR="00382A58" w:rsidRPr="00382A58" w:rsidRDefault="00382A58" w:rsidP="00AA7A29">
      <w:pPr>
        <w:outlineLvl w:val="1"/>
        <w:rPr>
          <w:szCs w:val="22"/>
        </w:rPr>
      </w:pPr>
    </w:p>
    <w:p w:rsidR="00AA7A29" w:rsidRPr="00AA7A29" w:rsidRDefault="00AA7A29" w:rsidP="00AA7A29">
      <w:pPr>
        <w:outlineLvl w:val="1"/>
        <w:rPr>
          <w:szCs w:val="22"/>
        </w:rPr>
      </w:pPr>
      <w:proofErr w:type="spellStart"/>
      <w:r w:rsidRPr="00AA7A29">
        <w:rPr>
          <w:szCs w:val="22"/>
        </w:rPr>
        <w:t>Gijsman</w:t>
      </w:r>
      <w:proofErr w:type="spellEnd"/>
      <w:r w:rsidRPr="00AA7A29">
        <w:rPr>
          <w:szCs w:val="22"/>
        </w:rPr>
        <w:t xml:space="preserve">, A.J., G. </w:t>
      </w:r>
      <w:proofErr w:type="spellStart"/>
      <w:r w:rsidRPr="00AA7A29">
        <w:rPr>
          <w:szCs w:val="22"/>
        </w:rPr>
        <w:t>Hoogenboom</w:t>
      </w:r>
      <w:proofErr w:type="spellEnd"/>
      <w:r w:rsidRPr="00AA7A29">
        <w:rPr>
          <w:szCs w:val="22"/>
        </w:rPr>
        <w:t xml:space="preserve">, W.J. Parton, P.C. </w:t>
      </w:r>
      <w:proofErr w:type="spellStart"/>
      <w:r w:rsidRPr="00AA7A29">
        <w:rPr>
          <w:szCs w:val="22"/>
        </w:rPr>
        <w:t>Kerridge</w:t>
      </w:r>
      <w:proofErr w:type="spellEnd"/>
      <w:r w:rsidRPr="00AA7A29">
        <w:rPr>
          <w:szCs w:val="22"/>
        </w:rPr>
        <w:t>. 2002.</w:t>
      </w:r>
      <w:r w:rsidRPr="00AA7A29">
        <w:rPr>
          <w:kern w:val="36"/>
          <w:szCs w:val="22"/>
        </w:rPr>
        <w:t xml:space="preserve"> Modifying DSSAT Crop Models for Low-Input Agricultural Systems Using a Soil Organic Matter–Residue Module from CENTURY</w:t>
      </w:r>
      <w:r w:rsidRPr="00AA7A29">
        <w:rPr>
          <w:szCs w:val="22"/>
        </w:rPr>
        <w:t xml:space="preserve"> </w:t>
      </w:r>
      <w:bookmarkStart w:id="0" w:name="_GoBack"/>
      <w:bookmarkEnd w:id="0"/>
      <w:r w:rsidRPr="00AA7A29">
        <w:rPr>
          <w:szCs w:val="22"/>
        </w:rPr>
        <w:t>Agronomy Journal, 94: 462–474.</w:t>
      </w:r>
    </w:p>
    <w:p w:rsidR="00AA7A29" w:rsidRPr="00AA7A29" w:rsidRDefault="00AA7A29" w:rsidP="00AA7A29">
      <w:pPr>
        <w:pStyle w:val="PlainText"/>
        <w:rPr>
          <w:rFonts w:ascii="Times New Roman" w:hAnsi="Times New Roman" w:cs="Times New Roman"/>
          <w:szCs w:val="22"/>
        </w:rPr>
      </w:pPr>
    </w:p>
    <w:p w:rsidR="000D3150" w:rsidRPr="007E6EC9" w:rsidRDefault="000D3150" w:rsidP="000D3150">
      <w:pPr>
        <w:pStyle w:val="PlainText"/>
        <w:rPr>
          <w:rFonts w:ascii="Times New Roman" w:hAnsi="Times New Roman" w:cs="Times New Roman"/>
        </w:rPr>
      </w:pPr>
      <w:r w:rsidRPr="007E6EC9">
        <w:rPr>
          <w:rFonts w:ascii="Times New Roman" w:hAnsi="Times New Roman" w:cs="Times New Roman"/>
        </w:rPr>
        <w:t xml:space="preserve">Gonzalez-Estrada E., Rodriguez L.C., </w:t>
      </w:r>
      <w:proofErr w:type="spellStart"/>
      <w:r w:rsidRPr="007E6EC9">
        <w:rPr>
          <w:rFonts w:ascii="Times New Roman" w:hAnsi="Times New Roman" w:cs="Times New Roman"/>
        </w:rPr>
        <w:t>Walen</w:t>
      </w:r>
      <w:proofErr w:type="spellEnd"/>
      <w:r w:rsidRPr="007E6EC9">
        <w:rPr>
          <w:rFonts w:ascii="Times New Roman" w:hAnsi="Times New Roman" w:cs="Times New Roman"/>
        </w:rPr>
        <w:t xml:space="preserve"> V.K., </w:t>
      </w:r>
      <w:proofErr w:type="spellStart"/>
      <w:r w:rsidRPr="007E6EC9">
        <w:rPr>
          <w:rFonts w:ascii="Times New Roman" w:hAnsi="Times New Roman" w:cs="Times New Roman"/>
        </w:rPr>
        <w:t>Naab</w:t>
      </w:r>
      <w:proofErr w:type="spellEnd"/>
      <w:r w:rsidRPr="007E6EC9">
        <w:rPr>
          <w:rFonts w:ascii="Times New Roman" w:hAnsi="Times New Roman" w:cs="Times New Roman"/>
        </w:rPr>
        <w:t xml:space="preserve"> J.B., Koo J., Jones J.W., Herrero M., Thornton P.K. (2008) Carbon sequestration and farm income in West Africa: Identifying best management practices for smallholder agricultural systems in northern Ghana. Ecological Economics 67:492-502.</w:t>
      </w:r>
    </w:p>
    <w:p w:rsidR="000D3150" w:rsidRDefault="000D3150" w:rsidP="007E6EC9">
      <w:pPr>
        <w:pStyle w:val="PlainText"/>
        <w:rPr>
          <w:rFonts w:ascii="Times New Roman" w:hAnsi="Times New Roman" w:cs="Times New Roman"/>
        </w:rPr>
      </w:pPr>
    </w:p>
    <w:p w:rsidR="000D3150" w:rsidRPr="007E6EC9" w:rsidRDefault="000D3150" w:rsidP="000D3150">
      <w:pPr>
        <w:pStyle w:val="PlainText"/>
        <w:rPr>
          <w:rFonts w:ascii="Times New Roman" w:hAnsi="Times New Roman" w:cs="Times New Roman"/>
        </w:rPr>
      </w:pPr>
      <w:r w:rsidRPr="007E6EC9">
        <w:rPr>
          <w:rFonts w:ascii="Times New Roman" w:hAnsi="Times New Roman" w:cs="Times New Roman"/>
        </w:rPr>
        <w:t xml:space="preserve">Koo J., </w:t>
      </w:r>
      <w:proofErr w:type="spellStart"/>
      <w:r w:rsidRPr="007E6EC9">
        <w:rPr>
          <w:rFonts w:ascii="Times New Roman" w:hAnsi="Times New Roman" w:cs="Times New Roman"/>
        </w:rPr>
        <w:t>Bostick</w:t>
      </w:r>
      <w:proofErr w:type="spellEnd"/>
      <w:r w:rsidRPr="007E6EC9">
        <w:rPr>
          <w:rFonts w:ascii="Times New Roman" w:hAnsi="Times New Roman" w:cs="Times New Roman"/>
        </w:rPr>
        <w:t xml:space="preserve"> W.M., </w:t>
      </w:r>
      <w:proofErr w:type="spellStart"/>
      <w:r w:rsidRPr="007E6EC9">
        <w:rPr>
          <w:rFonts w:ascii="Times New Roman" w:hAnsi="Times New Roman" w:cs="Times New Roman"/>
        </w:rPr>
        <w:t>Naab</w:t>
      </w:r>
      <w:proofErr w:type="spellEnd"/>
      <w:r w:rsidRPr="007E6EC9">
        <w:rPr>
          <w:rFonts w:ascii="Times New Roman" w:hAnsi="Times New Roman" w:cs="Times New Roman"/>
        </w:rPr>
        <w:t xml:space="preserve"> J.B., Jones J.W., Graham W.D., </w:t>
      </w:r>
      <w:proofErr w:type="spellStart"/>
      <w:r w:rsidRPr="007E6EC9">
        <w:rPr>
          <w:rFonts w:ascii="Times New Roman" w:hAnsi="Times New Roman" w:cs="Times New Roman"/>
        </w:rPr>
        <w:t>Gijsman</w:t>
      </w:r>
      <w:proofErr w:type="spellEnd"/>
      <w:r w:rsidRPr="007E6EC9">
        <w:rPr>
          <w:rFonts w:ascii="Times New Roman" w:hAnsi="Times New Roman" w:cs="Times New Roman"/>
        </w:rPr>
        <w:t xml:space="preserve"> A.J. (2007) Estimating soil carbon in agricultural systems using ensemble </w:t>
      </w:r>
      <w:proofErr w:type="spellStart"/>
      <w:r w:rsidRPr="007E6EC9">
        <w:rPr>
          <w:rFonts w:ascii="Times New Roman" w:hAnsi="Times New Roman" w:cs="Times New Roman"/>
        </w:rPr>
        <w:t>Kalman</w:t>
      </w:r>
      <w:proofErr w:type="spellEnd"/>
      <w:r w:rsidRPr="007E6EC9">
        <w:rPr>
          <w:rFonts w:ascii="Times New Roman" w:hAnsi="Times New Roman" w:cs="Times New Roman"/>
        </w:rPr>
        <w:t xml:space="preserve"> filter and DSSAT-century. Transactions of the </w:t>
      </w:r>
      <w:proofErr w:type="spellStart"/>
      <w:r w:rsidRPr="007E6EC9">
        <w:rPr>
          <w:rFonts w:ascii="Times New Roman" w:hAnsi="Times New Roman" w:cs="Times New Roman"/>
        </w:rPr>
        <w:t>Asabe</w:t>
      </w:r>
      <w:proofErr w:type="spellEnd"/>
      <w:r w:rsidRPr="007E6EC9">
        <w:rPr>
          <w:rFonts w:ascii="Times New Roman" w:hAnsi="Times New Roman" w:cs="Times New Roman"/>
        </w:rPr>
        <w:t xml:space="preserve"> 50:1851-1865.</w:t>
      </w:r>
    </w:p>
    <w:p w:rsidR="000D3150" w:rsidRDefault="000D3150" w:rsidP="007E6EC9">
      <w:pPr>
        <w:pStyle w:val="PlainText"/>
        <w:rPr>
          <w:rFonts w:ascii="Times New Roman" w:hAnsi="Times New Roman" w:cs="Times New Roman"/>
        </w:rPr>
      </w:pPr>
    </w:p>
    <w:p w:rsidR="007E6EC9" w:rsidRDefault="007E6EC9" w:rsidP="007E6EC9">
      <w:pPr>
        <w:pStyle w:val="PlainText"/>
        <w:rPr>
          <w:rFonts w:ascii="Times New Roman" w:hAnsi="Times New Roman" w:cs="Times New Roman"/>
        </w:rPr>
      </w:pPr>
      <w:r w:rsidRPr="007E6EC9">
        <w:rPr>
          <w:rFonts w:ascii="Times New Roman" w:hAnsi="Times New Roman" w:cs="Times New Roman"/>
        </w:rPr>
        <w:t xml:space="preserve">Porter C., Jones J., </w:t>
      </w:r>
      <w:proofErr w:type="spellStart"/>
      <w:r w:rsidRPr="007E6EC9">
        <w:rPr>
          <w:rFonts w:ascii="Times New Roman" w:hAnsi="Times New Roman" w:cs="Times New Roman"/>
        </w:rPr>
        <w:t>Adiku</w:t>
      </w:r>
      <w:proofErr w:type="spellEnd"/>
      <w:r w:rsidRPr="007E6EC9">
        <w:rPr>
          <w:rFonts w:ascii="Times New Roman" w:hAnsi="Times New Roman" w:cs="Times New Roman"/>
        </w:rPr>
        <w:t xml:space="preserve"> S., </w:t>
      </w:r>
      <w:proofErr w:type="spellStart"/>
      <w:r w:rsidRPr="007E6EC9">
        <w:rPr>
          <w:rFonts w:ascii="Times New Roman" w:hAnsi="Times New Roman" w:cs="Times New Roman"/>
        </w:rPr>
        <w:t>Gijsman</w:t>
      </w:r>
      <w:proofErr w:type="spellEnd"/>
      <w:r w:rsidRPr="007E6EC9">
        <w:rPr>
          <w:rFonts w:ascii="Times New Roman" w:hAnsi="Times New Roman" w:cs="Times New Roman"/>
        </w:rPr>
        <w:t xml:space="preserve"> A., </w:t>
      </w:r>
      <w:proofErr w:type="spellStart"/>
      <w:r w:rsidRPr="007E6EC9">
        <w:rPr>
          <w:rFonts w:ascii="Times New Roman" w:hAnsi="Times New Roman" w:cs="Times New Roman"/>
        </w:rPr>
        <w:t>Gargiulo</w:t>
      </w:r>
      <w:proofErr w:type="spellEnd"/>
      <w:r w:rsidRPr="007E6EC9">
        <w:rPr>
          <w:rFonts w:ascii="Times New Roman" w:hAnsi="Times New Roman" w:cs="Times New Roman"/>
        </w:rPr>
        <w:t xml:space="preserve"> O., </w:t>
      </w:r>
      <w:proofErr w:type="spellStart"/>
      <w:r w:rsidRPr="007E6EC9">
        <w:rPr>
          <w:rFonts w:ascii="Times New Roman" w:hAnsi="Times New Roman" w:cs="Times New Roman"/>
        </w:rPr>
        <w:t>Naab</w:t>
      </w:r>
      <w:proofErr w:type="spellEnd"/>
      <w:r w:rsidRPr="007E6EC9">
        <w:rPr>
          <w:rFonts w:ascii="Times New Roman" w:hAnsi="Times New Roman" w:cs="Times New Roman"/>
        </w:rPr>
        <w:t xml:space="preserve"> J. (2010) Modeling organic carbon and carbon-mediated soil processes in DSSAT v4.5. Operational Research 10:247-278.</w:t>
      </w:r>
    </w:p>
    <w:p w:rsidR="00AA7A29" w:rsidRDefault="00AA7A29" w:rsidP="007E6EC9">
      <w:pPr>
        <w:pStyle w:val="PlainText"/>
        <w:rPr>
          <w:rFonts w:ascii="Times New Roman" w:hAnsi="Times New Roman" w:cs="Times New Roman"/>
        </w:rPr>
      </w:pPr>
    </w:p>
    <w:p w:rsidR="00AA7A29" w:rsidRPr="00801C53" w:rsidRDefault="00AA7A29" w:rsidP="00801C53">
      <w:pPr>
        <w:autoSpaceDE w:val="0"/>
        <w:autoSpaceDN w:val="0"/>
        <w:adjustRightInd w:val="0"/>
        <w:rPr>
          <w:szCs w:val="22"/>
        </w:rPr>
      </w:pPr>
      <w:proofErr w:type="gramStart"/>
      <w:r w:rsidRPr="00801C53">
        <w:rPr>
          <w:szCs w:val="22"/>
        </w:rPr>
        <w:t xml:space="preserve">Sanchez, P.A., Palm, C.A., </w:t>
      </w:r>
      <w:proofErr w:type="spellStart"/>
      <w:r w:rsidRPr="00801C53">
        <w:rPr>
          <w:szCs w:val="22"/>
        </w:rPr>
        <w:t>Buol</w:t>
      </w:r>
      <w:proofErr w:type="spellEnd"/>
      <w:r w:rsidRPr="00801C53">
        <w:rPr>
          <w:szCs w:val="22"/>
        </w:rPr>
        <w:t>, S.W. 2003.</w:t>
      </w:r>
      <w:proofErr w:type="gramEnd"/>
      <w:r w:rsidRPr="00801C53">
        <w:rPr>
          <w:szCs w:val="22"/>
        </w:rPr>
        <w:t xml:space="preserve"> Fertility capability soil classification system: A tool to assess soil quality in the tropics. </w:t>
      </w:r>
      <w:proofErr w:type="spellStart"/>
      <w:r w:rsidRPr="00801C53">
        <w:rPr>
          <w:i/>
          <w:szCs w:val="22"/>
        </w:rPr>
        <w:t>Geoderma</w:t>
      </w:r>
      <w:proofErr w:type="spellEnd"/>
      <w:r w:rsidRPr="00801C53">
        <w:rPr>
          <w:i/>
          <w:szCs w:val="22"/>
        </w:rPr>
        <w:t>,</w:t>
      </w:r>
      <w:r w:rsidRPr="00801C53">
        <w:rPr>
          <w:szCs w:val="22"/>
        </w:rPr>
        <w:t xml:space="preserve"> 114:157-185.</w:t>
      </w:r>
    </w:p>
    <w:p w:rsidR="007E6EC9" w:rsidRPr="007E6EC9" w:rsidRDefault="007E6EC9" w:rsidP="007E6EC9">
      <w:pPr>
        <w:pStyle w:val="PlainText"/>
        <w:ind w:left="720"/>
        <w:rPr>
          <w:rFonts w:ascii="Times New Roman" w:hAnsi="Times New Roman" w:cs="Times New Roman"/>
        </w:rPr>
      </w:pPr>
    </w:p>
    <w:p w:rsidR="007E6EC9" w:rsidRPr="007E6EC9" w:rsidRDefault="007E6EC9" w:rsidP="000D3150">
      <w:pPr>
        <w:pStyle w:val="PlainText"/>
        <w:rPr>
          <w:rFonts w:ascii="Times New Roman" w:hAnsi="Times New Roman" w:cs="Times New Roman"/>
        </w:rPr>
      </w:pPr>
    </w:p>
    <w:p w:rsidR="007E6EC9" w:rsidRPr="007E6EC9" w:rsidRDefault="007E6EC9" w:rsidP="007E6EC9">
      <w:pPr>
        <w:pStyle w:val="PlainText"/>
        <w:ind w:left="720"/>
        <w:rPr>
          <w:rFonts w:ascii="Times New Roman" w:hAnsi="Times New Roman" w:cs="Times New Roman"/>
        </w:rPr>
      </w:pPr>
    </w:p>
    <w:p w:rsidR="00803DF1" w:rsidRPr="007E6EC9" w:rsidRDefault="00803DF1" w:rsidP="007E6EC9">
      <w:pPr>
        <w:autoSpaceDE w:val="0"/>
        <w:autoSpaceDN w:val="0"/>
        <w:adjustRightInd w:val="0"/>
      </w:pPr>
      <w:r w:rsidRPr="007E6EC9">
        <w:br w:type="page"/>
      </w:r>
    </w:p>
    <w:p w:rsidR="00773C98" w:rsidRPr="003B444B" w:rsidRDefault="00773C98" w:rsidP="00773C98">
      <w:pPr>
        <w:pStyle w:val="FigureTitle"/>
        <w:spacing w:before="0" w:after="0"/>
      </w:pPr>
      <w:bookmarkStart w:id="1" w:name="_Toc296350465"/>
      <w:r>
        <w:lastRenderedPageBreak/>
        <w:t xml:space="preserve">Figure </w:t>
      </w:r>
      <w:r w:rsidR="00780CC5">
        <w:t>A</w:t>
      </w:r>
      <w:r w:rsidRPr="003B444B">
        <w:t>.</w:t>
      </w:r>
      <w:r>
        <w:t>1</w:t>
      </w:r>
      <w:r w:rsidRPr="003B444B">
        <w:t>—</w:t>
      </w:r>
      <w:proofErr w:type="gramStart"/>
      <w:r w:rsidRPr="003B444B">
        <w:t>Simulated</w:t>
      </w:r>
      <w:proofErr w:type="gramEnd"/>
      <w:r w:rsidRPr="003B444B">
        <w:t xml:space="preserve"> trends of maize yield and soil organic carbon over 20 years in </w:t>
      </w:r>
      <w:proofErr w:type="spellStart"/>
      <w:r w:rsidRPr="003B444B">
        <w:t>Garissa</w:t>
      </w:r>
      <w:proofErr w:type="spellEnd"/>
      <w:r w:rsidRPr="003B444B">
        <w:t xml:space="preserve"> with clayey soil</w:t>
      </w:r>
      <w:bookmarkEnd w:id="1"/>
    </w:p>
    <w:p w:rsidR="00773C98" w:rsidRPr="003B444B" w:rsidRDefault="00773C98" w:rsidP="00773C98">
      <w:pPr>
        <w:pStyle w:val="FigureTitle"/>
        <w:spacing w:before="0" w:after="0"/>
      </w:pPr>
      <w:r w:rsidRPr="003B444B">
        <w:rPr>
          <w:noProof/>
        </w:rPr>
        <w:drawing>
          <wp:inline distT="0" distB="0" distL="0" distR="0" wp14:anchorId="09F3F02D" wp14:editId="6E51917D">
            <wp:extent cx="4330700" cy="2922777"/>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337145" cy="2927127"/>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TableFigureNotesFootnotes"/>
      </w:pPr>
    </w:p>
    <w:p w:rsidR="00773C98" w:rsidRPr="003B444B" w:rsidRDefault="00773C98" w:rsidP="00773C98">
      <w:pPr>
        <w:pStyle w:val="FigureTitle"/>
        <w:spacing w:before="0"/>
      </w:pPr>
      <w:bookmarkStart w:id="2" w:name="_Toc296350466"/>
      <w:r w:rsidRPr="003B444B">
        <w:t xml:space="preserve">Figure </w:t>
      </w:r>
      <w:r w:rsidR="00780CC5">
        <w:t>A</w:t>
      </w:r>
      <w:r>
        <w:t>.2</w:t>
      </w:r>
      <w:r w:rsidRPr="003B444B">
        <w:t>—</w:t>
      </w:r>
      <w:proofErr w:type="gramStart"/>
      <w:r w:rsidRPr="003B444B">
        <w:t>Simulated</w:t>
      </w:r>
      <w:proofErr w:type="gramEnd"/>
      <w:r w:rsidRPr="003B444B">
        <w:t xml:space="preserve"> trends of maize yield and soil organic carbon over 20 years in </w:t>
      </w:r>
      <w:proofErr w:type="spellStart"/>
      <w:r w:rsidRPr="003B444B">
        <w:t>Garissa</w:t>
      </w:r>
      <w:proofErr w:type="spellEnd"/>
      <w:r w:rsidRPr="003B444B">
        <w:t xml:space="preserve"> with sandy soil</w:t>
      </w:r>
      <w:bookmarkEnd w:id="2"/>
    </w:p>
    <w:p w:rsidR="00773C98" w:rsidRPr="003B444B" w:rsidRDefault="00773C98" w:rsidP="00773C98">
      <w:pPr>
        <w:pStyle w:val="TableFigureSource"/>
        <w:spacing w:before="0"/>
      </w:pPr>
      <w:r w:rsidRPr="003B444B">
        <w:rPr>
          <w:noProof/>
        </w:rPr>
        <w:drawing>
          <wp:inline distT="0" distB="0" distL="0" distR="0" wp14:anchorId="2C3AA42E" wp14:editId="60B94F7A">
            <wp:extent cx="4330700" cy="2939264"/>
            <wp:effectExtent l="1905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340001" cy="2945577"/>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before="0" w:after="0"/>
      </w:pPr>
      <w:bookmarkStart w:id="3" w:name="_Toc296350467"/>
      <w:r w:rsidRPr="003B444B">
        <w:lastRenderedPageBreak/>
        <w:t xml:space="preserve">Figure </w:t>
      </w:r>
      <w:r w:rsidR="00780CC5">
        <w:t>A</w:t>
      </w:r>
      <w:r>
        <w:t>.3</w:t>
      </w:r>
      <w:r w:rsidRPr="003B444B">
        <w:t>—</w:t>
      </w:r>
      <w:proofErr w:type="gramStart"/>
      <w:r w:rsidRPr="003B444B">
        <w:t>Simulated</w:t>
      </w:r>
      <w:proofErr w:type="gramEnd"/>
      <w:r w:rsidRPr="003B444B">
        <w:t xml:space="preserve"> trends of maize yield and soil organic carbon over 20 years in Gem with loamy soil</w:t>
      </w:r>
      <w:bookmarkEnd w:id="3"/>
      <w:r w:rsidRPr="003B444B">
        <w:t xml:space="preserve"> </w:t>
      </w:r>
    </w:p>
    <w:p w:rsidR="00773C98" w:rsidRPr="003B444B" w:rsidRDefault="00773C98" w:rsidP="00773C98">
      <w:pPr>
        <w:pStyle w:val="FigureTitle"/>
        <w:spacing w:before="0" w:after="0"/>
      </w:pPr>
      <w:r w:rsidRPr="003B444B">
        <w:rPr>
          <w:noProof/>
        </w:rPr>
        <w:drawing>
          <wp:inline distT="0" distB="0" distL="0" distR="0" wp14:anchorId="39ECE1AF" wp14:editId="4F9AC420">
            <wp:extent cx="4638675" cy="3181350"/>
            <wp:effectExtent l="19050" t="0" r="9525"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4637377" cy="3180460"/>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before="360" w:after="0"/>
      </w:pPr>
      <w:bookmarkStart w:id="4" w:name="_Toc296350468"/>
      <w:r w:rsidRPr="003B444B">
        <w:t xml:space="preserve">Figure </w:t>
      </w:r>
      <w:r w:rsidR="00780CC5">
        <w:t>A</w:t>
      </w:r>
      <w:r>
        <w:t>.</w:t>
      </w:r>
      <w:r w:rsidRPr="003B444B">
        <w:t>4—</w:t>
      </w:r>
      <w:proofErr w:type="gramStart"/>
      <w:r w:rsidRPr="003B444B">
        <w:t>Simulated</w:t>
      </w:r>
      <w:proofErr w:type="gramEnd"/>
      <w:r w:rsidRPr="003B444B">
        <w:t xml:space="preserve"> trends of maize yield and soil organic carbon over 20 years in </w:t>
      </w:r>
      <w:proofErr w:type="spellStart"/>
      <w:r w:rsidRPr="003B444B">
        <w:t>Mbeere</w:t>
      </w:r>
      <w:proofErr w:type="spellEnd"/>
      <w:r w:rsidRPr="003B444B">
        <w:t xml:space="preserve"> with loamy soil</w:t>
      </w:r>
      <w:bookmarkEnd w:id="4"/>
    </w:p>
    <w:p w:rsidR="00773C98" w:rsidRPr="003B444B" w:rsidRDefault="00773C98" w:rsidP="00773C98">
      <w:pPr>
        <w:pStyle w:val="FigureTitle"/>
        <w:spacing w:before="0" w:after="0"/>
      </w:pPr>
      <w:r w:rsidRPr="003B444B">
        <w:rPr>
          <w:noProof/>
        </w:rPr>
        <w:drawing>
          <wp:inline distT="0" distB="0" distL="0" distR="0" wp14:anchorId="245AB979" wp14:editId="478A0C15">
            <wp:extent cx="4638675" cy="3171825"/>
            <wp:effectExtent l="19050" t="0" r="9525"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4637377" cy="3170937"/>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before="0" w:after="0"/>
      </w:pPr>
      <w:bookmarkStart w:id="5" w:name="_Toc296350469"/>
      <w:r w:rsidRPr="003B444B">
        <w:lastRenderedPageBreak/>
        <w:t xml:space="preserve">Figure </w:t>
      </w:r>
      <w:r w:rsidR="00780CC5">
        <w:t>A</w:t>
      </w:r>
      <w:r>
        <w:t>.5</w:t>
      </w:r>
      <w:r w:rsidRPr="003B444B">
        <w:t>—</w:t>
      </w:r>
      <w:proofErr w:type="gramStart"/>
      <w:r w:rsidRPr="003B444B">
        <w:t>Simulated</w:t>
      </w:r>
      <w:proofErr w:type="gramEnd"/>
      <w:r w:rsidRPr="003B444B">
        <w:t xml:space="preserve"> trends of maize yield and soil organic carbon over 20 years in </w:t>
      </w:r>
      <w:proofErr w:type="spellStart"/>
      <w:r w:rsidRPr="003B444B">
        <w:t>Mbeere</w:t>
      </w:r>
      <w:proofErr w:type="spellEnd"/>
      <w:r w:rsidRPr="003B444B">
        <w:t xml:space="preserve"> with sandy soil</w:t>
      </w:r>
      <w:bookmarkEnd w:id="5"/>
    </w:p>
    <w:p w:rsidR="00773C98" w:rsidRPr="003B444B" w:rsidRDefault="00773C98" w:rsidP="00773C98">
      <w:pPr>
        <w:pStyle w:val="FigureTitle"/>
        <w:spacing w:before="0" w:after="0"/>
      </w:pPr>
      <w:r w:rsidRPr="003B444B">
        <w:rPr>
          <w:noProof/>
        </w:rPr>
        <w:drawing>
          <wp:inline distT="0" distB="0" distL="0" distR="0" wp14:anchorId="443BC07C" wp14:editId="435425E5">
            <wp:extent cx="4637617" cy="3329345"/>
            <wp:effectExtent l="1905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4637377" cy="3329173"/>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after="0"/>
      </w:pPr>
      <w:bookmarkStart w:id="6" w:name="_Toc296350470"/>
      <w:r w:rsidRPr="003B444B">
        <w:t xml:space="preserve">Figure </w:t>
      </w:r>
      <w:r w:rsidR="00780CC5">
        <w:t>A</w:t>
      </w:r>
      <w:r>
        <w:t>.6</w:t>
      </w:r>
      <w:r w:rsidRPr="003B444B">
        <w:t>—</w:t>
      </w:r>
      <w:proofErr w:type="gramStart"/>
      <w:r w:rsidRPr="003B444B">
        <w:t>Simulated</w:t>
      </w:r>
      <w:proofErr w:type="gramEnd"/>
      <w:r w:rsidRPr="003B444B">
        <w:t xml:space="preserve"> trends of maize yield and soil organic carbon over 20 years in </w:t>
      </w:r>
      <w:proofErr w:type="spellStart"/>
      <w:r w:rsidRPr="003B444B">
        <w:t>Mukurwe</w:t>
      </w:r>
      <w:r w:rsidR="001024B5">
        <w:t>-</w:t>
      </w:r>
      <w:r w:rsidRPr="003B444B">
        <w:t>ini</w:t>
      </w:r>
      <w:proofErr w:type="spellEnd"/>
      <w:r w:rsidRPr="003B444B">
        <w:t xml:space="preserve"> with loamy soil</w:t>
      </w:r>
      <w:bookmarkEnd w:id="6"/>
    </w:p>
    <w:p w:rsidR="00773C98" w:rsidRPr="003B444B" w:rsidRDefault="00773C98" w:rsidP="00773C98">
      <w:pPr>
        <w:pStyle w:val="FigureTitle"/>
        <w:spacing w:before="0" w:after="0"/>
      </w:pPr>
      <w:r w:rsidRPr="003B444B">
        <w:rPr>
          <w:noProof/>
        </w:rPr>
        <w:drawing>
          <wp:inline distT="0" distB="0" distL="0" distR="0" wp14:anchorId="3358F9E1" wp14:editId="77770440">
            <wp:extent cx="4638675" cy="3152775"/>
            <wp:effectExtent l="19050" t="0" r="9525"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4640347" cy="3153911"/>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before="0" w:after="0"/>
      </w:pPr>
      <w:bookmarkStart w:id="7" w:name="_Toc296350471"/>
      <w:r w:rsidRPr="003B444B">
        <w:lastRenderedPageBreak/>
        <w:t xml:space="preserve">Figure </w:t>
      </w:r>
      <w:r w:rsidR="00780CC5">
        <w:t>A</w:t>
      </w:r>
      <w:r>
        <w:t>.7</w:t>
      </w:r>
      <w:r w:rsidRPr="003B444B">
        <w:t>—</w:t>
      </w:r>
      <w:proofErr w:type="gramStart"/>
      <w:r w:rsidRPr="003B444B">
        <w:t>Simulated</w:t>
      </w:r>
      <w:proofErr w:type="gramEnd"/>
      <w:r w:rsidRPr="003B444B">
        <w:t xml:space="preserve"> trends of maize yield and soil organic carbon over 20 years in </w:t>
      </w:r>
      <w:proofErr w:type="spellStart"/>
      <w:r w:rsidRPr="003B444B">
        <w:t>Njoro</w:t>
      </w:r>
      <w:proofErr w:type="spellEnd"/>
      <w:r w:rsidRPr="003B444B">
        <w:t xml:space="preserve"> with clayey soil</w:t>
      </w:r>
      <w:bookmarkEnd w:id="7"/>
    </w:p>
    <w:p w:rsidR="00773C98" w:rsidRPr="003B444B" w:rsidRDefault="00773C98" w:rsidP="00773C98">
      <w:pPr>
        <w:pStyle w:val="FigureTitle"/>
        <w:spacing w:before="0" w:after="0"/>
      </w:pPr>
      <w:r w:rsidRPr="003B444B">
        <w:rPr>
          <w:noProof/>
        </w:rPr>
        <w:drawing>
          <wp:inline distT="0" distB="0" distL="0" distR="0" wp14:anchorId="05CC7F49" wp14:editId="113BB5D7">
            <wp:extent cx="4610099" cy="3095625"/>
            <wp:effectExtent l="19050" t="0" r="1" b="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4609892" cy="3095486"/>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pPr>
      <w:bookmarkStart w:id="8" w:name="_Toc296350472"/>
      <w:r w:rsidRPr="003B444B">
        <w:t xml:space="preserve">Figure </w:t>
      </w:r>
      <w:r w:rsidR="00780CC5">
        <w:t>A</w:t>
      </w:r>
      <w:r>
        <w:t>.8</w:t>
      </w:r>
      <w:r w:rsidRPr="003B444B">
        <w:t>—</w:t>
      </w:r>
      <w:proofErr w:type="gramStart"/>
      <w:r w:rsidRPr="003B444B">
        <w:t>Simulated</w:t>
      </w:r>
      <w:proofErr w:type="gramEnd"/>
      <w:r w:rsidRPr="003B444B">
        <w:t xml:space="preserve"> trends of maize yield and soil organic carbon over 20 years in </w:t>
      </w:r>
      <w:proofErr w:type="spellStart"/>
      <w:r w:rsidRPr="003B444B">
        <w:t>Njoro</w:t>
      </w:r>
      <w:proofErr w:type="spellEnd"/>
      <w:r w:rsidRPr="003B444B">
        <w:t xml:space="preserve"> with loamy soil</w:t>
      </w:r>
      <w:bookmarkEnd w:id="8"/>
    </w:p>
    <w:p w:rsidR="00773C98" w:rsidRPr="003B444B" w:rsidRDefault="00773C98" w:rsidP="00773C98">
      <w:pPr>
        <w:pStyle w:val="FigureTitle"/>
        <w:spacing w:before="0" w:after="0"/>
      </w:pPr>
      <w:r w:rsidRPr="003B444B">
        <w:rPr>
          <w:noProof/>
        </w:rPr>
        <w:drawing>
          <wp:inline distT="0" distB="0" distL="0" distR="0" wp14:anchorId="6943C3C6" wp14:editId="67BA81EE">
            <wp:extent cx="4612217" cy="3311112"/>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613215" cy="3311828"/>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Box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spacing w:before="0" w:after="0"/>
      </w:pPr>
      <w:bookmarkStart w:id="9" w:name="_Toc296350473"/>
      <w:r w:rsidRPr="003B444B">
        <w:lastRenderedPageBreak/>
        <w:t xml:space="preserve">Figure </w:t>
      </w:r>
      <w:r w:rsidR="00780CC5">
        <w:t>A</w:t>
      </w:r>
      <w:r>
        <w:t>.9</w:t>
      </w:r>
      <w:r w:rsidRPr="003B444B">
        <w:t>—</w:t>
      </w:r>
      <w:proofErr w:type="gramStart"/>
      <w:r w:rsidRPr="003B444B">
        <w:t>Simulated</w:t>
      </w:r>
      <w:proofErr w:type="gramEnd"/>
      <w:r w:rsidRPr="003B444B">
        <w:t xml:space="preserve"> trends of maize yield and soil organic carbon over 20 years in </w:t>
      </w:r>
      <w:proofErr w:type="spellStart"/>
      <w:r w:rsidRPr="003B444B">
        <w:t>Othaya</w:t>
      </w:r>
      <w:proofErr w:type="spellEnd"/>
      <w:r w:rsidRPr="003B444B">
        <w:t xml:space="preserve"> with loamy soil</w:t>
      </w:r>
      <w:bookmarkEnd w:id="9"/>
    </w:p>
    <w:p w:rsidR="00773C98" w:rsidRPr="003B444B" w:rsidRDefault="00773C98" w:rsidP="00773C98">
      <w:pPr>
        <w:pStyle w:val="FigureTitle"/>
        <w:spacing w:before="0" w:after="0"/>
      </w:pPr>
      <w:r w:rsidRPr="003B444B">
        <w:rPr>
          <w:noProof/>
        </w:rPr>
        <w:drawing>
          <wp:inline distT="0" distB="0" distL="0" distR="0" wp14:anchorId="623FC44C" wp14:editId="435A75CB">
            <wp:extent cx="4617216" cy="3209925"/>
            <wp:effectExtent l="1905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4624217" cy="3214792"/>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773C98" w:rsidRPr="003B444B" w:rsidRDefault="00773C98" w:rsidP="00773C98">
      <w:pPr>
        <w:pStyle w:val="TableFigureBoxNotesFootnotes"/>
      </w:pPr>
      <w:r w:rsidRPr="003B444B">
        <w:t>Notes: Dots represent maize yield; lines represent soil organic carbon. SWC = soil and water conservation; MNR = manure; FRT = fertilizer; IRG = irrigation; RSD = residue retention; SOC = soil organic carbon.</w:t>
      </w:r>
    </w:p>
    <w:p w:rsidR="00773C98" w:rsidRPr="003B444B" w:rsidRDefault="00773C98" w:rsidP="00773C98">
      <w:pPr>
        <w:pStyle w:val="FigureTitle"/>
      </w:pPr>
      <w:bookmarkStart w:id="10" w:name="_Toc296350474"/>
      <w:r w:rsidRPr="003B444B">
        <w:t xml:space="preserve">Figure </w:t>
      </w:r>
      <w:r w:rsidR="00780CC5">
        <w:t>A</w:t>
      </w:r>
      <w:r>
        <w:t>.</w:t>
      </w:r>
      <w:r w:rsidRPr="003B444B">
        <w:t>1</w:t>
      </w:r>
      <w:r>
        <w:t>0</w:t>
      </w:r>
      <w:r w:rsidRPr="003B444B">
        <w:t>—</w:t>
      </w:r>
      <w:proofErr w:type="gramStart"/>
      <w:r w:rsidRPr="003B444B">
        <w:t>Simulated</w:t>
      </w:r>
      <w:proofErr w:type="gramEnd"/>
      <w:r w:rsidRPr="003B444B">
        <w:t xml:space="preserve"> trends of maize yield and soil organic carbon over 20 years in </w:t>
      </w:r>
      <w:proofErr w:type="spellStart"/>
      <w:r w:rsidRPr="003B444B">
        <w:t>Siaya</w:t>
      </w:r>
      <w:proofErr w:type="spellEnd"/>
      <w:r w:rsidRPr="003B444B">
        <w:t xml:space="preserve"> with loamy soil</w:t>
      </w:r>
      <w:bookmarkEnd w:id="10"/>
    </w:p>
    <w:p w:rsidR="00773C98" w:rsidRPr="003B444B" w:rsidRDefault="00773C98" w:rsidP="00773C98">
      <w:pPr>
        <w:pStyle w:val="FigureTitle"/>
        <w:spacing w:before="0" w:after="0"/>
      </w:pPr>
      <w:r w:rsidRPr="003B444B">
        <w:rPr>
          <w:noProof/>
        </w:rPr>
        <w:drawing>
          <wp:inline distT="0" distB="0" distL="0" distR="0" wp14:anchorId="5BE48049" wp14:editId="681A604F">
            <wp:extent cx="4617218" cy="3143250"/>
            <wp:effectExtent l="1905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4623000" cy="3147186"/>
                    </a:xfrm>
                    <a:prstGeom prst="rect">
                      <a:avLst/>
                    </a:prstGeom>
                    <a:noFill/>
                    <a:ln w="9525">
                      <a:noFill/>
                      <a:miter lim="800000"/>
                      <a:headEnd/>
                      <a:tailEnd/>
                    </a:ln>
                  </pic:spPr>
                </pic:pic>
              </a:graphicData>
            </a:graphic>
          </wp:inline>
        </w:drawing>
      </w:r>
    </w:p>
    <w:p w:rsidR="00773C98" w:rsidRPr="003B444B" w:rsidRDefault="00773C98" w:rsidP="00773C98">
      <w:pPr>
        <w:pStyle w:val="TableFigureSource"/>
      </w:pPr>
      <w:r w:rsidRPr="003B444B">
        <w:t>Source: Authors.</w:t>
      </w:r>
    </w:p>
    <w:p w:rsidR="000539AF" w:rsidRDefault="00773C98" w:rsidP="00773C98">
      <w:pPr>
        <w:pStyle w:val="TableFigureBoxNotesFootnotes"/>
      </w:pPr>
      <w:r w:rsidRPr="003B444B">
        <w:t>Notes: Dots represent maize yield; lines represent soil organic carbon. SWC = soil and water conservation; MNR = manure; FRT = fertilizer; IRG = irrigation; RSD = residue retention; SOC = soil organic carbon.</w:t>
      </w:r>
    </w:p>
    <w:p w:rsidR="00296650" w:rsidRDefault="00296650" w:rsidP="00773C98">
      <w:pPr>
        <w:pStyle w:val="TableFigureBoxNotesFootnotes"/>
      </w:pPr>
    </w:p>
    <w:p w:rsidR="000615AF" w:rsidRPr="003B444B" w:rsidRDefault="000615AF" w:rsidP="000615AF">
      <w:pPr>
        <w:pStyle w:val="FigureTitle"/>
      </w:pPr>
      <w:r w:rsidRPr="003B444B">
        <w:lastRenderedPageBreak/>
        <w:t xml:space="preserve">Figure </w:t>
      </w:r>
      <w:r>
        <w:t>A.</w:t>
      </w:r>
      <w:r w:rsidRPr="003B444B">
        <w:t>1</w:t>
      </w:r>
      <w:r>
        <w:t>1</w:t>
      </w:r>
      <w:r w:rsidRPr="003B444B">
        <w:t>—</w:t>
      </w:r>
      <w:r>
        <w:t>Comparison of the surveyed and simulated baseline yields aggregated by site</w:t>
      </w:r>
    </w:p>
    <w:p w:rsidR="000615AF" w:rsidRDefault="000615AF" w:rsidP="000615AF">
      <w:pPr>
        <w:pStyle w:val="FigureTitle"/>
        <w:spacing w:before="0" w:after="0"/>
      </w:pPr>
      <w:r>
        <w:rPr>
          <w:noProof/>
        </w:rPr>
        <w:drawing>
          <wp:inline distT="0" distB="0" distL="0" distR="0" wp14:anchorId="1B6C22CF" wp14:editId="1E800EDB">
            <wp:extent cx="3214688" cy="2743200"/>
            <wp:effectExtent l="0" t="0" r="508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15AF" w:rsidRPr="003B444B" w:rsidRDefault="000615AF" w:rsidP="000615AF">
      <w:pPr>
        <w:pStyle w:val="FigureTitle"/>
        <w:spacing w:before="0" w:after="0"/>
      </w:pPr>
    </w:p>
    <w:p w:rsidR="000615AF" w:rsidRPr="003B444B" w:rsidRDefault="000615AF" w:rsidP="000615AF">
      <w:pPr>
        <w:pStyle w:val="TableFigureSource"/>
      </w:pPr>
      <w:r w:rsidRPr="003B444B">
        <w:t>Source: Authors.</w:t>
      </w:r>
    </w:p>
    <w:p w:rsidR="00296650" w:rsidRDefault="00296650" w:rsidP="00773C98">
      <w:pPr>
        <w:pStyle w:val="TableFigureBoxNotesFootnotes"/>
      </w:pPr>
    </w:p>
    <w:p w:rsidR="0068249E" w:rsidRPr="003B444B" w:rsidRDefault="0068249E" w:rsidP="0068249E">
      <w:pPr>
        <w:pStyle w:val="FigureTitle"/>
      </w:pPr>
      <w:r w:rsidRPr="003B444B">
        <w:lastRenderedPageBreak/>
        <w:t xml:space="preserve">Figure </w:t>
      </w:r>
      <w:r>
        <w:t>A.</w:t>
      </w:r>
      <w:r w:rsidRPr="003B444B">
        <w:t>1</w:t>
      </w:r>
      <w:r>
        <w:t>2</w:t>
      </w:r>
      <w:r w:rsidRPr="003B444B">
        <w:t>—</w:t>
      </w:r>
      <w:r>
        <w:t xml:space="preserve">Comparison of the simulation-estimated soil carbon sequestration potential with reported values from a previous study by the </w:t>
      </w:r>
      <w:r w:rsidRPr="00296650">
        <w:t xml:space="preserve">Kenya Smallholder Coffee Carbon Project </w:t>
      </w:r>
      <w:r>
        <w:t>(SCCP)</w:t>
      </w:r>
    </w:p>
    <w:p w:rsidR="0068249E" w:rsidRDefault="0068249E" w:rsidP="0068249E">
      <w:pPr>
        <w:pStyle w:val="FigureTitle"/>
        <w:spacing w:before="0" w:after="0"/>
      </w:pPr>
      <w:r w:rsidRPr="0002792C">
        <w:rPr>
          <w:rFonts w:ascii="Calibri" w:hAnsi="Calibri"/>
          <w:noProof/>
          <w:szCs w:val="21"/>
        </w:rPr>
        <w:drawing>
          <wp:inline distT="0" distB="0" distL="0" distR="0" wp14:anchorId="7922A814" wp14:editId="419706DE">
            <wp:extent cx="5943600" cy="4676775"/>
            <wp:effectExtent l="0" t="0" r="0" b="9525"/>
            <wp:docPr id="5" name="Picture 5" descr="D:\WorkSpace\2010-10-20 Kenya CCAM\tableau charts\Compari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pace\2010-10-20 Kenya CCAM\tableau charts\Comparison.png"/>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rcRect/>
                    <a:stretch>
                      <a:fillRect/>
                    </a:stretch>
                  </pic:blipFill>
                  <pic:spPr bwMode="auto">
                    <a:xfrm>
                      <a:off x="0" y="0"/>
                      <a:ext cx="5943600" cy="4676775"/>
                    </a:xfrm>
                    <a:prstGeom prst="rect">
                      <a:avLst/>
                    </a:prstGeom>
                    <a:noFill/>
                    <a:ln w="9525">
                      <a:noFill/>
                      <a:miter lim="800000"/>
                      <a:headEnd/>
                      <a:tailEnd/>
                    </a:ln>
                  </pic:spPr>
                </pic:pic>
              </a:graphicData>
            </a:graphic>
          </wp:inline>
        </w:drawing>
      </w:r>
    </w:p>
    <w:p w:rsidR="0068249E" w:rsidRPr="003B444B" w:rsidRDefault="0068249E" w:rsidP="0068249E">
      <w:pPr>
        <w:pStyle w:val="FigureTitle"/>
        <w:spacing w:before="0" w:after="0"/>
      </w:pPr>
    </w:p>
    <w:p w:rsidR="0068249E" w:rsidRPr="003B444B" w:rsidRDefault="0068249E" w:rsidP="0068249E">
      <w:pPr>
        <w:pStyle w:val="TableFigureSource"/>
      </w:pPr>
      <w:r w:rsidRPr="003B444B">
        <w:t>Source: Authors.</w:t>
      </w:r>
    </w:p>
    <w:p w:rsidR="0068249E" w:rsidRDefault="0068249E" w:rsidP="00773C98">
      <w:pPr>
        <w:pStyle w:val="TableFigureBoxNotesFootnotes"/>
      </w:pPr>
    </w:p>
    <w:sectPr w:rsidR="006824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150" w:rsidRDefault="000D3150" w:rsidP="00B91009">
      <w:r>
        <w:separator/>
      </w:r>
    </w:p>
  </w:endnote>
  <w:endnote w:type="continuationSeparator" w:id="0">
    <w:p w:rsidR="000D3150" w:rsidRDefault="000D3150" w:rsidP="00B9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150" w:rsidRDefault="000D3150" w:rsidP="00B91009">
      <w:r>
        <w:separator/>
      </w:r>
    </w:p>
  </w:footnote>
  <w:footnote w:type="continuationSeparator" w:id="0">
    <w:p w:rsidR="000D3150" w:rsidRDefault="000D3150" w:rsidP="00B91009">
      <w:r>
        <w:continuationSeparator/>
      </w:r>
    </w:p>
  </w:footnote>
  <w:footnote w:id="1">
    <w:p w:rsidR="000D3150" w:rsidRDefault="000D3150">
      <w:pPr>
        <w:pStyle w:val="FootnoteText"/>
      </w:pPr>
      <w:r>
        <w:rPr>
          <w:rStyle w:val="FootnoteReference"/>
        </w:rPr>
        <w:footnoteRef/>
      </w:r>
      <w:r>
        <w:t xml:space="preserve"> Links to download soil data files: HC27 from </w:t>
      </w:r>
      <w:hyperlink r:id="rId1" w:history="1">
        <w:r w:rsidRPr="00884605">
          <w:rPr>
            <w:rStyle w:val="Hyperlink"/>
          </w:rPr>
          <w:t>http://harvestchoice.org/labs/hc27-genericprototypical-soil-profiles</w:t>
        </w:r>
      </w:hyperlink>
      <w:r>
        <w:t xml:space="preserve">, FCC from </w:t>
      </w:r>
      <w:hyperlink r:id="rId2" w:history="1">
        <w:r w:rsidRPr="00884605">
          <w:rPr>
            <w:rStyle w:val="Hyperlink"/>
          </w:rPr>
          <w:t>http://harvestchoice.org/labs/updating-soil-functional-capacity-classification-system</w:t>
        </w:r>
      </w:hyperlink>
      <w:r>
        <w:t xml:space="preserve"> </w:t>
      </w:r>
    </w:p>
  </w:footnote>
  <w:footnote w:id="2">
    <w:p w:rsidR="000D3150" w:rsidRDefault="000D3150">
      <w:pPr>
        <w:pStyle w:val="FootnoteText"/>
      </w:pPr>
      <w:r>
        <w:rPr>
          <w:rStyle w:val="FootnoteReference"/>
        </w:rPr>
        <w:footnoteRef/>
      </w:r>
      <w:r>
        <w:t xml:space="preserve"> </w:t>
      </w:r>
      <w:r w:rsidRPr="00296650">
        <w:t>Since this study investigated hypothetical management practice packages with no corresponding observed yield data available</w:t>
      </w:r>
      <w:r>
        <w:t>,</w:t>
      </w:r>
      <w:r w:rsidRPr="00296650">
        <w:t xml:space="preserve"> no further evaluation </w:t>
      </w:r>
      <w:r>
        <w:t xml:space="preserve">on other management practice packages </w:t>
      </w:r>
      <w:r w:rsidRPr="00296650">
        <w:t>was possible.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E71AD"/>
    <w:multiLevelType w:val="hybridMultilevel"/>
    <w:tmpl w:val="5CD0F92E"/>
    <w:lvl w:ilvl="0" w:tplc="CCC69B6A">
      <w:start w:val="1"/>
      <w:numFmt w:val="bullet"/>
      <w:pStyle w:val="BulletedList"/>
      <w:lvlText w:val=""/>
      <w:lvlJc w:val="left"/>
      <w:pPr>
        <w:tabs>
          <w:tab w:val="num" w:pos="720"/>
        </w:tabs>
        <w:ind w:left="720" w:hanging="36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29C368B0"/>
    <w:multiLevelType w:val="hybridMultilevel"/>
    <w:tmpl w:val="C91CBF04"/>
    <w:lvl w:ilvl="0" w:tplc="1D6A6892">
      <w:start w:val="1"/>
      <w:numFmt w:val="bullet"/>
      <w:pStyle w:val="BulletedListWithinaLis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
    <w:nsid w:val="603E6E6E"/>
    <w:multiLevelType w:val="multilevel"/>
    <w:tmpl w:val="5E52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0F1"/>
    <w:rsid w:val="00014382"/>
    <w:rsid w:val="0002792C"/>
    <w:rsid w:val="00050F17"/>
    <w:rsid w:val="00053201"/>
    <w:rsid w:val="000539AF"/>
    <w:rsid w:val="000615AF"/>
    <w:rsid w:val="00084B22"/>
    <w:rsid w:val="00094DB9"/>
    <w:rsid w:val="000D3150"/>
    <w:rsid w:val="001024B5"/>
    <w:rsid w:val="00120CED"/>
    <w:rsid w:val="001B28BC"/>
    <w:rsid w:val="001E780F"/>
    <w:rsid w:val="00296650"/>
    <w:rsid w:val="00382A58"/>
    <w:rsid w:val="003C0966"/>
    <w:rsid w:val="004E384D"/>
    <w:rsid w:val="00504D88"/>
    <w:rsid w:val="005B10F1"/>
    <w:rsid w:val="00634C95"/>
    <w:rsid w:val="0068249E"/>
    <w:rsid w:val="007414DD"/>
    <w:rsid w:val="00755A30"/>
    <w:rsid w:val="00773C98"/>
    <w:rsid w:val="007764C5"/>
    <w:rsid w:val="00780CC5"/>
    <w:rsid w:val="00780D6D"/>
    <w:rsid w:val="007B4121"/>
    <w:rsid w:val="007E5DB0"/>
    <w:rsid w:val="007E6EC9"/>
    <w:rsid w:val="007F1400"/>
    <w:rsid w:val="00801C53"/>
    <w:rsid w:val="00803DF1"/>
    <w:rsid w:val="00830C54"/>
    <w:rsid w:val="008330B6"/>
    <w:rsid w:val="008728B1"/>
    <w:rsid w:val="008900A5"/>
    <w:rsid w:val="008F0395"/>
    <w:rsid w:val="009828AD"/>
    <w:rsid w:val="00A31F50"/>
    <w:rsid w:val="00AA7A29"/>
    <w:rsid w:val="00B02F04"/>
    <w:rsid w:val="00B260CD"/>
    <w:rsid w:val="00B91009"/>
    <w:rsid w:val="00BC3ECD"/>
    <w:rsid w:val="00CA6382"/>
    <w:rsid w:val="00D81BA6"/>
    <w:rsid w:val="00DA69DC"/>
    <w:rsid w:val="00DB0C55"/>
    <w:rsid w:val="00DE04AC"/>
    <w:rsid w:val="00DF7F43"/>
    <w:rsid w:val="00EB6FE2"/>
    <w:rsid w:val="00EE140A"/>
    <w:rsid w:val="00F040AF"/>
    <w:rsid w:val="00F14253"/>
    <w:rsid w:val="00FC3B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98"/>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3C98"/>
  </w:style>
  <w:style w:type="character" w:customStyle="1" w:styleId="BodyTextChar">
    <w:name w:val="Body Text Char"/>
    <w:basedOn w:val="DefaultParagraphFont"/>
    <w:link w:val="BodyText"/>
    <w:rsid w:val="00773C98"/>
    <w:rPr>
      <w:rFonts w:ascii="Times New Roman" w:eastAsia="Times New Roman" w:hAnsi="Times New Roman" w:cs="Times New Roman"/>
      <w:szCs w:val="24"/>
    </w:rPr>
  </w:style>
  <w:style w:type="paragraph" w:customStyle="1" w:styleId="FigureTitle">
    <w:name w:val="Figure Title"/>
    <w:basedOn w:val="Normal"/>
    <w:rsid w:val="00773C98"/>
    <w:pPr>
      <w:keepNext/>
      <w:tabs>
        <w:tab w:val="left" w:pos="1080"/>
      </w:tabs>
      <w:spacing w:before="240" w:after="120"/>
    </w:pPr>
    <w:rPr>
      <w:b/>
    </w:rPr>
  </w:style>
  <w:style w:type="paragraph" w:customStyle="1" w:styleId="TableFigureBoxNotesFootnotes">
    <w:name w:val="Table/Figure/Box Notes/Footnotes"/>
    <w:basedOn w:val="Normal"/>
    <w:rsid w:val="00773C98"/>
    <w:rPr>
      <w:sz w:val="18"/>
      <w:szCs w:val="20"/>
    </w:rPr>
  </w:style>
  <w:style w:type="paragraph" w:customStyle="1" w:styleId="BulletedList">
    <w:name w:val="Bulleted List"/>
    <w:basedOn w:val="Normal"/>
    <w:rsid w:val="00773C98"/>
    <w:pPr>
      <w:numPr>
        <w:numId w:val="2"/>
      </w:numPr>
      <w:spacing w:before="60" w:after="60"/>
      <w:ind w:right="360"/>
    </w:pPr>
  </w:style>
  <w:style w:type="paragraph" w:customStyle="1" w:styleId="BulletedListWithinaList">
    <w:name w:val="Bulleted List Within a List"/>
    <w:basedOn w:val="BulletedList"/>
    <w:rsid w:val="00773C98"/>
    <w:pPr>
      <w:numPr>
        <w:numId w:val="1"/>
      </w:numPr>
    </w:pPr>
    <w:rPr>
      <w:rFonts w:cs="Arial"/>
    </w:rPr>
  </w:style>
  <w:style w:type="paragraph" w:customStyle="1" w:styleId="BodyTextIndentSpaceBefore">
    <w:name w:val="Body Text Indent + Space Before"/>
    <w:basedOn w:val="BodyTextIndent"/>
    <w:rsid w:val="00773C98"/>
    <w:pPr>
      <w:spacing w:before="360" w:after="0"/>
      <w:ind w:left="0" w:firstLine="720"/>
    </w:pPr>
  </w:style>
  <w:style w:type="paragraph" w:customStyle="1" w:styleId="TableFigureSource">
    <w:name w:val="Table/Figure Source"/>
    <w:basedOn w:val="Normal"/>
    <w:rsid w:val="00773C98"/>
    <w:pPr>
      <w:spacing w:before="60"/>
    </w:pPr>
    <w:rPr>
      <w:sz w:val="18"/>
    </w:rPr>
  </w:style>
  <w:style w:type="paragraph" w:customStyle="1" w:styleId="TableFigureNotesFootnotes">
    <w:name w:val="Table/Figure Notes/Footnotes"/>
    <w:basedOn w:val="TableFigureSource"/>
    <w:rsid w:val="00773C98"/>
    <w:pPr>
      <w:spacing w:before="0"/>
    </w:pPr>
    <w:rPr>
      <w:szCs w:val="20"/>
    </w:rPr>
  </w:style>
  <w:style w:type="paragraph" w:styleId="BodyTextIndent">
    <w:name w:val="Body Text Indent"/>
    <w:basedOn w:val="Normal"/>
    <w:link w:val="BodyTextIndentChar"/>
    <w:uiPriority w:val="99"/>
    <w:semiHidden/>
    <w:unhideWhenUsed/>
    <w:rsid w:val="00773C98"/>
    <w:pPr>
      <w:spacing w:after="120"/>
      <w:ind w:left="360"/>
    </w:pPr>
  </w:style>
  <w:style w:type="character" w:customStyle="1" w:styleId="BodyTextIndentChar">
    <w:name w:val="Body Text Indent Char"/>
    <w:basedOn w:val="DefaultParagraphFont"/>
    <w:link w:val="BodyTextIndent"/>
    <w:uiPriority w:val="99"/>
    <w:semiHidden/>
    <w:rsid w:val="00773C9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773C98"/>
    <w:rPr>
      <w:rFonts w:ascii="Tahoma" w:hAnsi="Tahoma" w:cs="Tahoma"/>
      <w:sz w:val="16"/>
      <w:szCs w:val="16"/>
    </w:rPr>
  </w:style>
  <w:style w:type="character" w:customStyle="1" w:styleId="BalloonTextChar">
    <w:name w:val="Balloon Text Char"/>
    <w:basedOn w:val="DefaultParagraphFont"/>
    <w:link w:val="BalloonText"/>
    <w:uiPriority w:val="99"/>
    <w:semiHidden/>
    <w:rsid w:val="00773C98"/>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91009"/>
    <w:rPr>
      <w:sz w:val="20"/>
      <w:szCs w:val="20"/>
    </w:rPr>
  </w:style>
  <w:style w:type="character" w:customStyle="1" w:styleId="FootnoteTextChar">
    <w:name w:val="Footnote Text Char"/>
    <w:basedOn w:val="DefaultParagraphFont"/>
    <w:link w:val="FootnoteText"/>
    <w:uiPriority w:val="99"/>
    <w:semiHidden/>
    <w:rsid w:val="00B9100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91009"/>
    <w:rPr>
      <w:vertAlign w:val="superscript"/>
    </w:rPr>
  </w:style>
  <w:style w:type="character" w:styleId="Hyperlink">
    <w:name w:val="Hyperlink"/>
    <w:basedOn w:val="DefaultParagraphFont"/>
    <w:uiPriority w:val="99"/>
    <w:unhideWhenUsed/>
    <w:rsid w:val="00B91009"/>
    <w:rPr>
      <w:color w:val="0000FF" w:themeColor="hyperlink"/>
      <w:u w:val="single"/>
    </w:rPr>
  </w:style>
  <w:style w:type="character" w:styleId="FollowedHyperlink">
    <w:name w:val="FollowedHyperlink"/>
    <w:basedOn w:val="DefaultParagraphFont"/>
    <w:uiPriority w:val="99"/>
    <w:semiHidden/>
    <w:unhideWhenUsed/>
    <w:rsid w:val="00B02F04"/>
    <w:rPr>
      <w:color w:val="800080" w:themeColor="followedHyperlink"/>
      <w:u w:val="single"/>
    </w:rPr>
  </w:style>
  <w:style w:type="paragraph" w:styleId="PlainText">
    <w:name w:val="Plain Text"/>
    <w:basedOn w:val="Normal"/>
    <w:link w:val="PlainTextChar"/>
    <w:uiPriority w:val="99"/>
    <w:unhideWhenUsed/>
    <w:rsid w:val="007E6EC9"/>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E6EC9"/>
    <w:rPr>
      <w:rFonts w:ascii="Calibri" w:hAnsi="Calibri"/>
      <w:szCs w:val="21"/>
    </w:rPr>
  </w:style>
  <w:style w:type="character" w:customStyle="1" w:styleId="name">
    <w:name w:val="name"/>
    <w:basedOn w:val="DefaultParagraphFont"/>
    <w:rsid w:val="00AA7A29"/>
  </w:style>
  <w:style w:type="character" w:customStyle="1" w:styleId="sup">
    <w:name w:val="sup"/>
    <w:basedOn w:val="DefaultParagraphFont"/>
    <w:rsid w:val="00AA7A29"/>
  </w:style>
  <w:style w:type="paragraph" w:styleId="Title">
    <w:name w:val="Title"/>
    <w:basedOn w:val="Normal"/>
    <w:link w:val="TitleChar"/>
    <w:qFormat/>
    <w:rsid w:val="00382A58"/>
    <w:pPr>
      <w:jc w:val="center"/>
    </w:pPr>
    <w:rPr>
      <w:rFonts w:ascii="Arial" w:eastAsia="MS Mincho" w:hAnsi="Arial" w:cs="Arial"/>
      <w:b/>
      <w:bCs/>
      <w:sz w:val="32"/>
      <w:lang w:val="en-GB"/>
    </w:rPr>
  </w:style>
  <w:style w:type="character" w:customStyle="1" w:styleId="TitleChar">
    <w:name w:val="Title Char"/>
    <w:basedOn w:val="DefaultParagraphFont"/>
    <w:link w:val="Title"/>
    <w:rsid w:val="00382A58"/>
    <w:rPr>
      <w:rFonts w:ascii="Arial" w:eastAsia="MS Mincho" w:hAnsi="Arial" w:cs="Arial"/>
      <w:b/>
      <w:bCs/>
      <w:sz w:val="3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98"/>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3C98"/>
  </w:style>
  <w:style w:type="character" w:customStyle="1" w:styleId="BodyTextChar">
    <w:name w:val="Body Text Char"/>
    <w:basedOn w:val="DefaultParagraphFont"/>
    <w:link w:val="BodyText"/>
    <w:rsid w:val="00773C98"/>
    <w:rPr>
      <w:rFonts w:ascii="Times New Roman" w:eastAsia="Times New Roman" w:hAnsi="Times New Roman" w:cs="Times New Roman"/>
      <w:szCs w:val="24"/>
    </w:rPr>
  </w:style>
  <w:style w:type="paragraph" w:customStyle="1" w:styleId="FigureTitle">
    <w:name w:val="Figure Title"/>
    <w:basedOn w:val="Normal"/>
    <w:rsid w:val="00773C98"/>
    <w:pPr>
      <w:keepNext/>
      <w:tabs>
        <w:tab w:val="left" w:pos="1080"/>
      </w:tabs>
      <w:spacing w:before="240" w:after="120"/>
    </w:pPr>
    <w:rPr>
      <w:b/>
    </w:rPr>
  </w:style>
  <w:style w:type="paragraph" w:customStyle="1" w:styleId="TableFigureBoxNotesFootnotes">
    <w:name w:val="Table/Figure/Box Notes/Footnotes"/>
    <w:basedOn w:val="Normal"/>
    <w:rsid w:val="00773C98"/>
    <w:rPr>
      <w:sz w:val="18"/>
      <w:szCs w:val="20"/>
    </w:rPr>
  </w:style>
  <w:style w:type="paragraph" w:customStyle="1" w:styleId="BulletedList">
    <w:name w:val="Bulleted List"/>
    <w:basedOn w:val="Normal"/>
    <w:rsid w:val="00773C98"/>
    <w:pPr>
      <w:numPr>
        <w:numId w:val="2"/>
      </w:numPr>
      <w:spacing w:before="60" w:after="60"/>
      <w:ind w:right="360"/>
    </w:pPr>
  </w:style>
  <w:style w:type="paragraph" w:customStyle="1" w:styleId="BulletedListWithinaList">
    <w:name w:val="Bulleted List Within a List"/>
    <w:basedOn w:val="BulletedList"/>
    <w:rsid w:val="00773C98"/>
    <w:pPr>
      <w:numPr>
        <w:numId w:val="1"/>
      </w:numPr>
    </w:pPr>
    <w:rPr>
      <w:rFonts w:cs="Arial"/>
    </w:rPr>
  </w:style>
  <w:style w:type="paragraph" w:customStyle="1" w:styleId="BodyTextIndentSpaceBefore">
    <w:name w:val="Body Text Indent + Space Before"/>
    <w:basedOn w:val="BodyTextIndent"/>
    <w:rsid w:val="00773C98"/>
    <w:pPr>
      <w:spacing w:before="360" w:after="0"/>
      <w:ind w:left="0" w:firstLine="720"/>
    </w:pPr>
  </w:style>
  <w:style w:type="paragraph" w:customStyle="1" w:styleId="TableFigureSource">
    <w:name w:val="Table/Figure Source"/>
    <w:basedOn w:val="Normal"/>
    <w:rsid w:val="00773C98"/>
    <w:pPr>
      <w:spacing w:before="60"/>
    </w:pPr>
    <w:rPr>
      <w:sz w:val="18"/>
    </w:rPr>
  </w:style>
  <w:style w:type="paragraph" w:customStyle="1" w:styleId="TableFigureNotesFootnotes">
    <w:name w:val="Table/Figure Notes/Footnotes"/>
    <w:basedOn w:val="TableFigureSource"/>
    <w:rsid w:val="00773C98"/>
    <w:pPr>
      <w:spacing w:before="0"/>
    </w:pPr>
    <w:rPr>
      <w:szCs w:val="20"/>
    </w:rPr>
  </w:style>
  <w:style w:type="paragraph" w:styleId="BodyTextIndent">
    <w:name w:val="Body Text Indent"/>
    <w:basedOn w:val="Normal"/>
    <w:link w:val="BodyTextIndentChar"/>
    <w:uiPriority w:val="99"/>
    <w:semiHidden/>
    <w:unhideWhenUsed/>
    <w:rsid w:val="00773C98"/>
    <w:pPr>
      <w:spacing w:after="120"/>
      <w:ind w:left="360"/>
    </w:pPr>
  </w:style>
  <w:style w:type="character" w:customStyle="1" w:styleId="BodyTextIndentChar">
    <w:name w:val="Body Text Indent Char"/>
    <w:basedOn w:val="DefaultParagraphFont"/>
    <w:link w:val="BodyTextIndent"/>
    <w:uiPriority w:val="99"/>
    <w:semiHidden/>
    <w:rsid w:val="00773C9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773C98"/>
    <w:rPr>
      <w:rFonts w:ascii="Tahoma" w:hAnsi="Tahoma" w:cs="Tahoma"/>
      <w:sz w:val="16"/>
      <w:szCs w:val="16"/>
    </w:rPr>
  </w:style>
  <w:style w:type="character" w:customStyle="1" w:styleId="BalloonTextChar">
    <w:name w:val="Balloon Text Char"/>
    <w:basedOn w:val="DefaultParagraphFont"/>
    <w:link w:val="BalloonText"/>
    <w:uiPriority w:val="99"/>
    <w:semiHidden/>
    <w:rsid w:val="00773C98"/>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91009"/>
    <w:rPr>
      <w:sz w:val="20"/>
      <w:szCs w:val="20"/>
    </w:rPr>
  </w:style>
  <w:style w:type="character" w:customStyle="1" w:styleId="FootnoteTextChar">
    <w:name w:val="Footnote Text Char"/>
    <w:basedOn w:val="DefaultParagraphFont"/>
    <w:link w:val="FootnoteText"/>
    <w:uiPriority w:val="99"/>
    <w:semiHidden/>
    <w:rsid w:val="00B9100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91009"/>
    <w:rPr>
      <w:vertAlign w:val="superscript"/>
    </w:rPr>
  </w:style>
  <w:style w:type="character" w:styleId="Hyperlink">
    <w:name w:val="Hyperlink"/>
    <w:basedOn w:val="DefaultParagraphFont"/>
    <w:uiPriority w:val="99"/>
    <w:unhideWhenUsed/>
    <w:rsid w:val="00B91009"/>
    <w:rPr>
      <w:color w:val="0000FF" w:themeColor="hyperlink"/>
      <w:u w:val="single"/>
    </w:rPr>
  </w:style>
  <w:style w:type="character" w:styleId="FollowedHyperlink">
    <w:name w:val="FollowedHyperlink"/>
    <w:basedOn w:val="DefaultParagraphFont"/>
    <w:uiPriority w:val="99"/>
    <w:semiHidden/>
    <w:unhideWhenUsed/>
    <w:rsid w:val="00B02F04"/>
    <w:rPr>
      <w:color w:val="800080" w:themeColor="followedHyperlink"/>
      <w:u w:val="single"/>
    </w:rPr>
  </w:style>
  <w:style w:type="paragraph" w:styleId="PlainText">
    <w:name w:val="Plain Text"/>
    <w:basedOn w:val="Normal"/>
    <w:link w:val="PlainTextChar"/>
    <w:uiPriority w:val="99"/>
    <w:unhideWhenUsed/>
    <w:rsid w:val="007E6EC9"/>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E6EC9"/>
    <w:rPr>
      <w:rFonts w:ascii="Calibri" w:hAnsi="Calibri"/>
      <w:szCs w:val="21"/>
    </w:rPr>
  </w:style>
  <w:style w:type="character" w:customStyle="1" w:styleId="name">
    <w:name w:val="name"/>
    <w:basedOn w:val="DefaultParagraphFont"/>
    <w:rsid w:val="00AA7A29"/>
  </w:style>
  <w:style w:type="character" w:customStyle="1" w:styleId="sup">
    <w:name w:val="sup"/>
    <w:basedOn w:val="DefaultParagraphFont"/>
    <w:rsid w:val="00AA7A29"/>
  </w:style>
  <w:style w:type="paragraph" w:styleId="Title">
    <w:name w:val="Title"/>
    <w:basedOn w:val="Normal"/>
    <w:link w:val="TitleChar"/>
    <w:qFormat/>
    <w:rsid w:val="00382A58"/>
    <w:pPr>
      <w:jc w:val="center"/>
    </w:pPr>
    <w:rPr>
      <w:rFonts w:ascii="Arial" w:eastAsia="MS Mincho" w:hAnsi="Arial" w:cs="Arial"/>
      <w:b/>
      <w:bCs/>
      <w:sz w:val="32"/>
      <w:lang w:val="en-GB"/>
    </w:rPr>
  </w:style>
  <w:style w:type="character" w:customStyle="1" w:styleId="TitleChar">
    <w:name w:val="Title Char"/>
    <w:basedOn w:val="DefaultParagraphFont"/>
    <w:link w:val="Title"/>
    <w:rsid w:val="00382A58"/>
    <w:rPr>
      <w:rFonts w:ascii="Arial" w:eastAsia="MS Mincho" w:hAnsi="Arial" w:cs="Arial"/>
      <w:b/>
      <w:bCs/>
      <w:sz w:val="3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952393">
      <w:bodyDiv w:val="1"/>
      <w:marLeft w:val="0"/>
      <w:marRight w:val="0"/>
      <w:marTop w:val="0"/>
      <w:marBottom w:val="0"/>
      <w:divBdr>
        <w:top w:val="none" w:sz="0" w:space="0" w:color="auto"/>
        <w:left w:val="none" w:sz="0" w:space="0" w:color="auto"/>
        <w:bottom w:val="none" w:sz="0" w:space="0" w:color="auto"/>
        <w:right w:val="none" w:sz="0" w:space="0" w:color="auto"/>
      </w:divBdr>
      <w:divsChild>
        <w:div w:id="2011180800">
          <w:marLeft w:val="0"/>
          <w:marRight w:val="0"/>
          <w:marTop w:val="0"/>
          <w:marBottom w:val="0"/>
          <w:divBdr>
            <w:top w:val="none" w:sz="0" w:space="0" w:color="auto"/>
            <w:left w:val="none" w:sz="0" w:space="0" w:color="auto"/>
            <w:bottom w:val="none" w:sz="0" w:space="0" w:color="auto"/>
            <w:right w:val="none" w:sz="0" w:space="0" w:color="auto"/>
          </w:divBdr>
          <w:divsChild>
            <w:div w:id="191654005">
              <w:marLeft w:val="0"/>
              <w:marRight w:val="0"/>
              <w:marTop w:val="0"/>
              <w:marBottom w:val="0"/>
              <w:divBdr>
                <w:top w:val="none" w:sz="0" w:space="0" w:color="auto"/>
                <w:left w:val="none" w:sz="0" w:space="0" w:color="auto"/>
                <w:bottom w:val="none" w:sz="0" w:space="0" w:color="auto"/>
                <w:right w:val="none" w:sz="0" w:space="0" w:color="auto"/>
              </w:divBdr>
              <w:divsChild>
                <w:div w:id="782964594">
                  <w:marLeft w:val="0"/>
                  <w:marRight w:val="0"/>
                  <w:marTop w:val="0"/>
                  <w:marBottom w:val="0"/>
                  <w:divBdr>
                    <w:top w:val="none" w:sz="0" w:space="0" w:color="auto"/>
                    <w:left w:val="none" w:sz="0" w:space="0" w:color="auto"/>
                    <w:bottom w:val="none" w:sz="0" w:space="0" w:color="auto"/>
                    <w:right w:val="none" w:sz="0" w:space="0" w:color="auto"/>
                  </w:divBdr>
                  <w:divsChild>
                    <w:div w:id="163592944">
                      <w:marLeft w:val="0"/>
                      <w:marRight w:val="0"/>
                      <w:marTop w:val="0"/>
                      <w:marBottom w:val="0"/>
                      <w:divBdr>
                        <w:top w:val="none" w:sz="0" w:space="0" w:color="auto"/>
                        <w:left w:val="none" w:sz="0" w:space="0" w:color="auto"/>
                        <w:bottom w:val="none" w:sz="0" w:space="0" w:color="auto"/>
                        <w:right w:val="none" w:sz="0" w:space="0" w:color="auto"/>
                      </w:divBdr>
                      <w:divsChild>
                        <w:div w:id="1393230358">
                          <w:marLeft w:val="0"/>
                          <w:marRight w:val="0"/>
                          <w:marTop w:val="0"/>
                          <w:marBottom w:val="0"/>
                          <w:divBdr>
                            <w:top w:val="none" w:sz="0" w:space="0" w:color="auto"/>
                            <w:left w:val="none" w:sz="0" w:space="0" w:color="auto"/>
                            <w:bottom w:val="none" w:sz="0" w:space="0" w:color="auto"/>
                            <w:right w:val="none" w:sz="0" w:space="0" w:color="auto"/>
                          </w:divBdr>
                          <w:divsChild>
                            <w:div w:id="1216162487">
                              <w:marLeft w:val="0"/>
                              <w:marRight w:val="0"/>
                              <w:marTop w:val="0"/>
                              <w:marBottom w:val="0"/>
                              <w:divBdr>
                                <w:top w:val="none" w:sz="0" w:space="0" w:color="auto"/>
                                <w:left w:val="none" w:sz="0" w:space="0" w:color="auto"/>
                                <w:bottom w:val="none" w:sz="0" w:space="0" w:color="auto"/>
                                <w:right w:val="none" w:sz="0" w:space="0" w:color="auto"/>
                              </w:divBdr>
                              <w:divsChild>
                                <w:div w:id="1607926065">
                                  <w:marLeft w:val="0"/>
                                  <w:marRight w:val="0"/>
                                  <w:marTop w:val="0"/>
                                  <w:marBottom w:val="0"/>
                                  <w:divBdr>
                                    <w:top w:val="none" w:sz="0" w:space="0" w:color="auto"/>
                                    <w:left w:val="none" w:sz="0" w:space="0" w:color="auto"/>
                                    <w:bottom w:val="none" w:sz="0" w:space="0" w:color="auto"/>
                                    <w:right w:val="none" w:sz="0" w:space="0" w:color="auto"/>
                                  </w:divBdr>
                                  <w:divsChild>
                                    <w:div w:id="16420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126068">
      <w:bodyDiv w:val="1"/>
      <w:marLeft w:val="0"/>
      <w:marRight w:val="0"/>
      <w:marTop w:val="0"/>
      <w:marBottom w:val="0"/>
      <w:divBdr>
        <w:top w:val="none" w:sz="0" w:space="0" w:color="auto"/>
        <w:left w:val="none" w:sz="0" w:space="0" w:color="auto"/>
        <w:bottom w:val="none" w:sz="0" w:space="0" w:color="auto"/>
        <w:right w:val="none" w:sz="0" w:space="0" w:color="auto"/>
      </w:divBdr>
    </w:div>
    <w:div w:id="500122753">
      <w:bodyDiv w:val="1"/>
      <w:marLeft w:val="0"/>
      <w:marRight w:val="0"/>
      <w:marTop w:val="0"/>
      <w:marBottom w:val="0"/>
      <w:divBdr>
        <w:top w:val="none" w:sz="0" w:space="0" w:color="auto"/>
        <w:left w:val="none" w:sz="0" w:space="0" w:color="auto"/>
        <w:bottom w:val="none" w:sz="0" w:space="0" w:color="auto"/>
        <w:right w:val="none" w:sz="0" w:space="0" w:color="auto"/>
      </w:divBdr>
    </w:div>
    <w:div w:id="2091387822">
      <w:bodyDiv w:val="1"/>
      <w:marLeft w:val="0"/>
      <w:marRight w:val="0"/>
      <w:marTop w:val="0"/>
      <w:marBottom w:val="0"/>
      <w:divBdr>
        <w:top w:val="none" w:sz="0" w:space="0" w:color="auto"/>
        <w:left w:val="none" w:sz="0" w:space="0" w:color="auto"/>
        <w:bottom w:val="none" w:sz="0" w:space="0" w:color="auto"/>
        <w:right w:val="none" w:sz="0" w:space="0" w:color="auto"/>
      </w:divBdr>
      <w:divsChild>
        <w:div w:id="1392072753">
          <w:marLeft w:val="0"/>
          <w:marRight w:val="0"/>
          <w:marTop w:val="0"/>
          <w:marBottom w:val="0"/>
          <w:divBdr>
            <w:top w:val="none" w:sz="0" w:space="0" w:color="auto"/>
            <w:left w:val="none" w:sz="0" w:space="0" w:color="auto"/>
            <w:bottom w:val="none" w:sz="0" w:space="0" w:color="auto"/>
            <w:right w:val="none" w:sz="0" w:space="0" w:color="auto"/>
          </w:divBdr>
          <w:divsChild>
            <w:div w:id="671182364">
              <w:marLeft w:val="0"/>
              <w:marRight w:val="0"/>
              <w:marTop w:val="0"/>
              <w:marBottom w:val="0"/>
              <w:divBdr>
                <w:top w:val="none" w:sz="0" w:space="0" w:color="auto"/>
                <w:left w:val="none" w:sz="0" w:space="0" w:color="auto"/>
                <w:bottom w:val="none" w:sz="0" w:space="0" w:color="auto"/>
                <w:right w:val="none" w:sz="0" w:space="0" w:color="auto"/>
              </w:divBdr>
              <w:divsChild>
                <w:div w:id="1514371655">
                  <w:marLeft w:val="0"/>
                  <w:marRight w:val="0"/>
                  <w:marTop w:val="0"/>
                  <w:marBottom w:val="0"/>
                  <w:divBdr>
                    <w:top w:val="none" w:sz="0" w:space="0" w:color="auto"/>
                    <w:left w:val="none" w:sz="0" w:space="0" w:color="auto"/>
                    <w:bottom w:val="none" w:sz="0" w:space="0" w:color="auto"/>
                    <w:right w:val="none" w:sz="0" w:space="0" w:color="auto"/>
                  </w:divBdr>
                  <w:divsChild>
                    <w:div w:id="211115794">
                      <w:marLeft w:val="0"/>
                      <w:marRight w:val="0"/>
                      <w:marTop w:val="0"/>
                      <w:marBottom w:val="0"/>
                      <w:divBdr>
                        <w:top w:val="none" w:sz="0" w:space="0" w:color="auto"/>
                        <w:left w:val="none" w:sz="0" w:space="0" w:color="auto"/>
                        <w:bottom w:val="none" w:sz="0" w:space="0" w:color="auto"/>
                        <w:right w:val="none" w:sz="0" w:space="0" w:color="auto"/>
                      </w:divBdr>
                      <w:divsChild>
                        <w:div w:id="1205677173">
                          <w:marLeft w:val="0"/>
                          <w:marRight w:val="0"/>
                          <w:marTop w:val="0"/>
                          <w:marBottom w:val="0"/>
                          <w:divBdr>
                            <w:top w:val="none" w:sz="0" w:space="0" w:color="auto"/>
                            <w:left w:val="none" w:sz="0" w:space="0" w:color="auto"/>
                            <w:bottom w:val="none" w:sz="0" w:space="0" w:color="auto"/>
                            <w:right w:val="none" w:sz="0" w:space="0" w:color="auto"/>
                          </w:divBdr>
                          <w:divsChild>
                            <w:div w:id="1040478521">
                              <w:marLeft w:val="0"/>
                              <w:marRight w:val="0"/>
                              <w:marTop w:val="0"/>
                              <w:marBottom w:val="0"/>
                              <w:divBdr>
                                <w:top w:val="none" w:sz="0" w:space="0" w:color="auto"/>
                                <w:left w:val="none" w:sz="0" w:space="0" w:color="auto"/>
                                <w:bottom w:val="none" w:sz="0" w:space="0" w:color="auto"/>
                                <w:right w:val="none" w:sz="0" w:space="0" w:color="auto"/>
                              </w:divBdr>
                              <w:divsChild>
                                <w:div w:id="1210723903">
                                  <w:marLeft w:val="0"/>
                                  <w:marRight w:val="0"/>
                                  <w:marTop w:val="0"/>
                                  <w:marBottom w:val="0"/>
                                  <w:divBdr>
                                    <w:top w:val="none" w:sz="0" w:space="0" w:color="auto"/>
                                    <w:left w:val="none" w:sz="0" w:space="0" w:color="auto"/>
                                    <w:bottom w:val="none" w:sz="0" w:space="0" w:color="auto"/>
                                    <w:right w:val="none" w:sz="0" w:space="0" w:color="auto"/>
                                  </w:divBdr>
                                  <w:divsChild>
                                    <w:div w:id="21306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harvestchoice.org/labs/updating-soil-functional-capacity-classification-system" TargetMode="External"/><Relationship Id="rId1" Type="http://schemas.openxmlformats.org/officeDocument/2006/relationships/hyperlink" Target="http://harvestchoice.org/labs/hc27-genericprototypical-soil-profil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Users\JKOO\Dropbox\References%20-%20Articles%20to%20Review\Kenya%20CCAM\Simulated%20Yiel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565261698802498"/>
          <c:y val="7.9178331875182265E-2"/>
          <c:w val="0.73058442996645401"/>
          <c:h val="0.75391586468358118"/>
        </c:manualLayout>
      </c:layout>
      <c:scatterChart>
        <c:scatterStyle val="lineMarker"/>
        <c:varyColors val="0"/>
        <c:ser>
          <c:idx val="0"/>
          <c:order val="0"/>
          <c:tx>
            <c:strRef>
              <c:f>Sheet2!$D$1</c:f>
              <c:strCache>
                <c:ptCount val="1"/>
                <c:pt idx="0">
                  <c:v>Sim 1-20</c:v>
                </c:pt>
              </c:strCache>
            </c:strRef>
          </c:tx>
          <c:spPr>
            <a:ln w="28575">
              <a:noFill/>
            </a:ln>
          </c:spPr>
          <c:marker>
            <c:symbol val="plus"/>
            <c:size val="6"/>
          </c:marker>
          <c:trendline>
            <c:trendlineType val="linear"/>
            <c:intercept val="0"/>
            <c:dispRSqr val="0"/>
            <c:dispEq val="1"/>
            <c:trendlineLbl>
              <c:layout>
                <c:manualLayout>
                  <c:x val="0.11812001662369723"/>
                  <c:y val="0.47788713910761155"/>
                </c:manualLayout>
              </c:layout>
              <c:numFmt formatCode="General" sourceLinked="0"/>
            </c:trendlineLbl>
          </c:trendline>
          <c:xVal>
            <c:numRef>
              <c:f>Sheet2!$C$3:$C$10</c:f>
              <c:numCache>
                <c:formatCode>General</c:formatCode>
                <c:ptCount val="8"/>
                <c:pt idx="0">
                  <c:v>2225</c:v>
                </c:pt>
                <c:pt idx="1">
                  <c:v>1278</c:v>
                </c:pt>
                <c:pt idx="2">
                  <c:v>766</c:v>
                </c:pt>
                <c:pt idx="3">
                  <c:v>2417</c:v>
                </c:pt>
                <c:pt idx="4">
                  <c:v>2596</c:v>
                </c:pt>
                <c:pt idx="5">
                  <c:v>3953</c:v>
                </c:pt>
                <c:pt idx="6">
                  <c:v>3323</c:v>
                </c:pt>
                <c:pt idx="7">
                  <c:v>1189</c:v>
                </c:pt>
              </c:numCache>
            </c:numRef>
          </c:xVal>
          <c:yVal>
            <c:numRef>
              <c:f>Sheet2!$D$3:$D$10</c:f>
              <c:numCache>
                <c:formatCode>General</c:formatCode>
                <c:ptCount val="8"/>
                <c:pt idx="0">
                  <c:v>3388</c:v>
                </c:pt>
                <c:pt idx="1">
                  <c:v>2352</c:v>
                </c:pt>
                <c:pt idx="2">
                  <c:v>2311</c:v>
                </c:pt>
                <c:pt idx="3">
                  <c:v>2327</c:v>
                </c:pt>
                <c:pt idx="4">
                  <c:v>1406</c:v>
                </c:pt>
                <c:pt idx="5">
                  <c:v>2975</c:v>
                </c:pt>
                <c:pt idx="6">
                  <c:v>2531</c:v>
                </c:pt>
                <c:pt idx="7">
                  <c:v>3179</c:v>
                </c:pt>
              </c:numCache>
            </c:numRef>
          </c:yVal>
          <c:smooth val="0"/>
        </c:ser>
        <c:ser>
          <c:idx val="1"/>
          <c:order val="1"/>
          <c:tx>
            <c:v>1:01</c:v>
          </c:tx>
          <c:spPr>
            <a:ln w="6350">
              <a:solidFill>
                <a:schemeClr val="tx1">
                  <a:lumMod val="50000"/>
                  <a:lumOff val="50000"/>
                </a:schemeClr>
              </a:solidFill>
              <a:prstDash val="dash"/>
            </a:ln>
          </c:spPr>
          <c:marker>
            <c:symbol val="none"/>
          </c:marker>
          <c:xVal>
            <c:numRef>
              <c:f>Sheet2!$I$2:$I$3</c:f>
              <c:numCache>
                <c:formatCode>General</c:formatCode>
                <c:ptCount val="2"/>
                <c:pt idx="0">
                  <c:v>-100</c:v>
                </c:pt>
                <c:pt idx="1">
                  <c:v>7000</c:v>
                </c:pt>
              </c:numCache>
            </c:numRef>
          </c:xVal>
          <c:yVal>
            <c:numRef>
              <c:f>Sheet2!$I$2:$I$3</c:f>
              <c:numCache>
                <c:formatCode>General</c:formatCode>
                <c:ptCount val="2"/>
                <c:pt idx="0">
                  <c:v>-100</c:v>
                </c:pt>
                <c:pt idx="1">
                  <c:v>7000</c:v>
                </c:pt>
              </c:numCache>
            </c:numRef>
          </c:yVal>
          <c:smooth val="0"/>
        </c:ser>
        <c:dLbls>
          <c:showLegendKey val="0"/>
          <c:showVal val="0"/>
          <c:showCatName val="0"/>
          <c:showSerName val="0"/>
          <c:showPercent val="0"/>
          <c:showBubbleSize val="0"/>
        </c:dLbls>
        <c:axId val="23174144"/>
        <c:axId val="23188608"/>
      </c:scatterChart>
      <c:valAx>
        <c:axId val="23174144"/>
        <c:scaling>
          <c:orientation val="minMax"/>
          <c:max val="5000"/>
          <c:min val="0"/>
        </c:scaling>
        <c:delete val="0"/>
        <c:axPos val="b"/>
        <c:title>
          <c:tx>
            <c:rich>
              <a:bodyPr/>
              <a:lstStyle/>
              <a:p>
                <a:pPr>
                  <a:defRPr/>
                </a:pPr>
                <a:r>
                  <a:rPr lang="en-US"/>
                  <a:t>Surveyed Yield (kg/ha)</a:t>
                </a:r>
              </a:p>
            </c:rich>
          </c:tx>
          <c:overlay val="0"/>
        </c:title>
        <c:numFmt formatCode="General" sourceLinked="1"/>
        <c:majorTickMark val="out"/>
        <c:minorTickMark val="none"/>
        <c:tickLblPos val="nextTo"/>
        <c:crossAx val="23188608"/>
        <c:crosses val="autoZero"/>
        <c:crossBetween val="midCat"/>
        <c:majorUnit val="1000"/>
      </c:valAx>
      <c:valAx>
        <c:axId val="23188608"/>
        <c:scaling>
          <c:orientation val="minMax"/>
          <c:max val="5000"/>
          <c:min val="0"/>
        </c:scaling>
        <c:delete val="0"/>
        <c:axPos val="l"/>
        <c:title>
          <c:tx>
            <c:rich>
              <a:bodyPr rot="-5400000" vert="horz"/>
              <a:lstStyle/>
              <a:p>
                <a:pPr>
                  <a:defRPr/>
                </a:pPr>
                <a:r>
                  <a:rPr lang="en-US"/>
                  <a:t>Avg. Simulated Yield (kg/ha)</a:t>
                </a:r>
              </a:p>
            </c:rich>
          </c:tx>
          <c:layout>
            <c:manualLayout>
              <c:xMode val="edge"/>
              <c:yMode val="edge"/>
              <c:x val="3.140584716152858E-3"/>
              <c:y val="0.15570793234179059"/>
            </c:manualLayout>
          </c:layout>
          <c:overlay val="0"/>
        </c:title>
        <c:numFmt formatCode="General" sourceLinked="1"/>
        <c:majorTickMark val="out"/>
        <c:minorTickMark val="none"/>
        <c:tickLblPos val="nextTo"/>
        <c:crossAx val="23174144"/>
        <c:crosses val="autoZero"/>
        <c:crossBetween val="midCat"/>
        <c:majorUnit val="1000"/>
      </c:valAx>
      <c:spPr>
        <a:ln>
          <a:solidFill>
            <a:schemeClr val="bg1">
              <a:lumMod val="50000"/>
            </a:schemeClr>
          </a:solid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2398</Words>
  <Characters>13670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IFPRI</Company>
  <LinksUpToDate>false</LinksUpToDate>
  <CharactersWithSpaces>16036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EBRYAN</dc:creator>
  <cp:lastModifiedBy>EBRYAN</cp:lastModifiedBy>
  <cp:revision>8</cp:revision>
  <dcterms:created xsi:type="dcterms:W3CDTF">2012-10-15T15:50:00Z</dcterms:created>
  <dcterms:modified xsi:type="dcterms:W3CDTF">2012-10-15T17:57:00Z</dcterms:modified>
</cp:coreProperties>
</file>