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2CB" w:rsidRDefault="003B32CB" w:rsidP="004B78E0">
      <w:pPr>
        <w:rPr>
          <w:rFonts w:eastAsia="MS PGothic"/>
        </w:rPr>
      </w:pPr>
      <w:r>
        <w:rPr>
          <w:rFonts w:eastAsia="MS PGothic"/>
          <w:lang w:eastAsia="ja-JP"/>
        </w:rPr>
        <w:t xml:space="preserve">Article title: </w:t>
      </w:r>
      <w:r>
        <w:rPr>
          <w:rFonts w:eastAsia="MS PGothic"/>
        </w:rPr>
        <w:t>Halving global GHG emissions by 2050 without depending on nuclear and CCS</w:t>
      </w:r>
    </w:p>
    <w:p w:rsidR="003B32CB" w:rsidRDefault="003B32CB" w:rsidP="004B78E0">
      <w:pPr>
        <w:rPr>
          <w:rFonts w:eastAsia="MS PGothic"/>
          <w:lang w:eastAsia="ja-JP"/>
        </w:rPr>
      </w:pPr>
      <w:r>
        <w:rPr>
          <w:rFonts w:eastAsia="MS PGothic"/>
          <w:lang w:eastAsia="ja-JP"/>
        </w:rPr>
        <w:t>Journal name:Climatic Change</w:t>
      </w:r>
    </w:p>
    <w:p w:rsidR="003B32CB" w:rsidRDefault="003B32CB" w:rsidP="004B78E0">
      <w:pPr>
        <w:rPr>
          <w:rFonts w:eastAsia="MS PGothic"/>
        </w:rPr>
      </w:pPr>
      <w:r>
        <w:rPr>
          <w:rFonts w:eastAsia="MS PGothic"/>
          <w:lang w:eastAsia="ja-JP"/>
        </w:rPr>
        <w:t xml:space="preserve">Authors: </w:t>
      </w:r>
      <w:r>
        <w:rPr>
          <w:rFonts w:eastAsia="MS PGothic"/>
        </w:rPr>
        <w:t>Osamu Akashi</w:t>
      </w:r>
      <w:r>
        <w:rPr>
          <w:rFonts w:eastAsia="MS PGothic"/>
          <w:vertAlign w:val="superscript"/>
        </w:rPr>
        <w:t>a,*</w:t>
      </w:r>
      <w:r>
        <w:rPr>
          <w:rFonts w:eastAsia="MS PGothic"/>
        </w:rPr>
        <w:t>, Tatsuya Hanaoka</w:t>
      </w:r>
      <w:r>
        <w:rPr>
          <w:rFonts w:eastAsia="MS PGothic"/>
          <w:vertAlign w:val="superscript"/>
        </w:rPr>
        <w:t>b</w:t>
      </w:r>
      <w:r>
        <w:rPr>
          <w:rFonts w:eastAsia="MS PGothic"/>
        </w:rPr>
        <w:t>, Toshihiko Masui</w:t>
      </w:r>
      <w:r>
        <w:rPr>
          <w:rFonts w:eastAsia="MS PGothic"/>
          <w:vertAlign w:val="superscript"/>
        </w:rPr>
        <w:t>b</w:t>
      </w:r>
      <w:r>
        <w:rPr>
          <w:rFonts w:eastAsia="MS PGothic"/>
        </w:rPr>
        <w:t>, Mikiko Kainuma</w:t>
      </w:r>
      <w:r>
        <w:rPr>
          <w:rFonts w:eastAsia="MS PGothic"/>
          <w:vertAlign w:val="superscript"/>
        </w:rPr>
        <w:t>b</w:t>
      </w:r>
    </w:p>
    <w:p w:rsidR="003B32CB" w:rsidRDefault="003B32CB" w:rsidP="004B78E0">
      <w:pPr>
        <w:rPr>
          <w:rFonts w:eastAsia="MS PGothic"/>
        </w:rPr>
      </w:pPr>
      <w:r>
        <w:rPr>
          <w:rFonts w:eastAsia="MS PGothic"/>
          <w:vertAlign w:val="superscript"/>
        </w:rPr>
        <w:t>a</w:t>
      </w:r>
      <w:r>
        <w:rPr>
          <w:rFonts w:eastAsia="MS PGothic"/>
        </w:rPr>
        <w:t xml:space="preserve"> Musashino University, 3-3-3 Ariake Koto-ku Tokyo 135-8181, Japan</w:t>
      </w:r>
    </w:p>
    <w:p w:rsidR="003B32CB" w:rsidRDefault="003B32CB" w:rsidP="004B78E0">
      <w:pPr>
        <w:rPr>
          <w:rFonts w:eastAsia="MS PGothic"/>
        </w:rPr>
      </w:pPr>
      <w:r>
        <w:rPr>
          <w:rFonts w:eastAsia="MS PGothic"/>
          <w:vertAlign w:val="superscript"/>
        </w:rPr>
        <w:t>b</w:t>
      </w:r>
      <w:r>
        <w:rPr>
          <w:rFonts w:eastAsia="MS PGothic"/>
        </w:rPr>
        <w:t xml:space="preserve"> National Institute for Environmental Studies, 16-2 Onogawa, Tsukuba, Ibaraki 305-8506, Japan</w:t>
      </w:r>
    </w:p>
    <w:p w:rsidR="003B32CB" w:rsidRPr="004B78E0" w:rsidRDefault="003B32CB" w:rsidP="004B78E0">
      <w:pPr>
        <w:pStyle w:val="Body1"/>
        <w:spacing w:line="480" w:lineRule="auto"/>
        <w:rPr>
          <w:rFonts w:hAnsi="Arial Unicode MS"/>
          <w:sz w:val="22"/>
          <w:szCs w:val="22"/>
          <w:lang w:val="en-US" w:eastAsia="ja-JP"/>
        </w:rPr>
      </w:pPr>
      <w:r>
        <w:rPr>
          <w:rFonts w:hAnsi="Arial Unicode MS"/>
          <w:sz w:val="22"/>
          <w:szCs w:val="22"/>
          <w:lang w:val="en-US" w:eastAsia="ja-JP"/>
        </w:rPr>
        <w:t xml:space="preserve">* Corresponding author. Email: </w:t>
      </w:r>
      <w:bookmarkStart w:id="0" w:name="_GoBack"/>
      <w:bookmarkEnd w:id="0"/>
      <w:r>
        <w:rPr>
          <w:rFonts w:hAnsi="Arial Unicode MS"/>
          <w:sz w:val="22"/>
          <w:szCs w:val="22"/>
          <w:lang w:val="en-US" w:eastAsia="ja-JP"/>
        </w:rPr>
        <w:t xml:space="preserve"> o_akashi@musashino-u.ac.jp</w:t>
      </w:r>
    </w:p>
    <w:p w:rsidR="003B32CB" w:rsidRDefault="003B32CB" w:rsidP="004F6665">
      <w:pPr>
        <w:pStyle w:val="Body1"/>
        <w:spacing w:line="480" w:lineRule="auto"/>
        <w:jc w:val="center"/>
        <w:rPr>
          <w:rFonts w:hAnsi="Arial Unicode MS"/>
          <w:sz w:val="22"/>
          <w:szCs w:val="22"/>
          <w:lang w:val="en-US" w:eastAsia="ja-JP"/>
        </w:rPr>
      </w:pPr>
    </w:p>
    <w:p w:rsidR="003B32CB" w:rsidRPr="00F32C66" w:rsidRDefault="003B32CB" w:rsidP="004F6665">
      <w:pPr>
        <w:pStyle w:val="Body1"/>
        <w:spacing w:line="480" w:lineRule="auto"/>
        <w:jc w:val="center"/>
        <w:rPr>
          <w:sz w:val="22"/>
          <w:szCs w:val="22"/>
          <w:lang w:val="en-US"/>
        </w:rPr>
      </w:pPr>
      <w:r w:rsidRPr="00F32C66">
        <w:rPr>
          <w:rFonts w:hAnsi="Arial Unicode MS"/>
          <w:sz w:val="22"/>
          <w:szCs w:val="22"/>
          <w:lang w:val="en-US"/>
        </w:rPr>
        <w:t>List of technologies</w:t>
      </w:r>
      <w:r>
        <w:rPr>
          <w:rFonts w:hAnsi="Arial Unicode MS"/>
          <w:sz w:val="22"/>
          <w:szCs w:val="22"/>
          <w:lang w:val="en-US"/>
        </w:rPr>
        <w:t xml:space="preserve"> used in AIM/</w:t>
      </w:r>
      <w:r>
        <w:rPr>
          <w:rFonts w:hAnsi="Arial Unicode MS"/>
          <w:sz w:val="22"/>
          <w:szCs w:val="22"/>
          <w:lang w:val="en-US" w:eastAsia="ja-JP"/>
        </w:rPr>
        <w:t>E</w:t>
      </w:r>
      <w:r>
        <w:rPr>
          <w:rFonts w:hAnsi="Arial Unicode MS"/>
          <w:sz w:val="22"/>
          <w:szCs w:val="22"/>
          <w:lang w:val="en-US"/>
        </w:rPr>
        <w:t>nduse[Global]*</w:t>
      </w:r>
    </w:p>
    <w:tbl>
      <w:tblPr>
        <w:tblW w:w="14884" w:type="dxa"/>
        <w:tblInd w:w="-106" w:type="dxa"/>
        <w:tblLayout w:type="fixed"/>
        <w:tblLook w:val="0000"/>
      </w:tblPr>
      <w:tblGrid>
        <w:gridCol w:w="2977"/>
        <w:gridCol w:w="2835"/>
        <w:gridCol w:w="9072"/>
      </w:tblGrid>
      <w:tr w:rsidR="003B32CB" w:rsidRPr="00F32C66">
        <w:trPr>
          <w:cantSplit/>
          <w:trHeight w:val="338"/>
        </w:trPr>
        <w:tc>
          <w:tcPr>
            <w:tcW w:w="2977" w:type="dxa"/>
            <w:tcBorders>
              <w:top w:val="single" w:sz="12" w:space="0" w:color="000000"/>
              <w:left w:val="single" w:sz="8" w:space="0" w:color="FFFFFF"/>
              <w:bottom w:val="single" w:sz="4" w:space="0" w:color="000000"/>
              <w:right w:val="single" w:sz="8" w:space="0" w:color="FFFFFF"/>
            </w:tcBorders>
            <w:shd w:val="clear" w:color="auto" w:fill="FFFFFF"/>
            <w:tcMar>
              <w:top w:w="80" w:type="dxa"/>
              <w:left w:w="0" w:type="dxa"/>
              <w:bottom w:w="80" w:type="dxa"/>
              <w:right w:w="0" w:type="dxa"/>
            </w:tcMar>
            <w:vAlign w:val="bottom"/>
          </w:tcPr>
          <w:p w:rsidR="003B32CB" w:rsidRPr="005364A6" w:rsidRDefault="003B32CB" w:rsidP="00C359BB">
            <w:pPr>
              <w:pStyle w:val="Body1"/>
              <w:widowControl/>
              <w:jc w:val="left"/>
              <w:outlineLvl w:val="9"/>
              <w:rPr>
                <w:rFonts w:hAnsi="Arial Unicode MS"/>
                <w:b/>
                <w:bCs/>
                <w:sz w:val="22"/>
                <w:szCs w:val="22"/>
                <w:lang w:val="en-US"/>
              </w:rPr>
            </w:pPr>
            <w:r w:rsidRPr="005364A6">
              <w:rPr>
                <w:rFonts w:hAnsi="Arial Unicode MS"/>
                <w:b/>
                <w:bCs/>
                <w:sz w:val="22"/>
                <w:szCs w:val="22"/>
                <w:lang w:val="en-US"/>
              </w:rPr>
              <w:t>Sector</w:t>
            </w:r>
          </w:p>
        </w:tc>
        <w:tc>
          <w:tcPr>
            <w:tcW w:w="2835" w:type="dxa"/>
            <w:tcBorders>
              <w:top w:val="single" w:sz="12" w:space="0" w:color="000000"/>
              <w:left w:val="single" w:sz="8" w:space="0" w:color="FFFFFF"/>
              <w:bottom w:val="single" w:sz="4" w:space="0" w:color="000000"/>
              <w:right w:val="single" w:sz="8" w:space="0" w:color="FFFFFF"/>
            </w:tcBorders>
            <w:shd w:val="clear" w:color="auto" w:fill="FFFFFF"/>
            <w:tcMar>
              <w:top w:w="80" w:type="dxa"/>
              <w:left w:w="0" w:type="dxa"/>
              <w:bottom w:w="80" w:type="dxa"/>
              <w:right w:w="0" w:type="dxa"/>
            </w:tcMar>
            <w:vAlign w:val="bottom"/>
          </w:tcPr>
          <w:p w:rsidR="003B32CB" w:rsidRPr="005364A6" w:rsidRDefault="003B32CB" w:rsidP="00C359BB">
            <w:pPr>
              <w:pStyle w:val="Body1"/>
              <w:widowControl/>
              <w:jc w:val="left"/>
              <w:outlineLvl w:val="9"/>
              <w:rPr>
                <w:rFonts w:hAnsi="Arial Unicode MS"/>
                <w:b/>
                <w:bCs/>
                <w:sz w:val="22"/>
                <w:szCs w:val="22"/>
                <w:lang w:val="en-US"/>
              </w:rPr>
            </w:pPr>
            <w:r w:rsidRPr="005364A6">
              <w:rPr>
                <w:rFonts w:hAnsi="Arial Unicode MS"/>
                <w:b/>
                <w:bCs/>
                <w:sz w:val="22"/>
                <w:szCs w:val="22"/>
                <w:lang w:val="en-US"/>
              </w:rPr>
              <w:t>Category</w:t>
            </w:r>
          </w:p>
        </w:tc>
        <w:tc>
          <w:tcPr>
            <w:tcW w:w="9072" w:type="dxa"/>
            <w:tcBorders>
              <w:top w:val="single" w:sz="12" w:space="0" w:color="000000"/>
              <w:left w:val="single" w:sz="8" w:space="0" w:color="FFFFFF"/>
              <w:bottom w:val="single" w:sz="4" w:space="0" w:color="000000"/>
              <w:right w:val="single" w:sz="8" w:space="0" w:color="FFFFFF"/>
            </w:tcBorders>
            <w:shd w:val="clear" w:color="auto" w:fill="FFFFFF"/>
            <w:tcMar>
              <w:top w:w="80" w:type="dxa"/>
              <w:left w:w="0" w:type="dxa"/>
              <w:bottom w:w="80" w:type="dxa"/>
              <w:right w:w="0" w:type="dxa"/>
            </w:tcMar>
            <w:vAlign w:val="bottom"/>
          </w:tcPr>
          <w:p w:rsidR="003B32CB" w:rsidRPr="005364A6" w:rsidRDefault="003B32CB" w:rsidP="00C359BB">
            <w:pPr>
              <w:pStyle w:val="Body1"/>
              <w:widowControl/>
              <w:jc w:val="left"/>
              <w:outlineLvl w:val="9"/>
              <w:rPr>
                <w:rFonts w:hAnsi="Arial Unicode MS"/>
                <w:b/>
                <w:bCs/>
                <w:sz w:val="22"/>
                <w:szCs w:val="22"/>
                <w:lang w:val="en-US"/>
              </w:rPr>
            </w:pPr>
            <w:r w:rsidRPr="005364A6">
              <w:rPr>
                <w:rFonts w:hAnsi="Arial Unicode MS"/>
                <w:b/>
                <w:bCs/>
                <w:sz w:val="22"/>
                <w:szCs w:val="22"/>
                <w:lang w:val="en-US"/>
              </w:rPr>
              <w:t>Technology options</w:t>
            </w:r>
          </w:p>
        </w:tc>
      </w:tr>
      <w:tr w:rsidR="003B32CB" w:rsidRPr="00F32C66">
        <w:trPr>
          <w:cantSplit/>
          <w:trHeight w:val="359"/>
        </w:trPr>
        <w:tc>
          <w:tcPr>
            <w:tcW w:w="2977" w:type="dxa"/>
            <w:vMerge w:val="restart"/>
            <w:tcBorders>
              <w:top w:val="single" w:sz="4"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Power generation</w:t>
            </w:r>
          </w:p>
        </w:tc>
        <w:tc>
          <w:tcPr>
            <w:tcW w:w="2835" w:type="dxa"/>
            <w:tcBorders>
              <w:top w:val="single" w:sz="4"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Coal power plants</w:t>
            </w:r>
          </w:p>
        </w:tc>
        <w:tc>
          <w:tcPr>
            <w:tcW w:w="9072" w:type="dxa"/>
            <w:tcBorders>
              <w:top w:val="single" w:sz="4"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 xml:space="preserve">Pulverized coal combustion (PCC), Supercritical (SC) PCC, Ultra supercritical (USC) PCC, Integrated gasification combined cycle </w:t>
            </w:r>
            <w:r>
              <w:rPr>
                <w:rFonts w:hAnsi="Arial Unicode MS"/>
                <w:sz w:val="22"/>
                <w:szCs w:val="22"/>
                <w:lang w:val="en-US"/>
              </w:rPr>
              <w:t>(IGCC), SC PCC with c</w:t>
            </w:r>
            <w:r w:rsidRPr="00F32C66">
              <w:rPr>
                <w:rFonts w:hAnsi="Arial Unicode MS"/>
                <w:sz w:val="22"/>
                <w:szCs w:val="22"/>
                <w:lang w:val="en-US"/>
              </w:rPr>
              <w:t>arbon capture and storage (CCS), USC PCC with CCS, IGCC with CCS</w:t>
            </w:r>
          </w:p>
        </w:tc>
      </w:tr>
      <w:tr w:rsidR="003B32CB" w:rsidRPr="00F32C66">
        <w:trPr>
          <w:cantSplit/>
          <w:trHeight w:val="349"/>
        </w:trPr>
        <w:tc>
          <w:tcPr>
            <w:tcW w:w="2977" w:type="dxa"/>
            <w:vMerge/>
            <w:tcBorders>
              <w:top w:val="single" w:sz="4"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Gas power plants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Combined cycle</w:t>
            </w:r>
            <w:r>
              <w:rPr>
                <w:rFonts w:ascii="?????? ProN W3" w:hAnsi="Arial Unicode MS" w:cs="?????? ProN W3"/>
                <w:sz w:val="22"/>
                <w:szCs w:val="22"/>
              </w:rPr>
              <w:t xml:space="preserve">, </w:t>
            </w:r>
            <w:r w:rsidRPr="00F32C66">
              <w:rPr>
                <w:rFonts w:hAnsi="Arial Unicode MS"/>
                <w:sz w:val="22"/>
                <w:szCs w:val="22"/>
                <w:lang w:val="en-US"/>
              </w:rPr>
              <w:t>Advanced combined cycle (ACC), ACC with CCS</w:t>
            </w:r>
          </w:p>
        </w:tc>
      </w:tr>
      <w:tr w:rsidR="003B32CB" w:rsidRPr="00F32C66">
        <w:trPr>
          <w:cantSplit/>
          <w:trHeight w:val="349"/>
        </w:trPr>
        <w:tc>
          <w:tcPr>
            <w:tcW w:w="2977" w:type="dxa"/>
            <w:vMerge/>
            <w:tcBorders>
              <w:top w:val="single" w:sz="4"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Renewables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Wind power, Photovoltaics, Biomass power plant, Biomass IGCC, Biomass IGCC with CCS</w:t>
            </w:r>
          </w:p>
        </w:tc>
      </w:tr>
      <w:tr w:rsidR="003B32CB" w:rsidRPr="00F32C66">
        <w:trPr>
          <w:cantSplit/>
          <w:trHeight w:val="349"/>
        </w:trPr>
        <w:tc>
          <w:tcPr>
            <w:tcW w:w="5812" w:type="dxa"/>
            <w:gridSpan w:val="2"/>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2F545B" w:rsidRDefault="003B32CB" w:rsidP="004F6665">
            <w:pPr>
              <w:pStyle w:val="Body1"/>
              <w:widowControl/>
              <w:jc w:val="left"/>
              <w:outlineLvl w:val="9"/>
              <w:rPr>
                <w:rFonts w:hAnsi="Arial Unicode MS"/>
                <w:b/>
                <w:bCs/>
                <w:sz w:val="22"/>
                <w:szCs w:val="22"/>
                <w:lang w:val="en-US"/>
              </w:rPr>
            </w:pPr>
            <w:r w:rsidRPr="002F545B">
              <w:rPr>
                <w:rFonts w:hAnsi="Arial Unicode MS"/>
                <w:b/>
                <w:bCs/>
                <w:sz w:val="22"/>
                <w:szCs w:val="22"/>
                <w:lang w:val="en-US"/>
              </w:rPr>
              <w:t>Hydrogen production</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Coal, Coal with CCS, Natural gas, Natural gas with CCS, Biomass, Biomass with CCS</w:t>
            </w:r>
          </w:p>
        </w:tc>
      </w:tr>
      <w:tr w:rsidR="003B32CB" w:rsidRPr="00F32C66">
        <w:trPr>
          <w:cantSplit/>
          <w:trHeight w:val="349"/>
        </w:trPr>
        <w:tc>
          <w:tcPr>
            <w:tcW w:w="2977" w:type="dxa"/>
            <w:vMerge w:val="restart"/>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Industry</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Steel</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Large size coke oven, Coke gas recovery, Automatic combustion, Coke dry type quenching, Coal wet adjustment, COG latent heat recovery, Next generation coke oven, Automatic igniter, Cooler waste heat recovery, Mainly waste heat recovery, High-efficiency igniter, Blast furnace gas recovery, Blast furnace gas recovery with CCS, Wet top pressure recovery turbine, Dry top pressure recovery turbine, Heat recovery of hot blast stove, Coal injection, Dry top pressure gas recovery, LDG recovery, LDG latent heat recovery, Continuous caster, Hot charge rolling, Hot direct rolling, High-efficiency heating furnace, Heat furnace with regenerative burner, Continuous annealing lines, DC electric furnace, Scrap pre-heat</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Cement</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Ball mill, Tube mill, Vertical mill, Wet kiln, Semi wet/dry kiln, Dry long kiln, Vertical (Shaft) kiln, SP/NSP, Advanced kiln with CCS</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Other industries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boiler (coal, oil, gas), boiler with combustion control (coal, oil, gas), cogeneration (coal, oil, gas), Regenerative gas boiler, High-efficiency industrial furnace (oil, gas), Motor with inverter control, High-efficiency motor</w:t>
            </w:r>
          </w:p>
        </w:tc>
      </w:tr>
      <w:tr w:rsidR="003B32CB" w:rsidRPr="00F32C66">
        <w:trPr>
          <w:cantSplit/>
          <w:trHeight w:val="349"/>
        </w:trPr>
        <w:tc>
          <w:tcPr>
            <w:tcW w:w="2977" w:type="dxa"/>
            <w:vMerge w:val="restart"/>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Residential and Commercial</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Cooling</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468F2">
            <w:pPr>
              <w:pStyle w:val="Body1"/>
              <w:widowControl/>
              <w:jc w:val="left"/>
              <w:outlineLvl w:val="9"/>
              <w:rPr>
                <w:rFonts w:hAnsi="Arial Unicode MS"/>
                <w:sz w:val="22"/>
                <w:szCs w:val="22"/>
                <w:lang w:val="en-US" w:eastAsia="ja-JP"/>
              </w:rPr>
            </w:pPr>
            <w:r w:rsidRPr="00F32C66">
              <w:rPr>
                <w:rFonts w:hAnsi="Arial Unicode MS"/>
                <w:sz w:val="22"/>
                <w:szCs w:val="22"/>
                <w:lang w:val="en-US"/>
              </w:rPr>
              <w:t>High-efficiency cooler</w:t>
            </w:r>
            <w:r>
              <w:rPr>
                <w:rFonts w:hAnsi="Arial Unicode MS"/>
                <w:sz w:val="22"/>
                <w:szCs w:val="22"/>
                <w:lang w:val="en-US" w:eastAsia="ja-JP"/>
              </w:rPr>
              <w:t xml:space="preserve"> </w:t>
            </w:r>
            <w:r w:rsidRPr="005364A6">
              <w:rPr>
                <w:rFonts w:hAnsi="Arial Unicode MS"/>
                <w:sz w:val="22"/>
                <w:szCs w:val="22"/>
                <w:lang w:val="en-US" w:eastAsia="ja-JP"/>
              </w:rPr>
              <w:t>(Sold average in developed countries in 2000, Top Runner, Highest performance)</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Warming</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5364A6">
            <w:pPr>
              <w:pStyle w:val="Body1"/>
              <w:widowControl/>
              <w:jc w:val="left"/>
              <w:outlineLvl w:val="9"/>
              <w:rPr>
                <w:rFonts w:hAnsi="Arial Unicode MS"/>
                <w:sz w:val="22"/>
                <w:szCs w:val="22"/>
                <w:lang w:val="en-US"/>
              </w:rPr>
            </w:pPr>
            <w:r w:rsidRPr="00F32C66">
              <w:rPr>
                <w:rFonts w:hAnsi="Arial Unicode MS"/>
                <w:sz w:val="22"/>
                <w:szCs w:val="22"/>
                <w:lang w:val="en-US"/>
              </w:rPr>
              <w:t>High-efficiency kerosene stove, LPG stove, Gas stove, High-efficiency air conditioner</w:t>
            </w:r>
            <w:r>
              <w:rPr>
                <w:rFonts w:hAnsi="Arial Unicode MS"/>
                <w:sz w:val="22"/>
                <w:szCs w:val="22"/>
                <w:lang w:val="en-US" w:eastAsia="ja-JP"/>
              </w:rPr>
              <w:t xml:space="preserve"> </w:t>
            </w:r>
            <w:r w:rsidRPr="005364A6">
              <w:rPr>
                <w:rFonts w:hAnsi="Arial Unicode MS"/>
                <w:sz w:val="22"/>
                <w:szCs w:val="22"/>
                <w:lang w:val="en-US" w:eastAsia="ja-JP"/>
              </w:rPr>
              <w:t>(Sold average in developed countries in 2000, Top Runner, Highest performance)</w:t>
            </w:r>
            <w:r w:rsidRPr="00F32C66">
              <w:rPr>
                <w:rFonts w:hAnsi="Arial Unicode MS"/>
                <w:sz w:val="22"/>
                <w:szCs w:val="22"/>
                <w:lang w:val="en-US"/>
              </w:rPr>
              <w:t>, Wall insulation for detached house, Wall insulation, Double-glazed glass with low-e</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Hot water</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kerosene water heater, High-efficiency LPG water heater, Latent heat recovery LPG water heater</w:t>
            </w:r>
            <w:r>
              <w:rPr>
                <w:rFonts w:ascii="?????? ProN W3" w:hAnsi="Arial Unicode MS" w:cs="?????? ProN W3"/>
                <w:sz w:val="22"/>
                <w:szCs w:val="22"/>
              </w:rPr>
              <w:t xml:space="preserve">, </w:t>
            </w:r>
            <w:r w:rsidRPr="00F32C66">
              <w:rPr>
                <w:rFonts w:hAnsi="Arial Unicode MS"/>
                <w:sz w:val="22"/>
                <w:szCs w:val="22"/>
                <w:lang w:val="en-US"/>
              </w:rPr>
              <w:t>Latent heat recovery gas water heater, CO</w:t>
            </w:r>
            <w:r w:rsidRPr="004F6665">
              <w:rPr>
                <w:rFonts w:hAnsi="Arial Unicode MS"/>
                <w:sz w:val="22"/>
                <w:szCs w:val="22"/>
                <w:vertAlign w:val="subscript"/>
                <w:lang w:val="en-US"/>
              </w:rPr>
              <w:t>2</w:t>
            </w:r>
            <w:r w:rsidRPr="00F32C66">
              <w:rPr>
                <w:rFonts w:hAnsi="Arial Unicode MS"/>
                <w:sz w:val="22"/>
                <w:szCs w:val="22"/>
                <w:lang w:val="en-US"/>
              </w:rPr>
              <w:t xml:space="preserve"> </w:t>
            </w:r>
            <w:r w:rsidRPr="00F32C66">
              <w:rPr>
                <w:rFonts w:hAnsi="Arial Unicode MS"/>
                <w:sz w:val="22"/>
                <w:szCs w:val="22"/>
              </w:rPr>
              <w:t>r</w:t>
            </w:r>
            <w:r>
              <w:rPr>
                <w:rFonts w:hAnsi="Arial Unicode MS"/>
                <w:sz w:val="22"/>
                <w:szCs w:val="22"/>
                <w:lang w:val="en-US"/>
              </w:rPr>
              <w:t>efrigerant</w:t>
            </w:r>
            <w:r w:rsidRPr="00F32C66">
              <w:rPr>
                <w:rFonts w:hAnsi="Arial Unicode MS"/>
                <w:sz w:val="22"/>
                <w:szCs w:val="22"/>
                <w:lang w:val="en-US"/>
              </w:rPr>
              <w:t xml:space="preserve"> water heater, Solar thermal water heater, Fuel cell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Cooking</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 xml:space="preserve">High-efficiency gas cooking stove (LPG, Natural gas) </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Lighting</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Incandescent, Fluorescent of incandescent type, Fluorescent with energy saving stabilizer, Inverter type fluorescent, Hf Inverter type fluorescent</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4F6665" w:rsidRDefault="003B32CB" w:rsidP="004F6665">
            <w:pPr>
              <w:pStyle w:val="Body1"/>
              <w:jc w:val="left"/>
              <w:rPr>
                <w:sz w:val="22"/>
                <w:szCs w:val="22"/>
                <w:lang w:val="en-US"/>
              </w:rPr>
            </w:pPr>
            <w:r w:rsidRPr="00F32C66">
              <w:rPr>
                <w:rFonts w:hAnsi="Arial Unicode MS"/>
                <w:sz w:val="22"/>
                <w:szCs w:val="22"/>
                <w:lang w:val="en-US"/>
              </w:rPr>
              <w:t>Refrigerators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468F2">
            <w:pPr>
              <w:pStyle w:val="Body1"/>
              <w:widowControl/>
              <w:jc w:val="left"/>
              <w:outlineLvl w:val="9"/>
              <w:rPr>
                <w:rFonts w:hAnsi="Arial Unicode MS"/>
                <w:b/>
                <w:bCs/>
                <w:sz w:val="22"/>
                <w:szCs w:val="22"/>
                <w:lang w:val="en-US"/>
              </w:rPr>
            </w:pPr>
            <w:r w:rsidRPr="00F32C66">
              <w:rPr>
                <w:rFonts w:hAnsi="Arial Unicode MS"/>
                <w:sz w:val="22"/>
                <w:szCs w:val="22"/>
                <w:lang w:val="en-US"/>
              </w:rPr>
              <w:t>High-efficiency refrigerator</w:t>
            </w:r>
            <w:r>
              <w:rPr>
                <w:rFonts w:hAnsi="Arial Unicode MS"/>
                <w:sz w:val="22"/>
                <w:szCs w:val="22"/>
                <w:lang w:val="en-US" w:eastAsia="ja-JP"/>
              </w:rPr>
              <w:t xml:space="preserve"> </w:t>
            </w:r>
            <w:r w:rsidRPr="005364A6">
              <w:rPr>
                <w:rFonts w:hAnsi="Arial Unicode MS"/>
                <w:sz w:val="22"/>
                <w:szCs w:val="22"/>
                <w:lang w:val="en-US" w:eastAsia="ja-JP"/>
              </w:rPr>
              <w:t>(Sold average in developed countries in 2000, Top Runner, Highest performance)</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TV</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468F2">
            <w:pPr>
              <w:pStyle w:val="Body1"/>
              <w:widowControl/>
              <w:jc w:val="left"/>
              <w:outlineLvl w:val="9"/>
              <w:rPr>
                <w:rFonts w:hAnsi="Arial Unicode MS"/>
                <w:sz w:val="22"/>
                <w:szCs w:val="22"/>
                <w:lang w:val="en-US"/>
              </w:rPr>
            </w:pPr>
            <w:r>
              <w:rPr>
                <w:rFonts w:hAnsi="Arial Unicode MS"/>
                <w:sz w:val="22"/>
                <w:szCs w:val="22"/>
                <w:lang w:val="en-US"/>
              </w:rPr>
              <w:t>High-efficiency TV</w:t>
            </w:r>
            <w:r>
              <w:rPr>
                <w:rFonts w:hAnsi="Arial Unicode MS"/>
                <w:sz w:val="22"/>
                <w:szCs w:val="22"/>
                <w:lang w:val="en-US" w:eastAsia="ja-JP"/>
              </w:rPr>
              <w:t xml:space="preserve"> </w:t>
            </w:r>
            <w:r w:rsidRPr="005364A6">
              <w:rPr>
                <w:rFonts w:hAnsi="Arial Unicode MS"/>
                <w:sz w:val="22"/>
                <w:szCs w:val="22"/>
                <w:lang w:val="en-US" w:eastAsia="ja-JP"/>
              </w:rPr>
              <w:t>(Sold average in developed countries in 2000, Top Runner, Highest performance)</w:t>
            </w:r>
            <w:r w:rsidRPr="00F32C66">
              <w:rPr>
                <w:rFonts w:hAnsi="Arial Unicode MS"/>
                <w:sz w:val="22"/>
                <w:szCs w:val="22"/>
                <w:lang w:val="en-US"/>
              </w:rPr>
              <w:t>, TV (Liquid crystal display)</w:t>
            </w:r>
          </w:p>
        </w:tc>
      </w:tr>
      <w:tr w:rsidR="003B32CB" w:rsidRPr="00F32C66">
        <w:trPr>
          <w:cantSplit/>
          <w:trHeight w:val="349"/>
        </w:trPr>
        <w:tc>
          <w:tcPr>
            <w:tcW w:w="2977" w:type="dxa"/>
            <w:vMerge w:val="restart"/>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Transport</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Passenger cars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passenger car, Weight reduction, Engine friction reduction, Aerodynamic drag reduction, Rolling resistance reduction, Brake drag reduction, Continuously variable transmission, VVLT &amp; cylinder reactivation, GDI engine, Hybrid electric vehicle (HEV), Electric vehicle (EV), Fuel cell vehicle (FCV), Biofuel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Trucks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truck, Engine improvement, Weight reduction, Aerodynamic drag reduction, Rolling resistance reduction, Natural gas vehicle, Hybrid vehicle, Fuel cell vehicle, Biofuel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Passenger buses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bus, Rolling resistance reduction for bus, Hybrid engine, Biofuel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Ships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ship, Biofuel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Aircraft</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High-efficiency aircraft, Biofuel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Railways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2F545B" w:rsidRDefault="003B32CB" w:rsidP="004F6665">
            <w:pPr>
              <w:pStyle w:val="Body1"/>
              <w:widowControl/>
              <w:jc w:val="left"/>
              <w:outlineLvl w:val="9"/>
              <w:rPr>
                <w:rFonts w:ascii="?????? ProN W3" w:hAnsi="Arial Unicode MS"/>
                <w:sz w:val="22"/>
                <w:szCs w:val="22"/>
                <w:lang w:val="en-US" w:eastAsia="ja-JP"/>
              </w:rPr>
            </w:pPr>
            <w:r w:rsidRPr="00F32C66">
              <w:rPr>
                <w:rFonts w:hAnsi="Arial Unicode MS"/>
                <w:sz w:val="22"/>
                <w:szCs w:val="22"/>
                <w:lang w:val="en-US"/>
              </w:rPr>
              <w:t>High-efficiency train, Regenerative braking system with VVVF</w:t>
            </w:r>
          </w:p>
        </w:tc>
      </w:tr>
      <w:tr w:rsidR="003B32CB" w:rsidRPr="00F32C66">
        <w:trPr>
          <w:cantSplit/>
          <w:trHeight w:val="349"/>
        </w:trPr>
        <w:tc>
          <w:tcPr>
            <w:tcW w:w="2977" w:type="dxa"/>
            <w:vMerge w:val="restart"/>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Agriculture</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Rice cultivation</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Water management (Midseason drainage, Shallow flooding, Alternative flooding/Drainage), Fertilizer management (ammonium sulphate), Upland rice, Addition of phosphogypsum</w:t>
            </w:r>
            <w:r>
              <w:rPr>
                <w:rFonts w:ascii="?????? ProN W3" w:hAnsi="Arial Unicode MS" w:cs="?????? ProN W3"/>
                <w:sz w:val="22"/>
                <w:szCs w:val="22"/>
              </w:rPr>
              <w:t xml:space="preserve">, </w:t>
            </w:r>
            <w:r w:rsidRPr="00F32C66">
              <w:rPr>
                <w:rFonts w:hAnsi="Arial Unicode MS"/>
                <w:sz w:val="22"/>
                <w:szCs w:val="22"/>
                <w:lang w:val="en-US"/>
              </w:rPr>
              <w:t>Direct wet seeding, Off-season straw, Rice straw compost</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Cropland</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Reduced fertilization, Nitrogen inhibitor</w:t>
            </w:r>
            <w:r>
              <w:rPr>
                <w:rFonts w:ascii="?????? ProN W3" w:hAnsi="Arial Unicode MS" w:cs="?????? ProN W3"/>
                <w:sz w:val="22"/>
                <w:szCs w:val="22"/>
              </w:rPr>
              <w:t xml:space="preserve">, </w:t>
            </w:r>
            <w:r w:rsidRPr="00F32C66">
              <w:rPr>
                <w:rFonts w:hAnsi="Arial Unicode MS"/>
                <w:sz w:val="22"/>
                <w:szCs w:val="22"/>
                <w:lang w:val="en-US"/>
              </w:rPr>
              <w:t>Fertilizer free zone, Optimized distribution geometry, fertilization management (Spreader maintenance, Split fertilization, Sub-optimal fertilizer application), Conversion of fertilization tillage to no-till</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4F6665" w:rsidRDefault="003B32CB" w:rsidP="004F6665">
            <w:pPr>
              <w:pStyle w:val="Body1"/>
              <w:jc w:val="left"/>
              <w:rPr>
                <w:sz w:val="22"/>
                <w:szCs w:val="22"/>
                <w:lang w:val="en-US"/>
              </w:rPr>
            </w:pPr>
            <w:r w:rsidRPr="00F32C66">
              <w:rPr>
                <w:rFonts w:hAnsi="Arial Unicode MS"/>
                <w:sz w:val="22"/>
                <w:szCs w:val="22"/>
                <w:lang w:val="en-US"/>
              </w:rPr>
              <w:t>Mature management</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Anaerobic digestion (Centralized plant, Farmscale plant), Covered digester, Covered lagoon</w:t>
            </w:r>
            <w:r>
              <w:rPr>
                <w:rFonts w:ascii="?????? ProN W3" w:hAnsi="Arial Unicode MS" w:cs="?????? ProN W3"/>
                <w:sz w:val="22"/>
                <w:szCs w:val="22"/>
              </w:rPr>
              <w:t xml:space="preserve">, </w:t>
            </w:r>
            <w:r w:rsidRPr="00F32C66">
              <w:rPr>
                <w:rFonts w:hAnsi="Arial Unicode MS"/>
                <w:sz w:val="22"/>
                <w:szCs w:val="22"/>
                <w:lang w:val="en-US"/>
              </w:rPr>
              <w:t>daily spread of manure, Complete mix digester, Plug flow digester, Slowing down of anaerobic decomposition</w:t>
            </w:r>
          </w:p>
        </w:tc>
      </w:tr>
      <w:tr w:rsidR="003B32CB" w:rsidRPr="00F32C66">
        <w:trPr>
          <w:cantSplit/>
          <w:trHeight w:val="349"/>
        </w:trPr>
        <w:tc>
          <w:tcPr>
            <w:tcW w:w="2977" w:type="dxa"/>
            <w:vMerge/>
            <w:tcBorders>
              <w:top w:val="single" w:sz="8" w:space="0" w:color="000000"/>
              <w:left w:val="single" w:sz="8" w:space="0" w:color="FFFFFF"/>
              <w:bottom w:val="single" w:sz="8"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Livestock rumination</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Administration of chemical substances (Propionate precursors</w:t>
            </w:r>
            <w:r>
              <w:rPr>
                <w:rFonts w:ascii="?????? ProN W3" w:hAnsi="Arial Unicode MS" w:cs="?????? ProN W3"/>
                <w:sz w:val="22"/>
                <w:szCs w:val="22"/>
              </w:rPr>
              <w:t xml:space="preserve">, </w:t>
            </w:r>
            <w:r w:rsidRPr="00F32C66">
              <w:rPr>
                <w:rFonts w:hAnsi="Arial Unicode MS"/>
                <w:sz w:val="22"/>
                <w:szCs w:val="22"/>
                <w:lang w:val="en-US"/>
              </w:rPr>
              <w:t>Prebiotics), Feed management (High fat diet, Improved feed intake and genetics, Replacement of roughage with concentrates)</w:t>
            </w:r>
          </w:p>
        </w:tc>
      </w:tr>
      <w:tr w:rsidR="003B32CB" w:rsidRPr="00F32C66">
        <w:trPr>
          <w:cantSplit/>
          <w:trHeight w:val="349"/>
        </w:trPr>
        <w:tc>
          <w:tcPr>
            <w:tcW w:w="2977"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Waste</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Municipal solid waste</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Biological treatment, Improved oxidation through improved capping and restoration, Direct use of landfill gas, Electricity and heat generation from landfill gas, Flaring of landfill gas, Upgrading of natural gas, Anaerobic digestion, Composting (Windrow plant, Tunnel plant, Hall plant), Incineration, Paper recycling</w:t>
            </w:r>
          </w:p>
        </w:tc>
      </w:tr>
      <w:tr w:rsidR="003B32CB" w:rsidRPr="00F32C66">
        <w:trPr>
          <w:cantSplit/>
          <w:trHeight w:val="349"/>
        </w:trPr>
        <w:tc>
          <w:tcPr>
            <w:tcW w:w="2977" w:type="dxa"/>
            <w:vMerge w:val="restart"/>
            <w:tcBorders>
              <w:top w:val="single" w:sz="8" w:space="0" w:color="000000"/>
              <w:left w:val="single" w:sz="8" w:space="0" w:color="FFFFFF"/>
              <w:bottom w:val="single" w:sz="12" w:space="0" w:color="000000"/>
              <w:right w:val="single" w:sz="8" w:space="0" w:color="FFFFFF"/>
            </w:tcBorders>
            <w:shd w:val="clear" w:color="auto" w:fill="FFFFFF"/>
            <w:tcMar>
              <w:top w:w="80" w:type="dxa"/>
              <w:left w:w="0" w:type="dxa"/>
              <w:bottom w:w="80" w:type="dxa"/>
              <w:right w:w="0" w:type="dxa"/>
            </w:tcMar>
            <w:vAlign w:val="center"/>
          </w:tcPr>
          <w:p w:rsidR="003B32CB" w:rsidRPr="005364A6" w:rsidRDefault="003B32CB" w:rsidP="004F6665">
            <w:pPr>
              <w:pStyle w:val="Body1"/>
              <w:widowControl/>
              <w:jc w:val="left"/>
              <w:outlineLvl w:val="9"/>
              <w:rPr>
                <w:rFonts w:hAnsi="Arial Unicode MS"/>
                <w:b/>
                <w:bCs/>
                <w:sz w:val="22"/>
                <w:szCs w:val="22"/>
                <w:lang w:val="en-US"/>
              </w:rPr>
            </w:pPr>
            <w:r w:rsidRPr="005364A6">
              <w:rPr>
                <w:rFonts w:hAnsi="Arial Unicode MS"/>
                <w:b/>
                <w:bCs/>
                <w:sz w:val="22"/>
                <w:szCs w:val="22"/>
                <w:lang w:val="en-US"/>
              </w:rPr>
              <w:t>Fluorinated gas emissions</w:t>
            </w: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By-product emissions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Thermal oxidation</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4F6665" w:rsidRDefault="003B32CB" w:rsidP="004F6665">
            <w:pPr>
              <w:pStyle w:val="Body1"/>
              <w:jc w:val="left"/>
              <w:rPr>
                <w:sz w:val="22"/>
                <w:szCs w:val="22"/>
                <w:lang w:val="en-US"/>
              </w:rPr>
            </w:pPr>
            <w:r w:rsidRPr="00F32C66">
              <w:rPr>
                <w:rFonts w:hAnsi="Arial Unicode MS"/>
                <w:sz w:val="22"/>
                <w:szCs w:val="22"/>
                <w:lang w:val="en-US"/>
              </w:rPr>
              <w:t>Refrigerants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Alternative systems (</w:t>
            </w:r>
            <w:r w:rsidRPr="004F6665">
              <w:rPr>
                <w:rFonts w:hAnsi="Arial Unicode MS"/>
                <w:sz w:val="22"/>
                <w:szCs w:val="22"/>
                <w:lang w:val="en-US"/>
              </w:rPr>
              <w:t>CO</w:t>
            </w:r>
            <w:r w:rsidRPr="004F6665">
              <w:rPr>
                <w:rFonts w:hAnsi="Arial Unicode MS"/>
                <w:sz w:val="22"/>
                <w:szCs w:val="22"/>
                <w:vertAlign w:val="subscript"/>
                <w:lang w:val="en-US"/>
              </w:rPr>
              <w:t>2</w:t>
            </w:r>
            <w:r w:rsidRPr="00F32C66">
              <w:rPr>
                <w:rFonts w:hAnsi="Arial Unicode MS"/>
                <w:sz w:val="22"/>
                <w:szCs w:val="22"/>
                <w:lang w:val="en-US"/>
              </w:rPr>
              <w:t>, Hydrocarbons, Hydrocarbons &amp; NH</w:t>
            </w:r>
            <w:r w:rsidRPr="00F32C66">
              <w:rPr>
                <w:rFonts w:hAnsi="Arial Unicode MS"/>
                <w:sz w:val="22"/>
                <w:szCs w:val="22"/>
                <w:vertAlign w:val="subscript"/>
                <w:lang w:val="en-US"/>
              </w:rPr>
              <w:t>3</w:t>
            </w:r>
            <w:r w:rsidRPr="00F32C66">
              <w:rPr>
                <w:rFonts w:hAnsi="Arial Unicode MS"/>
                <w:sz w:val="22"/>
                <w:szCs w:val="22"/>
                <w:lang w:val="en-US"/>
              </w:rPr>
              <w:t>), Leakage reduction, Recovery, Decomposition</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Aerosols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Alternative aerosols (Hydrocarbon aerosol propellants, Not-in-kind alternatives), 50% reduction (for Medical applications, General aerosol propellants)</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Foam blowing agents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Recovery</w:t>
            </w:r>
            <w:r>
              <w:rPr>
                <w:rFonts w:ascii="?????? ProN W3" w:hAnsi="Arial Unicode MS" w:cs="?????? ProN W3"/>
                <w:sz w:val="22"/>
                <w:szCs w:val="22"/>
              </w:rPr>
              <w:t xml:space="preserve">, </w:t>
            </w:r>
            <w:r w:rsidRPr="00F32C66">
              <w:rPr>
                <w:rFonts w:hAnsi="Arial Unicode MS"/>
                <w:sz w:val="22"/>
                <w:szCs w:val="22"/>
                <w:lang w:val="en-US"/>
              </w:rPr>
              <w:t>Decomposition</w:t>
            </w:r>
            <w:r>
              <w:rPr>
                <w:rFonts w:ascii="?????? ProN W3" w:hAnsi="Arial Unicode MS" w:cs="?????? ProN W3"/>
                <w:sz w:val="22"/>
                <w:szCs w:val="22"/>
              </w:rPr>
              <w:t xml:space="preserve">, </w:t>
            </w:r>
            <w:r w:rsidRPr="00F32C66">
              <w:rPr>
                <w:rFonts w:hAnsi="Arial Unicode MS"/>
                <w:sz w:val="22"/>
                <w:szCs w:val="22"/>
                <w:lang w:val="en-US"/>
              </w:rPr>
              <w:t>Alternative systems (Water-blown CO</w:t>
            </w:r>
            <w:r w:rsidRPr="00F32C66">
              <w:rPr>
                <w:rFonts w:hAnsi="Arial Unicode MS"/>
                <w:sz w:val="22"/>
                <w:szCs w:val="22"/>
                <w:vertAlign w:val="subscript"/>
                <w:lang w:val="en-US"/>
              </w:rPr>
              <w:t>2</w:t>
            </w:r>
            <w:r w:rsidRPr="00F32C66">
              <w:rPr>
                <w:rFonts w:hAnsi="Arial Unicode MS"/>
                <w:sz w:val="22"/>
                <w:szCs w:val="22"/>
                <w:lang w:val="en-US"/>
              </w:rPr>
              <w:t xml:space="preserve"> systems, Liquid CO</w:t>
            </w:r>
            <w:r w:rsidRPr="00F32C66">
              <w:rPr>
                <w:rFonts w:hAnsi="Arial Unicode MS"/>
                <w:sz w:val="22"/>
                <w:szCs w:val="22"/>
                <w:vertAlign w:val="subscript"/>
                <w:lang w:val="en-US"/>
              </w:rPr>
              <w:t>2</w:t>
            </w:r>
            <w:r w:rsidRPr="00F32C66">
              <w:rPr>
                <w:rFonts w:hAnsi="Arial Unicode MS"/>
                <w:sz w:val="22"/>
                <w:szCs w:val="22"/>
                <w:lang w:val="en-US"/>
              </w:rPr>
              <w:t xml:space="preserve"> foam blowing, Hydrocarbon foam blowing) </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Solvents</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Alternative solvents (NIK aqueous, NIK semi-aqueous), Retrofit options, 50% reduction</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4F6665" w:rsidRDefault="003B32CB" w:rsidP="004F6665">
            <w:pPr>
              <w:pStyle w:val="Body1"/>
              <w:jc w:val="left"/>
              <w:rPr>
                <w:sz w:val="22"/>
                <w:szCs w:val="22"/>
                <w:lang w:val="en-US"/>
              </w:rPr>
            </w:pPr>
            <w:r w:rsidRPr="00F32C66">
              <w:rPr>
                <w:rFonts w:hAnsi="Arial Unicode MS"/>
                <w:sz w:val="22"/>
                <w:szCs w:val="22"/>
                <w:lang w:val="en-US"/>
              </w:rPr>
              <w:t>Manufacturing</w:t>
            </w:r>
          </w:p>
        </w:tc>
        <w:tc>
          <w:tcPr>
            <w:tcW w:w="9072" w:type="dxa"/>
            <w:tcBorders>
              <w:top w:val="single" w:sz="8" w:space="0" w:color="000000"/>
              <w:left w:val="single" w:sz="8" w:space="0" w:color="FFFFFF"/>
              <w:bottom w:val="single" w:sz="8"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Cleaning facility (NF</w:t>
            </w:r>
            <w:r w:rsidRPr="00F32C66">
              <w:rPr>
                <w:rFonts w:hAnsi="Arial Unicode MS"/>
                <w:sz w:val="22"/>
                <w:szCs w:val="22"/>
                <w:vertAlign w:val="subscript"/>
                <w:lang w:val="en-US"/>
              </w:rPr>
              <w:t>3</w:t>
            </w:r>
            <w:r w:rsidRPr="00F32C66">
              <w:rPr>
                <w:rFonts w:hAnsi="Arial Unicode MS"/>
                <w:sz w:val="22"/>
                <w:szCs w:val="22"/>
                <w:lang w:val="en-US"/>
              </w:rPr>
              <w:t xml:space="preserve"> </w:t>
            </w:r>
            <w:r w:rsidRPr="005364A6">
              <w:rPr>
                <w:rFonts w:hAnsi="Arial Unicode MS"/>
                <w:i/>
                <w:iCs/>
                <w:sz w:val="22"/>
                <w:szCs w:val="22"/>
                <w:lang w:val="en-US"/>
              </w:rPr>
              <w:t>in situ</w:t>
            </w:r>
            <w:r w:rsidRPr="00F32C66">
              <w:rPr>
                <w:rFonts w:hAnsi="Arial Unicode MS"/>
                <w:sz w:val="22"/>
                <w:szCs w:val="22"/>
                <w:lang w:val="en-US"/>
              </w:rPr>
              <w:t xml:space="preserve"> clean, NF</w:t>
            </w:r>
            <w:r w:rsidRPr="00F32C66">
              <w:rPr>
                <w:rFonts w:hAnsi="Arial Unicode MS"/>
                <w:sz w:val="22"/>
                <w:szCs w:val="22"/>
                <w:vertAlign w:val="subscript"/>
                <w:lang w:val="en-US"/>
              </w:rPr>
              <w:t>3</w:t>
            </w:r>
            <w:r w:rsidRPr="00F32C66">
              <w:rPr>
                <w:rFonts w:hAnsi="Arial Unicode MS"/>
                <w:sz w:val="22"/>
                <w:szCs w:val="22"/>
                <w:lang w:val="en-US"/>
              </w:rPr>
              <w:t xml:space="preserve"> remote clean), Recapture/Destroy, Plasma abatement, Catalytic destruction, Thermal oxidation, Retrofitting (PFPB, SWPB, CWPB, VSS, HSS), SO</w:t>
            </w:r>
            <w:r w:rsidRPr="00F32C66">
              <w:rPr>
                <w:rFonts w:hAnsi="Arial Unicode MS"/>
                <w:sz w:val="22"/>
                <w:szCs w:val="22"/>
                <w:vertAlign w:val="subscript"/>
                <w:lang w:val="en-US"/>
              </w:rPr>
              <w:t>2</w:t>
            </w:r>
            <w:r w:rsidRPr="00F32C66">
              <w:rPr>
                <w:rFonts w:hAnsi="Arial Unicode MS"/>
                <w:sz w:val="22"/>
                <w:szCs w:val="22"/>
                <w:lang w:val="en-US"/>
              </w:rPr>
              <w:t xml:space="preserve"> replacement</w:t>
            </w:r>
          </w:p>
        </w:tc>
      </w:tr>
      <w:tr w:rsidR="003B32CB" w:rsidRPr="00F32C66">
        <w:trPr>
          <w:cantSplit/>
          <w:trHeight w:val="349"/>
        </w:trPr>
        <w:tc>
          <w:tcPr>
            <w:tcW w:w="2977" w:type="dxa"/>
            <w:vMerge/>
            <w:tcBorders>
              <w:top w:val="single" w:sz="8" w:space="0" w:color="000000"/>
              <w:left w:val="single" w:sz="8" w:space="0" w:color="FFFFFF"/>
              <w:bottom w:val="single" w:sz="12" w:space="0" w:color="000000"/>
              <w:right w:val="single" w:sz="8" w:space="0" w:color="FFFFFF"/>
            </w:tcBorders>
            <w:shd w:val="clear" w:color="auto" w:fill="FFFFFF"/>
            <w:vAlign w:val="center"/>
          </w:tcPr>
          <w:p w:rsidR="003B32CB" w:rsidRPr="00F32C66" w:rsidRDefault="003B32CB" w:rsidP="004F6665">
            <w:pPr>
              <w:rPr>
                <w:rFonts w:ascii="Helvetica" w:eastAsia="MS PGothic" w:hAnsi="Helvetica"/>
                <w:color w:val="000000"/>
                <w:sz w:val="30"/>
                <w:szCs w:val="30"/>
              </w:rPr>
            </w:pPr>
          </w:p>
        </w:tc>
        <w:tc>
          <w:tcPr>
            <w:tcW w:w="2835" w:type="dxa"/>
            <w:tcBorders>
              <w:top w:val="single" w:sz="8" w:space="0" w:color="000000"/>
              <w:left w:val="single" w:sz="8" w:space="0" w:color="FFFFFF"/>
              <w:bottom w:val="single" w:sz="12"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Electrical equipment</w:t>
            </w:r>
          </w:p>
        </w:tc>
        <w:tc>
          <w:tcPr>
            <w:tcW w:w="9072" w:type="dxa"/>
            <w:tcBorders>
              <w:top w:val="single" w:sz="8" w:space="0" w:color="000000"/>
              <w:left w:val="single" w:sz="8" w:space="0" w:color="FFFFFF"/>
              <w:bottom w:val="single" w:sz="12" w:space="0" w:color="000000"/>
              <w:right w:val="single" w:sz="8" w:space="0" w:color="FFFFFF"/>
            </w:tcBorders>
            <w:shd w:val="clear" w:color="auto" w:fill="FFFFFF"/>
            <w:tcMar>
              <w:top w:w="80" w:type="dxa"/>
              <w:left w:w="0" w:type="dxa"/>
              <w:bottom w:w="80" w:type="dxa"/>
              <w:right w:w="0" w:type="dxa"/>
            </w:tcMar>
            <w:vAlign w:val="center"/>
          </w:tcPr>
          <w:p w:rsidR="003B32CB" w:rsidRPr="00F32C66" w:rsidRDefault="003B32CB" w:rsidP="004F6665">
            <w:pPr>
              <w:pStyle w:val="Body1"/>
              <w:widowControl/>
              <w:jc w:val="left"/>
              <w:outlineLvl w:val="9"/>
              <w:rPr>
                <w:rFonts w:hAnsi="Arial Unicode MS"/>
                <w:sz w:val="22"/>
                <w:szCs w:val="22"/>
                <w:lang w:val="en-US"/>
              </w:rPr>
            </w:pPr>
            <w:r w:rsidRPr="00F32C66">
              <w:rPr>
                <w:rFonts w:hAnsi="Arial Unicode MS"/>
                <w:sz w:val="22"/>
                <w:szCs w:val="22"/>
                <w:lang w:val="en-US"/>
              </w:rPr>
              <w:t>Leakage reduction, Device recycling</w:t>
            </w:r>
          </w:p>
        </w:tc>
      </w:tr>
    </w:tbl>
    <w:p w:rsidR="003B32CB" w:rsidRDefault="003B32CB"/>
    <w:p w:rsidR="003B32CB" w:rsidRPr="005364A6" w:rsidRDefault="003B32CB">
      <w:pPr>
        <w:rPr>
          <w:sz w:val="22"/>
          <w:szCs w:val="22"/>
          <w:lang w:eastAsia="ja-JP"/>
        </w:rPr>
      </w:pPr>
      <w:r>
        <w:t xml:space="preserve">Note: </w:t>
      </w:r>
      <w:r>
        <w:rPr>
          <w:sz w:val="22"/>
          <w:szCs w:val="22"/>
        </w:rPr>
        <w:t>*Only extant and promising technologies were used in the model.</w:t>
      </w:r>
      <w:r>
        <w:rPr>
          <w:sz w:val="22"/>
          <w:szCs w:val="22"/>
          <w:lang w:eastAsia="ja-JP"/>
        </w:rPr>
        <w:t xml:space="preserve"> </w:t>
      </w:r>
    </w:p>
    <w:p w:rsidR="003B32CB" w:rsidRPr="005364A6" w:rsidRDefault="003B32CB">
      <w:pPr>
        <w:rPr>
          <w:lang w:eastAsia="ja-JP"/>
        </w:rPr>
      </w:pPr>
    </w:p>
    <w:sectPr w:rsidR="003B32CB" w:rsidRPr="005364A6" w:rsidSect="004F6665">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2CB" w:rsidRDefault="003B32CB" w:rsidP="005364A6">
      <w:r>
        <w:separator/>
      </w:r>
    </w:p>
  </w:endnote>
  <w:endnote w:type="continuationSeparator" w:id="0">
    <w:p w:rsidR="003B32CB" w:rsidRDefault="003B32CB" w:rsidP="005364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l?r ??fc"/>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A00002BF" w:usb1="68C7FCFB" w:usb2="00000010" w:usb3="00000000" w:csb0="0002009F" w:csb1="00000000"/>
  </w:font>
  <w:font w:name="Helvetica">
    <w:panose1 w:val="00000400000000000000"/>
    <w:charset w:val="00"/>
    <w:family w:val="swiss"/>
    <w:pitch w:val="variable"/>
    <w:sig w:usb0="20002A87" w:usb1="00000000" w:usb2="00000000" w:usb3="00000000" w:csb0="000001FF" w:csb1="00000000"/>
  </w:font>
  <w:font w:name="?????? ProN W3">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2CB" w:rsidRDefault="003B32CB" w:rsidP="005364A6">
      <w:r>
        <w:separator/>
      </w:r>
    </w:p>
  </w:footnote>
  <w:footnote w:type="continuationSeparator" w:id="0">
    <w:p w:rsidR="003B32CB" w:rsidRDefault="003B32CB" w:rsidP="005364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doNotHyphenateCap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6665"/>
    <w:rsid w:val="00087483"/>
    <w:rsid w:val="00114960"/>
    <w:rsid w:val="0012146E"/>
    <w:rsid w:val="001C3D67"/>
    <w:rsid w:val="00200D02"/>
    <w:rsid w:val="002F545B"/>
    <w:rsid w:val="003906C1"/>
    <w:rsid w:val="003B32CB"/>
    <w:rsid w:val="004468F2"/>
    <w:rsid w:val="004B78E0"/>
    <w:rsid w:val="004F6665"/>
    <w:rsid w:val="005364A6"/>
    <w:rsid w:val="00621D27"/>
    <w:rsid w:val="0067426E"/>
    <w:rsid w:val="008126CD"/>
    <w:rsid w:val="00916005"/>
    <w:rsid w:val="00C359BB"/>
    <w:rsid w:val="00D27AA4"/>
    <w:rsid w:val="00D753AA"/>
    <w:rsid w:val="00F32C6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Mincho"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665"/>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uiPriority w:val="99"/>
    <w:rsid w:val="004F6665"/>
    <w:pPr>
      <w:widowControl w:val="0"/>
      <w:jc w:val="both"/>
      <w:outlineLvl w:val="0"/>
    </w:pPr>
    <w:rPr>
      <w:rFonts w:ascii="Times New Roman" w:eastAsia="Arial Unicode MS" w:hAnsi="Times New Roman"/>
      <w:color w:val="000000"/>
      <w:kern w:val="2"/>
      <w:sz w:val="21"/>
      <w:szCs w:val="21"/>
      <w:u w:color="000000"/>
      <w:lang w:val="en-GB" w:eastAsia="en-GB"/>
    </w:rPr>
  </w:style>
  <w:style w:type="paragraph" w:styleId="BalloonText">
    <w:name w:val="Balloon Text"/>
    <w:basedOn w:val="Normal"/>
    <w:link w:val="BalloonTextChar"/>
    <w:uiPriority w:val="99"/>
    <w:semiHidden/>
    <w:rsid w:val="004F666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6665"/>
    <w:rPr>
      <w:rFonts w:ascii="Tahoma" w:hAnsi="Tahoma" w:cs="Tahoma"/>
      <w:sz w:val="16"/>
      <w:szCs w:val="16"/>
      <w:lang w:val="en-US"/>
    </w:rPr>
  </w:style>
  <w:style w:type="character" w:styleId="CommentReference">
    <w:name w:val="annotation reference"/>
    <w:basedOn w:val="DefaultParagraphFont"/>
    <w:uiPriority w:val="99"/>
    <w:semiHidden/>
    <w:rsid w:val="004F6665"/>
    <w:rPr>
      <w:sz w:val="16"/>
      <w:szCs w:val="16"/>
    </w:rPr>
  </w:style>
  <w:style w:type="paragraph" w:styleId="CommentText">
    <w:name w:val="annotation text"/>
    <w:basedOn w:val="Normal"/>
    <w:link w:val="CommentTextChar"/>
    <w:uiPriority w:val="99"/>
    <w:semiHidden/>
    <w:rsid w:val="004F6665"/>
    <w:rPr>
      <w:sz w:val="20"/>
      <w:szCs w:val="20"/>
    </w:rPr>
  </w:style>
  <w:style w:type="character" w:customStyle="1" w:styleId="CommentTextChar">
    <w:name w:val="Comment Text Char"/>
    <w:basedOn w:val="DefaultParagraphFont"/>
    <w:link w:val="CommentText"/>
    <w:uiPriority w:val="99"/>
    <w:semiHidden/>
    <w:locked/>
    <w:rsid w:val="004F6665"/>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rsid w:val="004F6665"/>
    <w:rPr>
      <w:b/>
      <w:bCs/>
    </w:rPr>
  </w:style>
  <w:style w:type="character" w:customStyle="1" w:styleId="CommentSubjectChar">
    <w:name w:val="Comment Subject Char"/>
    <w:basedOn w:val="CommentTextChar"/>
    <w:link w:val="CommentSubject"/>
    <w:uiPriority w:val="99"/>
    <w:semiHidden/>
    <w:locked/>
    <w:rsid w:val="004F6665"/>
    <w:rPr>
      <w:b/>
      <w:bCs/>
    </w:rPr>
  </w:style>
  <w:style w:type="table" w:styleId="TableGrid">
    <w:name w:val="Table Grid"/>
    <w:basedOn w:val="TableNormal"/>
    <w:uiPriority w:val="99"/>
    <w:rsid w:val="00C359B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364A6"/>
    <w:pPr>
      <w:tabs>
        <w:tab w:val="center" w:pos="4252"/>
        <w:tab w:val="right" w:pos="8504"/>
      </w:tabs>
      <w:snapToGrid w:val="0"/>
    </w:pPr>
  </w:style>
  <w:style w:type="character" w:customStyle="1" w:styleId="HeaderChar">
    <w:name w:val="Header Char"/>
    <w:basedOn w:val="DefaultParagraphFont"/>
    <w:link w:val="Header"/>
    <w:uiPriority w:val="99"/>
    <w:locked/>
    <w:rsid w:val="005364A6"/>
    <w:rPr>
      <w:rFonts w:ascii="Times New Roman" w:hAnsi="Times New Roman" w:cs="Times New Roman"/>
      <w:sz w:val="24"/>
      <w:szCs w:val="24"/>
      <w:lang w:val="en-US"/>
    </w:rPr>
  </w:style>
  <w:style w:type="paragraph" w:styleId="Footer">
    <w:name w:val="footer"/>
    <w:basedOn w:val="Normal"/>
    <w:link w:val="FooterChar"/>
    <w:uiPriority w:val="99"/>
    <w:rsid w:val="005364A6"/>
    <w:pPr>
      <w:tabs>
        <w:tab w:val="center" w:pos="4252"/>
        <w:tab w:val="right" w:pos="8504"/>
      </w:tabs>
      <w:snapToGrid w:val="0"/>
    </w:pPr>
  </w:style>
  <w:style w:type="character" w:customStyle="1" w:styleId="FooterChar">
    <w:name w:val="Footer Char"/>
    <w:basedOn w:val="DefaultParagraphFont"/>
    <w:link w:val="Footer"/>
    <w:uiPriority w:val="99"/>
    <w:locked/>
    <w:rsid w:val="005364A6"/>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59</TotalTime>
  <Pages>3</Pages>
  <Words>939</Words>
  <Characters>5357</Characters>
  <Application>Microsoft Office Outlook</Application>
  <DocSecurity>0</DocSecurity>
  <Lines>0</Lines>
  <Paragraphs>0</Paragraphs>
  <ScaleCrop>false</ScaleCrop>
  <Company>Imperial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 Lin Y</dc:creator>
  <cp:keywords/>
  <dc:description/>
  <cp:lastModifiedBy>avillahermosa</cp:lastModifiedBy>
  <cp:revision>10</cp:revision>
  <dcterms:created xsi:type="dcterms:W3CDTF">2012-09-25T11:00:00Z</dcterms:created>
  <dcterms:modified xsi:type="dcterms:W3CDTF">2013-09-27T00:25:00Z</dcterms:modified>
</cp:coreProperties>
</file>