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A7" w:rsidRDefault="00AE59A7"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028440"/>
            <wp:effectExtent l="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i-flood-jan2014-suppl-fig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Default="00AE59A7"/>
    <w:p w:rsidR="00AE59A7" w:rsidRPr="00AE59A7" w:rsidRDefault="00AE59A7" w:rsidP="00AE59A7">
      <w:pPr>
        <w:ind w:left="1440" w:hanging="1440"/>
        <w:rPr>
          <w:rFonts w:ascii="Times New Roman" w:hAnsi="Times New Roman" w:cs="Times New Roman"/>
        </w:rPr>
      </w:pPr>
      <w:r w:rsidRPr="00AE59A7">
        <w:rPr>
          <w:rFonts w:ascii="Times New Roman" w:hAnsi="Times New Roman" w:cs="Times New Roman"/>
        </w:rPr>
        <w:t>Figure S3:</w:t>
      </w:r>
      <w:r w:rsidRPr="00AE59A7">
        <w:rPr>
          <w:rFonts w:ascii="Times New Roman" w:hAnsi="Times New Roman" w:cs="Times New Roman"/>
        </w:rPr>
        <w:tab/>
        <w:t>Sensitivity of the proportion of regional flood-prone population and cropland exposed to a doubling or halving of flood frequency to indicator return period (A1b emissions, 2050, HadCM3 pattern). The red symbols denote the global aggregate value</w:t>
      </w:r>
    </w:p>
    <w:p w:rsidR="00AE59A7" w:rsidRDefault="00AE59A7"/>
    <w:p w:rsidR="00AE59A7" w:rsidRDefault="00AE59A7"/>
    <w:p w:rsidR="00AE59A7" w:rsidRDefault="00AE59A7"/>
    <w:sectPr w:rsidR="00AE59A7" w:rsidSect="00887F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59A7"/>
    <w:rsid w:val="003B4177"/>
    <w:rsid w:val="00667DF2"/>
    <w:rsid w:val="007E318C"/>
    <w:rsid w:val="00887F39"/>
    <w:rsid w:val="00AE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9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9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</dc:creator>
  <cp:lastModifiedBy>fpiamonte</cp:lastModifiedBy>
  <cp:revision>2</cp:revision>
  <dcterms:created xsi:type="dcterms:W3CDTF">2014-02-19T19:13:00Z</dcterms:created>
  <dcterms:modified xsi:type="dcterms:W3CDTF">2014-02-19T19:13:00Z</dcterms:modified>
</cp:coreProperties>
</file>