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87D" w:rsidRPr="006E6215" w:rsidRDefault="00F0687D" w:rsidP="006E6215">
      <w:pPr>
        <w:spacing w:before="120" w:after="240" w:line="240" w:lineRule="auto"/>
        <w:rPr>
          <w:rFonts w:ascii="Arial" w:hAnsi="Arial" w:cs="Arial"/>
          <w:b/>
          <w:sz w:val="36"/>
          <w:szCs w:val="36"/>
        </w:rPr>
      </w:pPr>
      <w:r w:rsidRPr="006E6215">
        <w:rPr>
          <w:rFonts w:ascii="Arial" w:hAnsi="Arial" w:cs="Arial"/>
          <w:b/>
          <w:sz w:val="36"/>
          <w:szCs w:val="36"/>
        </w:rPr>
        <w:t xml:space="preserve">Online Resource 6. Monetizing </w:t>
      </w:r>
      <w:r w:rsidR="006E6215" w:rsidRPr="006E6215">
        <w:rPr>
          <w:rFonts w:ascii="Arial" w:hAnsi="Arial" w:cs="Arial"/>
          <w:b/>
          <w:sz w:val="36"/>
          <w:szCs w:val="36"/>
        </w:rPr>
        <w:t xml:space="preserve">Changes </w:t>
      </w:r>
      <w:r w:rsidRPr="006E6215">
        <w:rPr>
          <w:rFonts w:ascii="Arial" w:hAnsi="Arial" w:cs="Arial"/>
          <w:b/>
          <w:sz w:val="36"/>
          <w:szCs w:val="36"/>
        </w:rPr>
        <w:t xml:space="preserve">in </w:t>
      </w:r>
      <w:r w:rsidR="006E6215" w:rsidRPr="006E6215">
        <w:rPr>
          <w:rFonts w:ascii="Arial" w:hAnsi="Arial" w:cs="Arial"/>
          <w:b/>
          <w:sz w:val="36"/>
          <w:szCs w:val="36"/>
        </w:rPr>
        <w:t>Acreage Bur</w:t>
      </w:r>
      <w:r w:rsidRPr="006E6215">
        <w:rPr>
          <w:rFonts w:ascii="Arial" w:hAnsi="Arial" w:cs="Arial"/>
          <w:b/>
          <w:sz w:val="36"/>
          <w:szCs w:val="36"/>
        </w:rPr>
        <w:t xml:space="preserve">ned by </w:t>
      </w:r>
      <w:r w:rsidR="006E6215" w:rsidRPr="006E6215">
        <w:rPr>
          <w:rFonts w:ascii="Arial" w:hAnsi="Arial" w:cs="Arial"/>
          <w:b/>
          <w:sz w:val="36"/>
          <w:szCs w:val="36"/>
        </w:rPr>
        <w:t xml:space="preserve">Wildfires </w:t>
      </w:r>
      <w:r w:rsidRPr="006E6215">
        <w:rPr>
          <w:rFonts w:ascii="Arial" w:hAnsi="Arial" w:cs="Arial"/>
          <w:b/>
          <w:sz w:val="36"/>
          <w:szCs w:val="36"/>
        </w:rPr>
        <w:t xml:space="preserve">and </w:t>
      </w:r>
      <w:r w:rsidR="006E6215" w:rsidRPr="006E6215">
        <w:rPr>
          <w:rFonts w:ascii="Arial" w:hAnsi="Arial" w:cs="Arial"/>
          <w:b/>
          <w:sz w:val="36"/>
          <w:szCs w:val="36"/>
        </w:rPr>
        <w:t xml:space="preserve">Terrestrial Ecosystem Carbon Storage </w:t>
      </w:r>
    </w:p>
    <w:p w:rsidR="006E6215" w:rsidRPr="00FA6A7D" w:rsidRDefault="006E6215" w:rsidP="006E6215">
      <w:pPr>
        <w:spacing w:before="120" w:after="240" w:line="240" w:lineRule="auto"/>
        <w:rPr>
          <w:rFonts w:ascii="Times New Roman" w:hAnsi="Times New Roman" w:cs="Times New Roman"/>
          <w:sz w:val="24"/>
          <w:szCs w:val="24"/>
        </w:rPr>
      </w:pPr>
      <w:r w:rsidRPr="00FA6A7D">
        <w:rPr>
          <w:rFonts w:ascii="Times New Roman" w:hAnsi="Times New Roman" w:cs="Times New Roman"/>
          <w:b/>
          <w:i/>
          <w:sz w:val="24"/>
          <w:szCs w:val="24"/>
        </w:rPr>
        <w:t xml:space="preserve">Climatic Change </w:t>
      </w:r>
      <w:r w:rsidRPr="00FA6A7D">
        <w:rPr>
          <w:rFonts w:ascii="Times New Roman" w:hAnsi="Times New Roman" w:cs="Times New Roman"/>
          <w:b/>
          <w:sz w:val="24"/>
          <w:szCs w:val="24"/>
        </w:rPr>
        <w:t xml:space="preserve">Article: </w:t>
      </w:r>
      <w:r w:rsidRPr="00FA6A7D">
        <w:rPr>
          <w:rFonts w:ascii="Times New Roman" w:hAnsi="Times New Roman" w:cs="Times New Roman"/>
          <w:sz w:val="24"/>
          <w:szCs w:val="24"/>
        </w:rPr>
        <w:t>Quantifying and Monetizing Potential Climate Change Policy Impacts on Terrestrial Ecosystem Carbon Stor</w:t>
      </w:r>
      <w:r>
        <w:rPr>
          <w:rFonts w:ascii="Times New Roman" w:hAnsi="Times New Roman" w:cs="Times New Roman"/>
          <w:sz w:val="24"/>
          <w:szCs w:val="24"/>
        </w:rPr>
        <w:t>age and Wildfires in the United </w:t>
      </w:r>
      <w:r w:rsidRPr="00FA6A7D">
        <w:rPr>
          <w:rFonts w:ascii="Times New Roman" w:hAnsi="Times New Roman" w:cs="Times New Roman"/>
          <w:sz w:val="24"/>
          <w:szCs w:val="24"/>
        </w:rPr>
        <w:t>States</w:t>
      </w:r>
    </w:p>
    <w:p w:rsidR="008A4065" w:rsidRPr="00680C46" w:rsidRDefault="008A4065" w:rsidP="008A4065">
      <w:pPr>
        <w:spacing w:before="120" w:after="240" w:line="240" w:lineRule="auto"/>
        <w:rPr>
          <w:rFonts w:ascii="Times New Roman" w:hAnsi="Times New Roman" w:cs="Times New Roman"/>
          <w:sz w:val="24"/>
          <w:szCs w:val="24"/>
        </w:rPr>
      </w:pPr>
      <w:r w:rsidRPr="00FA6A7D">
        <w:rPr>
          <w:rFonts w:ascii="Times New Roman" w:hAnsi="Times New Roman" w:cs="Times New Roman"/>
          <w:b/>
          <w:bCs/>
          <w:sz w:val="24"/>
          <w:szCs w:val="24"/>
        </w:rPr>
        <w:t xml:space="preserve">Authors: </w:t>
      </w:r>
      <w:r w:rsidRPr="00FA6A7D">
        <w:rPr>
          <w:rFonts w:ascii="Times New Roman" w:hAnsi="Times New Roman" w:cs="Times New Roman"/>
          <w:sz w:val="24"/>
          <w:szCs w:val="24"/>
        </w:rPr>
        <w:t>David Mills, Russell Jones, Karen Carney, Alexis St. Juliana, Richard Ready, Allison Crimmins, Jeremy Martinich,</w:t>
      </w:r>
      <w:r w:rsidRPr="00FA6A7D">
        <w:rPr>
          <w:rFonts w:ascii="Times New Roman" w:hAnsi="Times New Roman" w:cs="Times New Roman"/>
          <w:sz w:val="24"/>
          <w:szCs w:val="24"/>
          <w:vertAlign w:val="superscript"/>
        </w:rPr>
        <w:t xml:space="preserve"> </w:t>
      </w:r>
      <w:r w:rsidRPr="00FA6A7D">
        <w:rPr>
          <w:rFonts w:ascii="Times New Roman" w:hAnsi="Times New Roman" w:cs="Times New Roman"/>
          <w:sz w:val="24"/>
          <w:szCs w:val="24"/>
        </w:rPr>
        <w:t>Kate Shouse, Benjamin DeAngelo,</w:t>
      </w:r>
      <w:r w:rsidRPr="00FA6A7D">
        <w:rPr>
          <w:rFonts w:ascii="Times New Roman" w:hAnsi="Times New Roman" w:cs="Times New Roman"/>
          <w:sz w:val="24"/>
          <w:szCs w:val="24"/>
          <w:vertAlign w:val="superscript"/>
        </w:rPr>
        <w:t xml:space="preserve"> </w:t>
      </w:r>
      <w:r w:rsidRPr="00FA6A7D">
        <w:rPr>
          <w:rFonts w:ascii="Times New Roman" w:hAnsi="Times New Roman" w:cs="Times New Roman"/>
          <w:sz w:val="24"/>
          <w:szCs w:val="24"/>
        </w:rPr>
        <w:t xml:space="preserve">and </w:t>
      </w:r>
      <w:r w:rsidRPr="00680C46">
        <w:rPr>
          <w:rFonts w:ascii="Times New Roman" w:hAnsi="Times New Roman" w:cs="Times New Roman"/>
          <w:sz w:val="24"/>
          <w:szCs w:val="24"/>
        </w:rPr>
        <w:t>Erwan Monier</w:t>
      </w:r>
    </w:p>
    <w:p w:rsidR="006E6215" w:rsidRPr="00FA6A7D" w:rsidRDefault="006E6215" w:rsidP="006E6215">
      <w:pPr>
        <w:spacing w:before="120" w:after="240" w:line="240" w:lineRule="auto"/>
        <w:rPr>
          <w:rFonts w:ascii="Times New Roman" w:hAnsi="Times New Roman" w:cs="Times New Roman"/>
          <w:sz w:val="24"/>
          <w:szCs w:val="24"/>
        </w:rPr>
      </w:pPr>
      <w:r w:rsidRPr="00FA6A7D">
        <w:rPr>
          <w:rFonts w:ascii="Times New Roman" w:hAnsi="Times New Roman" w:cs="Times New Roman"/>
          <w:b/>
          <w:sz w:val="24"/>
          <w:szCs w:val="24"/>
        </w:rPr>
        <w:t>Corresponding author:</w:t>
      </w:r>
      <w:r w:rsidRPr="00FA6A7D">
        <w:rPr>
          <w:rFonts w:ascii="Times New Roman" w:hAnsi="Times New Roman" w:cs="Times New Roman"/>
          <w:sz w:val="24"/>
          <w:szCs w:val="24"/>
        </w:rPr>
        <w:t xml:space="preserve"> David Mills, Stratus Consulting Inc.</w:t>
      </w:r>
      <w:r>
        <w:rPr>
          <w:rFonts w:ascii="Times New Roman" w:hAnsi="Times New Roman" w:cs="Times New Roman"/>
          <w:sz w:val="24"/>
          <w:szCs w:val="24"/>
        </w:rPr>
        <w:t xml:space="preserve">, </w:t>
      </w:r>
      <w:hyperlink r:id="rId9" w:history="1">
        <w:r w:rsidR="00712952" w:rsidRPr="009E4948">
          <w:rPr>
            <w:rStyle w:val="Hyperlink"/>
            <w:rFonts w:ascii="Times New Roman" w:hAnsi="Times New Roman" w:cs="Times New Roman"/>
            <w:i/>
            <w:sz w:val="24"/>
            <w:szCs w:val="24"/>
          </w:rPr>
          <w:t>DMills@stratusconsulting.com</w:t>
        </w:r>
      </w:hyperlink>
      <w:r w:rsidR="00712952" w:rsidRPr="009E4948" w:rsidDel="00493EB1">
        <w:rPr>
          <w:rFonts w:ascii="Times New Roman" w:hAnsi="Times New Roman" w:cs="Times New Roman"/>
          <w:sz w:val="24"/>
          <w:szCs w:val="24"/>
        </w:rPr>
        <w:t xml:space="preserve"> </w:t>
      </w:r>
    </w:p>
    <w:p w:rsidR="002D2215" w:rsidRPr="00B94E47" w:rsidRDefault="002D2215" w:rsidP="00154D6F">
      <w:pPr>
        <w:autoSpaceDE w:val="0"/>
        <w:autoSpaceDN w:val="0"/>
        <w:adjustRightInd w:val="0"/>
        <w:spacing w:after="240" w:line="240" w:lineRule="auto"/>
        <w:rPr>
          <w:rFonts w:ascii="Times New Roman" w:hAnsi="Times New Roman" w:cs="Times New Roman"/>
          <w:sz w:val="24"/>
          <w:szCs w:val="24"/>
        </w:rPr>
      </w:pPr>
      <w:r w:rsidRPr="00B94E47">
        <w:rPr>
          <w:rFonts w:ascii="Times New Roman" w:hAnsi="Times New Roman" w:cs="Times New Roman"/>
          <w:sz w:val="24"/>
          <w:szCs w:val="24"/>
        </w:rPr>
        <w:t xml:space="preserve">This analysis used data </w:t>
      </w:r>
      <w:r w:rsidR="002D6E05">
        <w:rPr>
          <w:rFonts w:ascii="Times New Roman" w:hAnsi="Times New Roman" w:cs="Times New Roman"/>
          <w:sz w:val="24"/>
          <w:szCs w:val="24"/>
        </w:rPr>
        <w:t xml:space="preserve">from </w:t>
      </w:r>
      <w:r w:rsidRPr="00B94E47">
        <w:rPr>
          <w:rFonts w:ascii="Times New Roman" w:hAnsi="Times New Roman" w:cs="Times New Roman"/>
          <w:sz w:val="24"/>
          <w:szCs w:val="24"/>
        </w:rPr>
        <w:t>the National Wildfire Coordinating Group (NWCG) to monetize the anticipated changes in acreage burned by wildfires. Specifically, the analysis developed regional wildfire response costs from NWCG data on the size (</w:t>
      </w:r>
      <w:r w:rsidR="00AF3EB4">
        <w:rPr>
          <w:rFonts w:ascii="Times New Roman" w:hAnsi="Times New Roman" w:cs="Times New Roman"/>
          <w:sz w:val="24"/>
          <w:szCs w:val="24"/>
        </w:rPr>
        <w:t xml:space="preserve">i.e., </w:t>
      </w:r>
      <w:r w:rsidRPr="00B94E47">
        <w:rPr>
          <w:rFonts w:ascii="Times New Roman" w:hAnsi="Times New Roman" w:cs="Times New Roman"/>
          <w:sz w:val="24"/>
          <w:szCs w:val="24"/>
        </w:rPr>
        <w:t>acres burned), origin, and total response cost</w:t>
      </w:r>
      <w:r w:rsidR="00AF3EB4">
        <w:rPr>
          <w:rFonts w:ascii="Times New Roman" w:hAnsi="Times New Roman" w:cs="Times New Roman"/>
          <w:sz w:val="24"/>
          <w:szCs w:val="24"/>
        </w:rPr>
        <w:t>s</w:t>
      </w:r>
      <w:r w:rsidRPr="00B94E47">
        <w:rPr>
          <w:rFonts w:ascii="Times New Roman" w:hAnsi="Times New Roman" w:cs="Times New Roman"/>
          <w:sz w:val="24"/>
          <w:szCs w:val="24"/>
        </w:rPr>
        <w:t xml:space="preserve"> for distinct wildfires in the </w:t>
      </w:r>
      <w:r w:rsidRPr="00371212">
        <w:rPr>
          <w:rFonts w:ascii="Times New Roman" w:hAnsi="Times New Roman" w:cs="Times New Roman"/>
          <w:sz w:val="24"/>
          <w:szCs w:val="24"/>
        </w:rPr>
        <w:t xml:space="preserve">contiguous </w:t>
      </w:r>
      <w:r w:rsidR="006141FB" w:rsidRPr="00371212">
        <w:rPr>
          <w:rFonts w:ascii="Times New Roman" w:hAnsi="Times New Roman" w:cs="Times New Roman"/>
          <w:sz w:val="24"/>
          <w:szCs w:val="24"/>
        </w:rPr>
        <w:t>United States (</w:t>
      </w:r>
      <w:r w:rsidRPr="00371212">
        <w:rPr>
          <w:rFonts w:ascii="Times New Roman" w:hAnsi="Times New Roman" w:cs="Times New Roman"/>
          <w:sz w:val="24"/>
          <w:szCs w:val="24"/>
        </w:rPr>
        <w:t>U</w:t>
      </w:r>
      <w:r w:rsidR="00AF3EB4" w:rsidRPr="00371212">
        <w:rPr>
          <w:rFonts w:ascii="Times New Roman" w:hAnsi="Times New Roman" w:cs="Times New Roman"/>
          <w:sz w:val="24"/>
          <w:szCs w:val="24"/>
        </w:rPr>
        <w:t>.</w:t>
      </w:r>
      <w:r w:rsidRPr="00371212">
        <w:rPr>
          <w:rFonts w:ascii="Times New Roman" w:hAnsi="Times New Roman" w:cs="Times New Roman"/>
          <w:sz w:val="24"/>
          <w:szCs w:val="24"/>
        </w:rPr>
        <w:t>S</w:t>
      </w:r>
      <w:r w:rsidR="00AF3EB4" w:rsidRPr="00371212">
        <w:rPr>
          <w:rFonts w:ascii="Times New Roman" w:hAnsi="Times New Roman" w:cs="Times New Roman"/>
          <w:sz w:val="24"/>
          <w:szCs w:val="24"/>
        </w:rPr>
        <w:t>.</w:t>
      </w:r>
      <w:r w:rsidR="006141FB" w:rsidRPr="00371212">
        <w:rPr>
          <w:rFonts w:ascii="Times New Roman" w:hAnsi="Times New Roman" w:cs="Times New Roman"/>
          <w:sz w:val="24"/>
          <w:szCs w:val="24"/>
        </w:rPr>
        <w:t>)</w:t>
      </w:r>
      <w:r w:rsidRPr="00371212">
        <w:rPr>
          <w:rFonts w:ascii="Times New Roman" w:hAnsi="Times New Roman" w:cs="Times New Roman"/>
          <w:sz w:val="24"/>
          <w:szCs w:val="24"/>
        </w:rPr>
        <w:t xml:space="preserve"> from 2002 to 2010 (NWCG 2011).</w:t>
      </w:r>
      <w:r w:rsidRPr="00B94E47">
        <w:rPr>
          <w:rFonts w:ascii="Times New Roman" w:hAnsi="Times New Roman" w:cs="Times New Roman"/>
          <w:sz w:val="24"/>
          <w:szCs w:val="24"/>
        </w:rPr>
        <w:t xml:space="preserve"> </w:t>
      </w:r>
    </w:p>
    <w:p w:rsidR="000D23F7" w:rsidRDefault="002D2215" w:rsidP="00154D6F">
      <w:pPr>
        <w:autoSpaceDE w:val="0"/>
        <w:autoSpaceDN w:val="0"/>
        <w:adjustRightInd w:val="0"/>
        <w:spacing w:after="240" w:line="240" w:lineRule="auto"/>
        <w:rPr>
          <w:rFonts w:ascii="Times New Roman" w:hAnsi="Times New Roman" w:cs="Times New Roman"/>
          <w:sz w:val="24"/>
          <w:szCs w:val="24"/>
        </w:rPr>
      </w:pPr>
      <w:r w:rsidRPr="00B94E47">
        <w:rPr>
          <w:rFonts w:ascii="Times New Roman" w:hAnsi="Times New Roman" w:cs="Times New Roman"/>
          <w:sz w:val="24"/>
          <w:szCs w:val="24"/>
        </w:rPr>
        <w:t>Fig</w:t>
      </w:r>
      <w:r w:rsidR="00AB19C3">
        <w:rPr>
          <w:rFonts w:ascii="Times New Roman" w:hAnsi="Times New Roman" w:cs="Times New Roman"/>
          <w:sz w:val="24"/>
          <w:szCs w:val="24"/>
        </w:rPr>
        <w:t>ure</w:t>
      </w:r>
      <w:r w:rsidRPr="00B94E47">
        <w:rPr>
          <w:rFonts w:ascii="Times New Roman" w:hAnsi="Times New Roman" w:cs="Times New Roman"/>
          <w:sz w:val="24"/>
          <w:szCs w:val="24"/>
        </w:rPr>
        <w:t xml:space="preserve"> </w:t>
      </w:r>
      <w:r w:rsidR="00713C28">
        <w:rPr>
          <w:rFonts w:ascii="Times New Roman" w:hAnsi="Times New Roman" w:cs="Times New Roman"/>
          <w:sz w:val="24"/>
          <w:szCs w:val="24"/>
        </w:rPr>
        <w:t>6</w:t>
      </w:r>
      <w:r w:rsidR="000A1AC2">
        <w:rPr>
          <w:rFonts w:ascii="Times New Roman" w:hAnsi="Times New Roman" w:cs="Times New Roman"/>
          <w:sz w:val="24"/>
          <w:szCs w:val="24"/>
        </w:rPr>
        <w:t>.</w:t>
      </w:r>
      <w:r w:rsidR="00803A6F">
        <w:rPr>
          <w:rFonts w:ascii="Times New Roman" w:hAnsi="Times New Roman" w:cs="Times New Roman"/>
          <w:sz w:val="24"/>
          <w:szCs w:val="24"/>
        </w:rPr>
        <w:t>1</w:t>
      </w:r>
      <w:r w:rsidRPr="00B94E47">
        <w:rPr>
          <w:rFonts w:ascii="Times New Roman" w:hAnsi="Times New Roman" w:cs="Times New Roman"/>
          <w:sz w:val="24"/>
          <w:szCs w:val="24"/>
        </w:rPr>
        <w:t xml:space="preserve"> provides the</w:t>
      </w:r>
      <w:r w:rsidRPr="00B94E47">
        <w:rPr>
          <w:rFonts w:ascii="Times New Roman" w:hAnsi="Times New Roman" w:cs="Times New Roman"/>
          <w:color w:val="FF0000"/>
          <w:sz w:val="24"/>
          <w:szCs w:val="24"/>
        </w:rPr>
        <w:t xml:space="preserve"> </w:t>
      </w:r>
      <w:r w:rsidRPr="00B94E47">
        <w:rPr>
          <w:rFonts w:ascii="Times New Roman" w:hAnsi="Times New Roman" w:cs="Times New Roman"/>
          <w:sz w:val="24"/>
          <w:szCs w:val="24"/>
        </w:rPr>
        <w:t xml:space="preserve">Geographic Area Coordination Center (GACC) boundaries used by the NWCG to coordinate wildfire responses and to collect and report wildfire-related data (GACC 2011). </w:t>
      </w:r>
    </w:p>
    <w:p w:rsidR="00803A6F" w:rsidRPr="00B94E47" w:rsidRDefault="00803A6F" w:rsidP="00154D6F">
      <w:pPr>
        <w:autoSpaceDE w:val="0"/>
        <w:autoSpaceDN w:val="0"/>
        <w:adjustRightInd w:val="0"/>
        <w:spacing w:line="240" w:lineRule="auto"/>
        <w:rPr>
          <w:rFonts w:ascii="Times New Roman" w:hAnsi="Times New Roman" w:cs="Times New Roman"/>
          <w:sz w:val="24"/>
          <w:szCs w:val="24"/>
        </w:rPr>
      </w:pPr>
      <w:bookmarkStart w:id="0" w:name="_GoBack"/>
      <w:r>
        <w:rPr>
          <w:rFonts w:ascii="Times New Roman" w:hAnsi="Times New Roman" w:cs="Times New Roman"/>
          <w:noProof/>
          <w:sz w:val="24"/>
          <w:szCs w:val="24"/>
        </w:rPr>
        <w:drawing>
          <wp:inline distT="0" distB="0" distL="0" distR="0">
            <wp:extent cx="5314950" cy="333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fireregions-2013-02-04.jpg"/>
                    <pic:cNvPicPr/>
                  </pic:nvPicPr>
                  <pic:blipFill rotWithShape="1">
                    <a:blip r:embed="rId10" cstate="print">
                      <a:extLst>
                        <a:ext uri="{28A0092B-C50C-407E-A947-70E740481C1C}">
                          <a14:useLocalDpi xmlns:a14="http://schemas.microsoft.com/office/drawing/2010/main" val="0"/>
                        </a:ext>
                      </a:extLst>
                    </a:blip>
                    <a:srcRect l="2885" t="21033" r="3045" b="22023"/>
                    <a:stretch/>
                  </pic:blipFill>
                  <pic:spPr bwMode="auto">
                    <a:xfrm>
                      <a:off x="0" y="0"/>
                      <a:ext cx="5312664" cy="3332316"/>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803A6F" w:rsidRPr="00154D6F" w:rsidRDefault="00803A6F" w:rsidP="00154D6F">
      <w:pPr>
        <w:spacing w:after="240" w:line="240" w:lineRule="auto"/>
        <w:rPr>
          <w:rFonts w:ascii="Times New Roman" w:hAnsi="Times New Roman" w:cs="Times New Roman"/>
          <w:b/>
          <w:sz w:val="20"/>
          <w:szCs w:val="20"/>
        </w:rPr>
      </w:pPr>
      <w:r w:rsidRPr="00154D6F">
        <w:rPr>
          <w:rFonts w:ascii="Times New Roman" w:hAnsi="Times New Roman" w:cs="Times New Roman"/>
          <w:b/>
          <w:sz w:val="20"/>
          <w:szCs w:val="20"/>
        </w:rPr>
        <w:t>Fig</w:t>
      </w:r>
      <w:r w:rsidR="006E6215">
        <w:rPr>
          <w:rFonts w:ascii="Times New Roman" w:hAnsi="Times New Roman" w:cs="Times New Roman"/>
          <w:b/>
          <w:sz w:val="20"/>
          <w:szCs w:val="20"/>
        </w:rPr>
        <w:t>.</w:t>
      </w:r>
      <w:r w:rsidRPr="00154D6F">
        <w:rPr>
          <w:rFonts w:ascii="Times New Roman" w:hAnsi="Times New Roman" w:cs="Times New Roman"/>
          <w:b/>
          <w:sz w:val="20"/>
          <w:szCs w:val="20"/>
        </w:rPr>
        <w:t xml:space="preserve"> </w:t>
      </w:r>
      <w:r w:rsidR="00713C28">
        <w:rPr>
          <w:rFonts w:ascii="Times New Roman" w:hAnsi="Times New Roman" w:cs="Times New Roman"/>
          <w:b/>
          <w:sz w:val="20"/>
          <w:szCs w:val="20"/>
        </w:rPr>
        <w:t>6</w:t>
      </w:r>
      <w:r w:rsidR="000A1AC2">
        <w:rPr>
          <w:rFonts w:ascii="Times New Roman" w:hAnsi="Times New Roman" w:cs="Times New Roman"/>
          <w:b/>
          <w:sz w:val="20"/>
          <w:szCs w:val="20"/>
        </w:rPr>
        <w:t>.</w:t>
      </w:r>
      <w:r w:rsidRPr="00154D6F">
        <w:rPr>
          <w:rFonts w:ascii="Times New Roman" w:hAnsi="Times New Roman" w:cs="Times New Roman"/>
          <w:b/>
          <w:sz w:val="20"/>
          <w:szCs w:val="20"/>
        </w:rPr>
        <w:t xml:space="preserve">1 </w:t>
      </w:r>
      <w:r w:rsidR="00154D6F">
        <w:rPr>
          <w:rFonts w:ascii="Times New Roman" w:hAnsi="Times New Roman" w:cs="Times New Roman"/>
          <w:b/>
          <w:sz w:val="20"/>
          <w:szCs w:val="20"/>
        </w:rPr>
        <w:t>GACC</w:t>
      </w:r>
      <w:r w:rsidR="00154D6F" w:rsidRPr="00154D6F">
        <w:rPr>
          <w:rFonts w:ascii="Times New Roman" w:hAnsi="Times New Roman" w:cs="Times New Roman"/>
          <w:b/>
          <w:sz w:val="20"/>
          <w:szCs w:val="20"/>
        </w:rPr>
        <w:t xml:space="preserve"> fire region boundaries</w:t>
      </w:r>
    </w:p>
    <w:p w:rsidR="002D2215" w:rsidRPr="005A15D2" w:rsidRDefault="002D6E05" w:rsidP="00AB19C3">
      <w:pPr>
        <w:keepNext/>
        <w:spacing w:after="240" w:line="240" w:lineRule="auto"/>
        <w:rPr>
          <w:rFonts w:ascii="Times New Roman" w:hAnsi="Times New Roman" w:cs="Times New Roman"/>
          <w:sz w:val="24"/>
          <w:szCs w:val="24"/>
        </w:rPr>
      </w:pPr>
      <w:r>
        <w:rPr>
          <w:rFonts w:ascii="Times New Roman" w:hAnsi="Times New Roman" w:cs="Times New Roman"/>
          <w:sz w:val="24"/>
          <w:szCs w:val="24"/>
        </w:rPr>
        <w:lastRenderedPageBreak/>
        <w:t>Using the available</w:t>
      </w:r>
      <w:r w:rsidR="002D2215" w:rsidRPr="00B94E47">
        <w:rPr>
          <w:rFonts w:ascii="Times New Roman" w:hAnsi="Times New Roman" w:cs="Times New Roman"/>
          <w:sz w:val="24"/>
          <w:szCs w:val="24"/>
        </w:rPr>
        <w:t xml:space="preserve"> information, we calculated the following </w:t>
      </w:r>
      <w:r>
        <w:rPr>
          <w:rFonts w:ascii="Times New Roman" w:hAnsi="Times New Roman" w:cs="Times New Roman"/>
          <w:sz w:val="24"/>
          <w:szCs w:val="24"/>
        </w:rPr>
        <w:t xml:space="preserve">response cost measures for </w:t>
      </w:r>
      <w:r w:rsidR="002D2215" w:rsidRPr="00B94E47">
        <w:rPr>
          <w:rFonts w:ascii="Times New Roman" w:hAnsi="Times New Roman" w:cs="Times New Roman"/>
          <w:sz w:val="24"/>
          <w:szCs w:val="24"/>
        </w:rPr>
        <w:t xml:space="preserve">each GACC region </w:t>
      </w:r>
      <w:r>
        <w:rPr>
          <w:rFonts w:ascii="Times New Roman" w:hAnsi="Times New Roman" w:cs="Times New Roman"/>
          <w:sz w:val="24"/>
          <w:szCs w:val="24"/>
        </w:rPr>
        <w:t xml:space="preserve">after first adjusting </w:t>
      </w:r>
      <w:r w:rsidR="002D2215">
        <w:rPr>
          <w:rFonts w:ascii="Times New Roman" w:hAnsi="Times New Roman" w:cs="Times New Roman"/>
          <w:sz w:val="24"/>
          <w:szCs w:val="24"/>
        </w:rPr>
        <w:t>to their year 2005</w:t>
      </w:r>
      <w:r w:rsidR="002D2215" w:rsidRPr="00B94E47">
        <w:rPr>
          <w:rFonts w:ascii="Times New Roman" w:hAnsi="Times New Roman" w:cs="Times New Roman"/>
          <w:sz w:val="24"/>
          <w:szCs w:val="24"/>
        </w:rPr>
        <w:t xml:space="preserve"> equivalent </w:t>
      </w:r>
      <w:r w:rsidR="00CB6E57">
        <w:rPr>
          <w:rFonts w:ascii="Times New Roman" w:hAnsi="Times New Roman" w:cs="Times New Roman"/>
          <w:sz w:val="24"/>
          <w:szCs w:val="24"/>
        </w:rPr>
        <w:t xml:space="preserve">values </w:t>
      </w:r>
      <w:r w:rsidR="002D2215" w:rsidRPr="00B94E47">
        <w:rPr>
          <w:rFonts w:ascii="Times New Roman" w:hAnsi="Times New Roman" w:cs="Times New Roman"/>
          <w:sz w:val="24"/>
          <w:szCs w:val="24"/>
        </w:rPr>
        <w:t xml:space="preserve">using the </w:t>
      </w:r>
      <w:r w:rsidR="002D2215" w:rsidRPr="005A15D2">
        <w:rPr>
          <w:rFonts w:ascii="Times New Roman" w:hAnsi="Times New Roman" w:cs="Times New Roman"/>
          <w:sz w:val="24"/>
          <w:szCs w:val="24"/>
        </w:rPr>
        <w:t xml:space="preserve">Consumer Price Index for All Urban Consumers (U.S. DOL 2011): </w:t>
      </w:r>
    </w:p>
    <w:p w:rsidR="002D2215" w:rsidRPr="005A15D2" w:rsidRDefault="002D2215" w:rsidP="00154D6F">
      <w:pPr>
        <w:pStyle w:val="ListParagraph"/>
        <w:numPr>
          <w:ilvl w:val="0"/>
          <w:numId w:val="16"/>
        </w:numPr>
        <w:spacing w:after="240" w:line="240" w:lineRule="auto"/>
        <w:rPr>
          <w:rFonts w:ascii="Times New Roman" w:hAnsi="Times New Roman" w:cs="Times New Roman"/>
          <w:sz w:val="24"/>
          <w:szCs w:val="24"/>
        </w:rPr>
      </w:pPr>
      <w:r w:rsidRPr="005A15D2">
        <w:rPr>
          <w:rFonts w:ascii="Times New Roman" w:hAnsi="Times New Roman" w:cs="Times New Roman"/>
          <w:i/>
          <w:sz w:val="24"/>
          <w:szCs w:val="24"/>
        </w:rPr>
        <w:t>Average response cost per acre for all wildfires</w:t>
      </w:r>
      <w:r w:rsidRPr="005A15D2">
        <w:rPr>
          <w:rFonts w:ascii="Times New Roman" w:hAnsi="Times New Roman" w:cs="Times New Roman"/>
          <w:sz w:val="24"/>
          <w:szCs w:val="24"/>
        </w:rPr>
        <w:t xml:space="preserve">: calculated by dividing the total response cost by the total acres burned for all reported wildfires </w:t>
      </w:r>
    </w:p>
    <w:p w:rsidR="002D2215" w:rsidRPr="005A15D2" w:rsidRDefault="002D2215" w:rsidP="00154D6F">
      <w:pPr>
        <w:pStyle w:val="ListParagraph"/>
        <w:numPr>
          <w:ilvl w:val="0"/>
          <w:numId w:val="16"/>
        </w:numPr>
        <w:spacing w:after="240" w:line="240" w:lineRule="auto"/>
        <w:rPr>
          <w:rFonts w:ascii="Times New Roman" w:hAnsi="Times New Roman" w:cs="Times New Roman"/>
          <w:sz w:val="24"/>
          <w:szCs w:val="24"/>
        </w:rPr>
      </w:pPr>
      <w:r w:rsidRPr="005A15D2">
        <w:rPr>
          <w:rFonts w:ascii="Times New Roman" w:hAnsi="Times New Roman" w:cs="Times New Roman"/>
          <w:i/>
          <w:sz w:val="24"/>
          <w:szCs w:val="24"/>
        </w:rPr>
        <w:t>Average response cost per acre for all wildfires with incurred response expenditures</w:t>
      </w:r>
      <w:r w:rsidRPr="005A15D2">
        <w:rPr>
          <w:rFonts w:ascii="Times New Roman" w:hAnsi="Times New Roman" w:cs="Times New Roman"/>
          <w:sz w:val="24"/>
          <w:szCs w:val="24"/>
        </w:rPr>
        <w:t>: calculated by dividing the total response cost by the total acres burned for wildfires where response cost ex</w:t>
      </w:r>
      <w:r w:rsidR="00154D6F">
        <w:rPr>
          <w:rFonts w:ascii="Times New Roman" w:hAnsi="Times New Roman" w:cs="Times New Roman"/>
          <w:sz w:val="24"/>
          <w:szCs w:val="24"/>
        </w:rPr>
        <w:t>penditures were incurred (i.e., </w:t>
      </w:r>
      <w:r w:rsidRPr="005A15D2">
        <w:rPr>
          <w:rFonts w:ascii="Times New Roman" w:hAnsi="Times New Roman" w:cs="Times New Roman"/>
          <w:sz w:val="24"/>
          <w:szCs w:val="24"/>
        </w:rPr>
        <w:t>response cost &gt; $0)</w:t>
      </w:r>
    </w:p>
    <w:p w:rsidR="002D2215" w:rsidRPr="005A15D2" w:rsidRDefault="002D2215" w:rsidP="00154D6F">
      <w:pPr>
        <w:pStyle w:val="ListParagraph"/>
        <w:numPr>
          <w:ilvl w:val="0"/>
          <w:numId w:val="16"/>
        </w:numPr>
        <w:spacing w:after="240" w:line="240" w:lineRule="auto"/>
        <w:rPr>
          <w:rFonts w:ascii="Times New Roman" w:hAnsi="Times New Roman" w:cs="Times New Roman"/>
          <w:sz w:val="24"/>
          <w:szCs w:val="24"/>
        </w:rPr>
      </w:pPr>
      <w:r w:rsidRPr="005A15D2">
        <w:rPr>
          <w:rFonts w:ascii="Times New Roman" w:hAnsi="Times New Roman" w:cs="Times New Roman"/>
          <w:i/>
          <w:sz w:val="24"/>
          <w:szCs w:val="24"/>
        </w:rPr>
        <w:t>Maximum observed response cost per acre</w:t>
      </w:r>
      <w:r w:rsidRPr="005A15D2">
        <w:rPr>
          <w:rFonts w:ascii="Times New Roman" w:hAnsi="Times New Roman" w:cs="Times New Roman"/>
          <w:sz w:val="24"/>
          <w:szCs w:val="24"/>
        </w:rPr>
        <w:t>: identified by sorting the response costs per acre burned by region and selecting the maximum value.</w:t>
      </w:r>
    </w:p>
    <w:p w:rsidR="002D2215" w:rsidRDefault="002D2215" w:rsidP="00154D6F">
      <w:pPr>
        <w:tabs>
          <w:tab w:val="right" w:pos="9360"/>
        </w:tabs>
        <w:spacing w:after="240" w:line="240" w:lineRule="auto"/>
        <w:rPr>
          <w:rFonts w:ascii="Times New Roman" w:hAnsi="Times New Roman" w:cs="Times New Roman"/>
          <w:sz w:val="24"/>
          <w:szCs w:val="24"/>
        </w:rPr>
      </w:pPr>
      <w:r w:rsidRPr="00B94E47">
        <w:rPr>
          <w:rFonts w:ascii="Times New Roman" w:hAnsi="Times New Roman" w:cs="Times New Roman"/>
          <w:sz w:val="24"/>
          <w:szCs w:val="24"/>
        </w:rPr>
        <w:t xml:space="preserve">Table </w:t>
      </w:r>
      <w:r w:rsidR="00713C28">
        <w:rPr>
          <w:rFonts w:ascii="Times New Roman" w:hAnsi="Times New Roman" w:cs="Times New Roman"/>
          <w:sz w:val="24"/>
          <w:szCs w:val="24"/>
        </w:rPr>
        <w:t>6</w:t>
      </w:r>
      <w:r w:rsidR="000A1AC2">
        <w:rPr>
          <w:rFonts w:ascii="Times New Roman" w:hAnsi="Times New Roman" w:cs="Times New Roman"/>
          <w:sz w:val="24"/>
          <w:szCs w:val="24"/>
        </w:rPr>
        <w:t>.</w:t>
      </w:r>
      <w:r w:rsidRPr="00B94E47">
        <w:rPr>
          <w:rFonts w:ascii="Times New Roman" w:hAnsi="Times New Roman" w:cs="Times New Roman"/>
          <w:sz w:val="24"/>
          <w:szCs w:val="24"/>
        </w:rPr>
        <w:t>1 presents the information used to calculate these values and the results by GACC.</w:t>
      </w:r>
    </w:p>
    <w:tbl>
      <w:tblPr>
        <w:tblW w:w="8434" w:type="dxa"/>
        <w:jc w:val="center"/>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017"/>
        <w:gridCol w:w="990"/>
        <w:gridCol w:w="1300"/>
        <w:gridCol w:w="1620"/>
        <w:gridCol w:w="1260"/>
        <w:gridCol w:w="1247"/>
      </w:tblGrid>
      <w:tr w:rsidR="00AB19C3" w:rsidRPr="00154D6F" w:rsidTr="00AB19C3">
        <w:trPr>
          <w:tblHeader/>
          <w:jc w:val="center"/>
        </w:trPr>
        <w:tc>
          <w:tcPr>
            <w:tcW w:w="8434" w:type="dxa"/>
            <w:gridSpan w:val="6"/>
            <w:vAlign w:val="bottom"/>
          </w:tcPr>
          <w:p w:rsidR="00AB19C3" w:rsidRPr="00154D6F" w:rsidRDefault="00AB19C3" w:rsidP="00634321">
            <w:pPr>
              <w:autoSpaceDE w:val="0"/>
              <w:autoSpaceDN w:val="0"/>
              <w:adjustRightInd w:val="0"/>
              <w:spacing w:before="120" w:after="240" w:line="240" w:lineRule="auto"/>
              <w:rPr>
                <w:rFonts w:ascii="Times New Roman" w:hAnsi="Times New Roman" w:cs="Times New Roman"/>
                <w:color w:val="000000"/>
                <w:sz w:val="20"/>
                <w:szCs w:val="20"/>
              </w:rPr>
            </w:pPr>
            <w:r w:rsidRPr="00154D6F">
              <w:rPr>
                <w:rFonts w:ascii="Times New Roman" w:hAnsi="Times New Roman" w:cs="Times New Roman"/>
                <w:sz w:val="20"/>
                <w:szCs w:val="20"/>
              </w:rPr>
              <w:t xml:space="preserve">Table </w:t>
            </w:r>
            <w:r>
              <w:rPr>
                <w:rFonts w:ascii="Times New Roman" w:hAnsi="Times New Roman" w:cs="Times New Roman"/>
                <w:sz w:val="20"/>
                <w:szCs w:val="20"/>
              </w:rPr>
              <w:t>6.</w:t>
            </w:r>
            <w:r w:rsidRPr="00154D6F">
              <w:rPr>
                <w:rFonts w:ascii="Times New Roman" w:hAnsi="Times New Roman" w:cs="Times New Roman"/>
                <w:sz w:val="20"/>
                <w:szCs w:val="20"/>
              </w:rPr>
              <w:t>1 Summary of regional wildfire response costs and acres burned (2002–2010)</w:t>
            </w:r>
          </w:p>
        </w:tc>
      </w:tr>
      <w:tr w:rsidR="00AB19C3" w:rsidRPr="00154D6F" w:rsidTr="00AB19C3">
        <w:trPr>
          <w:tblHeader/>
          <w:jc w:val="center"/>
        </w:trPr>
        <w:tc>
          <w:tcPr>
            <w:tcW w:w="2017" w:type="dxa"/>
            <w:vAlign w:val="bottom"/>
          </w:tcPr>
          <w:p w:rsidR="00AB19C3" w:rsidRPr="00154D6F" w:rsidRDefault="00AB19C3" w:rsidP="00971CD2">
            <w:pPr>
              <w:autoSpaceDE w:val="0"/>
              <w:autoSpaceDN w:val="0"/>
              <w:adjustRightInd w:val="0"/>
              <w:spacing w:after="120" w:line="240" w:lineRule="auto"/>
              <w:rPr>
                <w:rFonts w:ascii="Times New Roman" w:hAnsi="Times New Roman" w:cs="Times New Roman"/>
                <w:bCs/>
                <w:color w:val="000000"/>
                <w:sz w:val="20"/>
                <w:szCs w:val="20"/>
              </w:rPr>
            </w:pPr>
            <w:r w:rsidRPr="00154D6F">
              <w:rPr>
                <w:rFonts w:ascii="Times New Roman" w:hAnsi="Times New Roman" w:cs="Times New Roman"/>
                <w:bCs/>
                <w:color w:val="000000"/>
                <w:sz w:val="20"/>
                <w:szCs w:val="20"/>
              </w:rPr>
              <w:t>GACC region</w:t>
            </w:r>
          </w:p>
        </w:tc>
        <w:tc>
          <w:tcPr>
            <w:tcW w:w="990" w:type="dxa"/>
            <w:vAlign w:val="bottom"/>
          </w:tcPr>
          <w:p w:rsidR="00AB19C3" w:rsidRPr="00154D6F" w:rsidRDefault="00AB19C3" w:rsidP="00971CD2">
            <w:pPr>
              <w:autoSpaceDE w:val="0"/>
              <w:autoSpaceDN w:val="0"/>
              <w:adjustRightInd w:val="0"/>
              <w:spacing w:after="120" w:line="240" w:lineRule="auto"/>
              <w:jc w:val="center"/>
              <w:rPr>
                <w:rFonts w:ascii="Times New Roman" w:hAnsi="Times New Roman" w:cs="Times New Roman"/>
                <w:bCs/>
                <w:color w:val="000000"/>
                <w:sz w:val="20"/>
                <w:szCs w:val="20"/>
              </w:rPr>
            </w:pPr>
            <w:r w:rsidRPr="00154D6F">
              <w:rPr>
                <w:rFonts w:ascii="Times New Roman" w:hAnsi="Times New Roman" w:cs="Times New Roman"/>
                <w:bCs/>
                <w:color w:val="000000"/>
                <w:sz w:val="20"/>
                <w:szCs w:val="20"/>
              </w:rPr>
              <w:t>Number of wildfires</w:t>
            </w:r>
          </w:p>
        </w:tc>
        <w:tc>
          <w:tcPr>
            <w:tcW w:w="1300" w:type="dxa"/>
            <w:vAlign w:val="bottom"/>
          </w:tcPr>
          <w:p w:rsidR="00AB19C3" w:rsidRPr="00154D6F" w:rsidRDefault="00AB19C3" w:rsidP="00971CD2">
            <w:pPr>
              <w:autoSpaceDE w:val="0"/>
              <w:autoSpaceDN w:val="0"/>
              <w:adjustRightInd w:val="0"/>
              <w:spacing w:after="120" w:line="240" w:lineRule="auto"/>
              <w:jc w:val="center"/>
              <w:rPr>
                <w:rFonts w:ascii="Times New Roman" w:hAnsi="Times New Roman" w:cs="Times New Roman"/>
                <w:bCs/>
                <w:color w:val="000000"/>
                <w:sz w:val="20"/>
                <w:szCs w:val="20"/>
              </w:rPr>
            </w:pPr>
            <w:r w:rsidRPr="00154D6F">
              <w:rPr>
                <w:rFonts w:ascii="Times New Roman" w:hAnsi="Times New Roman" w:cs="Times New Roman"/>
                <w:bCs/>
                <w:color w:val="000000"/>
                <w:sz w:val="20"/>
                <w:szCs w:val="20"/>
              </w:rPr>
              <w:t xml:space="preserve">Acres </w:t>
            </w:r>
            <w:r w:rsidRPr="00154D6F">
              <w:rPr>
                <w:rFonts w:ascii="Times New Roman" w:hAnsi="Times New Roman" w:cs="Times New Roman"/>
                <w:bCs/>
                <w:color w:val="000000"/>
                <w:sz w:val="20"/>
                <w:szCs w:val="20"/>
              </w:rPr>
              <w:br/>
              <w:t>burned</w:t>
            </w:r>
          </w:p>
        </w:tc>
        <w:tc>
          <w:tcPr>
            <w:tcW w:w="1620" w:type="dxa"/>
            <w:vAlign w:val="bottom"/>
          </w:tcPr>
          <w:p w:rsidR="00AB19C3" w:rsidRPr="00154D6F" w:rsidRDefault="00AB19C3" w:rsidP="00371212">
            <w:pPr>
              <w:autoSpaceDE w:val="0"/>
              <w:autoSpaceDN w:val="0"/>
              <w:adjustRightInd w:val="0"/>
              <w:spacing w:after="120" w:line="240" w:lineRule="auto"/>
              <w:jc w:val="center"/>
              <w:rPr>
                <w:rFonts w:ascii="Times New Roman" w:hAnsi="Times New Roman" w:cs="Times New Roman"/>
                <w:bCs/>
                <w:color w:val="000000"/>
                <w:sz w:val="20"/>
                <w:szCs w:val="20"/>
              </w:rPr>
            </w:pPr>
            <w:r w:rsidRPr="00154D6F">
              <w:rPr>
                <w:rFonts w:ascii="Times New Roman" w:hAnsi="Times New Roman" w:cs="Times New Roman"/>
                <w:bCs/>
                <w:color w:val="000000"/>
                <w:sz w:val="20"/>
                <w:szCs w:val="20"/>
              </w:rPr>
              <w:t xml:space="preserve">Sum of response costs </w:t>
            </w:r>
            <w:r>
              <w:rPr>
                <w:rFonts w:ascii="Times New Roman" w:hAnsi="Times New Roman" w:cs="Times New Roman"/>
                <w:bCs/>
                <w:color w:val="000000"/>
                <w:sz w:val="20"/>
                <w:szCs w:val="20"/>
              </w:rPr>
              <w:br/>
            </w:r>
            <w:r w:rsidRPr="00154D6F">
              <w:rPr>
                <w:rFonts w:ascii="Times New Roman" w:hAnsi="Times New Roman" w:cs="Times New Roman"/>
                <w:bCs/>
                <w:color w:val="000000"/>
                <w:sz w:val="20"/>
                <w:szCs w:val="20"/>
              </w:rPr>
              <w:t>(2005</w:t>
            </w:r>
            <w:r w:rsidR="00371212">
              <w:rPr>
                <w:rFonts w:ascii="Times New Roman" w:hAnsi="Times New Roman" w:cs="Times New Roman"/>
                <w:bCs/>
                <w:color w:val="000000"/>
                <w:sz w:val="20"/>
                <w:szCs w:val="20"/>
              </w:rPr>
              <w:t>$</w:t>
            </w:r>
            <w:r w:rsidRPr="00154D6F">
              <w:rPr>
                <w:rFonts w:ascii="Times New Roman" w:hAnsi="Times New Roman" w:cs="Times New Roman"/>
                <w:bCs/>
                <w:color w:val="000000"/>
                <w:sz w:val="20"/>
                <w:szCs w:val="20"/>
              </w:rPr>
              <w:t>)</w:t>
            </w:r>
          </w:p>
        </w:tc>
        <w:tc>
          <w:tcPr>
            <w:tcW w:w="1260" w:type="dxa"/>
            <w:vAlign w:val="bottom"/>
          </w:tcPr>
          <w:p w:rsidR="00AB19C3" w:rsidRPr="00154D6F" w:rsidRDefault="00AB19C3">
            <w:pPr>
              <w:autoSpaceDE w:val="0"/>
              <w:autoSpaceDN w:val="0"/>
              <w:adjustRightInd w:val="0"/>
              <w:spacing w:after="120" w:line="240" w:lineRule="auto"/>
              <w:jc w:val="center"/>
              <w:rPr>
                <w:rFonts w:ascii="Times New Roman" w:hAnsi="Times New Roman" w:cs="Times New Roman"/>
                <w:bCs/>
                <w:color w:val="000000"/>
                <w:sz w:val="20"/>
                <w:szCs w:val="20"/>
              </w:rPr>
            </w:pPr>
            <w:r w:rsidRPr="00154D6F">
              <w:rPr>
                <w:rFonts w:ascii="Times New Roman" w:hAnsi="Times New Roman" w:cs="Times New Roman"/>
                <w:bCs/>
                <w:color w:val="000000"/>
                <w:sz w:val="20"/>
                <w:szCs w:val="20"/>
              </w:rPr>
              <w:t>Average response cost per acre burned (2005</w:t>
            </w:r>
            <w:r w:rsidR="00371212">
              <w:rPr>
                <w:rFonts w:ascii="Times New Roman" w:hAnsi="Times New Roman" w:cs="Times New Roman"/>
                <w:bCs/>
                <w:color w:val="000000"/>
                <w:sz w:val="20"/>
                <w:szCs w:val="20"/>
              </w:rPr>
              <w:t>$</w:t>
            </w:r>
            <w:r w:rsidRPr="00154D6F">
              <w:rPr>
                <w:rFonts w:ascii="Times New Roman" w:hAnsi="Times New Roman" w:cs="Times New Roman"/>
                <w:bCs/>
                <w:color w:val="000000"/>
                <w:sz w:val="20"/>
                <w:szCs w:val="20"/>
              </w:rPr>
              <w:t>)</w:t>
            </w:r>
          </w:p>
        </w:tc>
        <w:tc>
          <w:tcPr>
            <w:tcW w:w="1247" w:type="dxa"/>
            <w:vAlign w:val="bottom"/>
          </w:tcPr>
          <w:p w:rsidR="00AB19C3" w:rsidRPr="00154D6F" w:rsidRDefault="00AB19C3">
            <w:pPr>
              <w:autoSpaceDE w:val="0"/>
              <w:autoSpaceDN w:val="0"/>
              <w:adjustRightInd w:val="0"/>
              <w:spacing w:after="120" w:line="240" w:lineRule="auto"/>
              <w:jc w:val="center"/>
              <w:rPr>
                <w:rFonts w:ascii="Times New Roman" w:hAnsi="Times New Roman" w:cs="Times New Roman"/>
                <w:bCs/>
                <w:color w:val="000000"/>
                <w:sz w:val="20"/>
                <w:szCs w:val="20"/>
              </w:rPr>
            </w:pPr>
            <w:r w:rsidRPr="00154D6F">
              <w:rPr>
                <w:rFonts w:ascii="Times New Roman" w:hAnsi="Times New Roman" w:cs="Times New Roman"/>
                <w:bCs/>
                <w:color w:val="000000"/>
                <w:sz w:val="20"/>
                <w:szCs w:val="20"/>
              </w:rPr>
              <w:t>Maximum response cost per acre burned (2005</w:t>
            </w:r>
            <w:r w:rsidR="00371212">
              <w:rPr>
                <w:rFonts w:ascii="Times New Roman" w:hAnsi="Times New Roman" w:cs="Times New Roman"/>
                <w:bCs/>
                <w:color w:val="000000"/>
                <w:sz w:val="20"/>
                <w:szCs w:val="20"/>
              </w:rPr>
              <w:t>$</w:t>
            </w:r>
            <w:r w:rsidRPr="00154D6F">
              <w:rPr>
                <w:rFonts w:ascii="Times New Roman" w:hAnsi="Times New Roman" w:cs="Times New Roman"/>
                <w:bCs/>
                <w:color w:val="000000"/>
                <w:sz w:val="20"/>
                <w:szCs w:val="20"/>
              </w:rPr>
              <w:t>)</w:t>
            </w:r>
          </w:p>
        </w:tc>
      </w:tr>
      <w:tr w:rsidR="00AB19C3" w:rsidRPr="00154D6F" w:rsidTr="00AB19C3">
        <w:trPr>
          <w:jc w:val="center"/>
        </w:trPr>
        <w:tc>
          <w:tcPr>
            <w:tcW w:w="8434" w:type="dxa"/>
            <w:gridSpan w:val="6"/>
            <w:vAlign w:val="bottom"/>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bCs/>
                <w:color w:val="000000"/>
                <w:sz w:val="20"/>
                <w:szCs w:val="20"/>
              </w:rPr>
              <w:t xml:space="preserve">All wildfires </w:t>
            </w: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California North Ops</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445</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1,648,624</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$1,114,310,697</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$676</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2017" w:type="dxa"/>
          </w:tcPr>
          <w:p w:rsidR="00AB19C3" w:rsidRPr="00534B71"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534B71">
              <w:rPr>
                <w:rFonts w:ascii="Times New Roman" w:hAnsi="Times New Roman" w:cs="Times New Roman"/>
                <w:color w:val="000000"/>
                <w:sz w:val="20"/>
                <w:szCs w:val="20"/>
              </w:rPr>
              <w:t>California South Ops</w:t>
            </w:r>
          </w:p>
        </w:tc>
        <w:tc>
          <w:tcPr>
            <w:tcW w:w="990" w:type="dxa"/>
          </w:tcPr>
          <w:p w:rsidR="00AB19C3" w:rsidRPr="00534B71"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534B71">
              <w:rPr>
                <w:rFonts w:ascii="Times New Roman" w:hAnsi="Times New Roman" w:cs="Times New Roman"/>
                <w:color w:val="000000"/>
                <w:sz w:val="20"/>
                <w:szCs w:val="20"/>
              </w:rPr>
              <w:t>978</w:t>
            </w:r>
          </w:p>
        </w:tc>
        <w:tc>
          <w:tcPr>
            <w:tcW w:w="1300" w:type="dxa"/>
          </w:tcPr>
          <w:p w:rsidR="00AB19C3" w:rsidRPr="00534B71"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534B71">
              <w:rPr>
                <w:rFonts w:ascii="Times New Roman" w:hAnsi="Times New Roman" w:cs="Times New Roman"/>
                <w:color w:val="000000"/>
                <w:sz w:val="20"/>
                <w:szCs w:val="20"/>
              </w:rPr>
              <w:t>3,548,842</w:t>
            </w:r>
          </w:p>
        </w:tc>
        <w:tc>
          <w:tcPr>
            <w:tcW w:w="1620" w:type="dxa"/>
          </w:tcPr>
          <w:p w:rsidR="00AB19C3" w:rsidRPr="00534B71"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534B71">
              <w:rPr>
                <w:rFonts w:ascii="Times New Roman" w:hAnsi="Times New Roman" w:cs="Times New Roman"/>
                <w:color w:val="000000"/>
                <w:sz w:val="20"/>
                <w:szCs w:val="20"/>
              </w:rPr>
              <w:t>$1,347,330,837</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534B71">
              <w:rPr>
                <w:rFonts w:ascii="Times New Roman" w:hAnsi="Times New Roman" w:cs="Times New Roman"/>
                <w:color w:val="000000"/>
                <w:sz w:val="20"/>
                <w:szCs w:val="20"/>
              </w:rPr>
              <w:t>$380</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East Basin</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70</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12,145</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$47,896</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Eastern Area</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1,067</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596,149</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$22,289,100</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$37</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Eastern Great Basin</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1,298</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6,125,473</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$402,367,135</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$66</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Northern Rockies</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781</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3,197,797</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$672,858,664</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$210</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2017" w:type="dxa"/>
          </w:tcPr>
          <w:p w:rsidR="00AB19C3" w:rsidRPr="00154D6F" w:rsidRDefault="00AB19C3">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Northwest</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546</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2,862,643</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$939,971,815</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$328</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Rocky Mountain</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639</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1,703,763</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$304,699,432</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$179</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Southern Area</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6,445</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5,310,903</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$170,563,509</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$32</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2017" w:type="dxa"/>
          </w:tcPr>
          <w:p w:rsidR="00AB19C3" w:rsidRPr="00154D6F" w:rsidRDefault="00AB19C3">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Southwest</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1,383</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5,617,454</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$476,861,077</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$85</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Western Great Basin</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460</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2,984,566</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$95,012,721</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$32</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bCs/>
                <w:color w:val="000000"/>
                <w:sz w:val="20"/>
                <w:szCs w:val="20"/>
              </w:rPr>
            </w:pPr>
            <w:r w:rsidRPr="00154D6F">
              <w:rPr>
                <w:rFonts w:ascii="Times New Roman" w:hAnsi="Times New Roman" w:cs="Times New Roman"/>
                <w:bCs/>
                <w:color w:val="000000"/>
                <w:sz w:val="20"/>
                <w:szCs w:val="20"/>
              </w:rPr>
              <w:t>Total</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bCs/>
                <w:color w:val="000000"/>
                <w:sz w:val="20"/>
                <w:szCs w:val="20"/>
              </w:rPr>
            </w:pPr>
            <w:r w:rsidRPr="00154D6F">
              <w:rPr>
                <w:rFonts w:ascii="Times New Roman" w:hAnsi="Times New Roman" w:cs="Times New Roman"/>
                <w:bCs/>
                <w:color w:val="000000"/>
                <w:sz w:val="20"/>
                <w:szCs w:val="20"/>
              </w:rPr>
              <w:t>14,112</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bCs/>
                <w:color w:val="000000"/>
                <w:sz w:val="20"/>
                <w:szCs w:val="20"/>
              </w:rPr>
            </w:pPr>
            <w:r w:rsidRPr="00154D6F">
              <w:rPr>
                <w:rFonts w:ascii="Times New Roman" w:hAnsi="Times New Roman" w:cs="Times New Roman"/>
                <w:bCs/>
                <w:color w:val="000000"/>
                <w:sz w:val="20"/>
                <w:szCs w:val="20"/>
              </w:rPr>
              <w:t>33,608,359</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bCs/>
                <w:color w:val="000000"/>
                <w:sz w:val="20"/>
                <w:szCs w:val="20"/>
              </w:rPr>
            </w:pPr>
            <w:r w:rsidRPr="00154D6F">
              <w:rPr>
                <w:rFonts w:ascii="Times New Roman" w:hAnsi="Times New Roman" w:cs="Times New Roman"/>
                <w:bCs/>
                <w:color w:val="000000"/>
                <w:sz w:val="20"/>
                <w:szCs w:val="20"/>
              </w:rPr>
              <w:t>$5,546,312,882</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bCs/>
                <w:color w:val="000000"/>
                <w:sz w:val="20"/>
                <w:szCs w:val="20"/>
              </w:rPr>
            </w:pPr>
            <w:r w:rsidRPr="00154D6F">
              <w:rPr>
                <w:rFonts w:ascii="Times New Roman" w:hAnsi="Times New Roman" w:cs="Times New Roman"/>
                <w:bCs/>
                <w:color w:val="000000"/>
                <w:sz w:val="20"/>
                <w:szCs w:val="20"/>
              </w:rPr>
              <w:t>$165</w:t>
            </w:r>
          </w:p>
        </w:tc>
        <w:tc>
          <w:tcPr>
            <w:tcW w:w="1247" w:type="dxa"/>
          </w:tcPr>
          <w:p w:rsidR="00AB19C3" w:rsidRPr="00154D6F" w:rsidRDefault="00AB19C3" w:rsidP="00971CD2">
            <w:pPr>
              <w:tabs>
                <w:tab w:val="decimal" w:pos="677"/>
              </w:tabs>
              <w:autoSpaceDE w:val="0"/>
              <w:autoSpaceDN w:val="0"/>
              <w:adjustRightInd w:val="0"/>
              <w:spacing w:after="120" w:line="240" w:lineRule="auto"/>
              <w:rPr>
                <w:rFonts w:ascii="Times New Roman" w:hAnsi="Times New Roman" w:cs="Times New Roman"/>
                <w:color w:val="000000"/>
                <w:sz w:val="20"/>
                <w:szCs w:val="20"/>
              </w:rPr>
            </w:pPr>
          </w:p>
        </w:tc>
      </w:tr>
      <w:tr w:rsidR="00AB19C3" w:rsidRPr="00154D6F" w:rsidTr="00AB19C3">
        <w:trPr>
          <w:jc w:val="center"/>
        </w:trPr>
        <w:tc>
          <w:tcPr>
            <w:tcW w:w="8434" w:type="dxa"/>
            <w:gridSpan w:val="6"/>
            <w:vAlign w:val="bottom"/>
          </w:tcPr>
          <w:p w:rsidR="00AB19C3" w:rsidRPr="00154D6F" w:rsidRDefault="00AB19C3" w:rsidP="00AB19C3">
            <w:pPr>
              <w:keepNext/>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bCs/>
                <w:color w:val="000000"/>
                <w:sz w:val="20"/>
                <w:szCs w:val="20"/>
              </w:rPr>
              <w:lastRenderedPageBreak/>
              <w:t>Only wildfires with incurred response costs</w:t>
            </w:r>
          </w:p>
        </w:tc>
      </w:tr>
      <w:tr w:rsidR="00AB19C3" w:rsidRPr="00154D6F" w:rsidTr="00AB19C3">
        <w:trPr>
          <w:jc w:val="center"/>
        </w:trPr>
        <w:tc>
          <w:tcPr>
            <w:tcW w:w="2017" w:type="dxa"/>
          </w:tcPr>
          <w:p w:rsidR="00AB19C3" w:rsidRPr="00154D6F" w:rsidRDefault="00AB19C3" w:rsidP="00AB19C3">
            <w:pPr>
              <w:keepNext/>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California North Ops</w:t>
            </w:r>
          </w:p>
        </w:tc>
        <w:tc>
          <w:tcPr>
            <w:tcW w:w="99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316</w:t>
            </w:r>
          </w:p>
        </w:tc>
        <w:tc>
          <w:tcPr>
            <w:tcW w:w="130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1,310,935</w:t>
            </w:r>
          </w:p>
        </w:tc>
        <w:tc>
          <w:tcPr>
            <w:tcW w:w="162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$1,114,310,697</w:t>
            </w:r>
          </w:p>
        </w:tc>
        <w:tc>
          <w:tcPr>
            <w:tcW w:w="126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$850</w:t>
            </w:r>
          </w:p>
        </w:tc>
        <w:tc>
          <w:tcPr>
            <w:tcW w:w="1247"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$16,940</w:t>
            </w:r>
          </w:p>
        </w:tc>
      </w:tr>
      <w:tr w:rsidR="00AB19C3" w:rsidRPr="00154D6F" w:rsidTr="00AB19C3">
        <w:trPr>
          <w:jc w:val="center"/>
        </w:trPr>
        <w:tc>
          <w:tcPr>
            <w:tcW w:w="2017" w:type="dxa"/>
          </w:tcPr>
          <w:p w:rsidR="00AB19C3" w:rsidRPr="00534B71" w:rsidRDefault="00AB19C3" w:rsidP="00AB19C3">
            <w:pPr>
              <w:keepNext/>
              <w:autoSpaceDE w:val="0"/>
              <w:autoSpaceDN w:val="0"/>
              <w:adjustRightInd w:val="0"/>
              <w:spacing w:after="120" w:line="240" w:lineRule="auto"/>
              <w:rPr>
                <w:rFonts w:ascii="Times New Roman" w:hAnsi="Times New Roman" w:cs="Times New Roman"/>
                <w:color w:val="000000"/>
                <w:sz w:val="20"/>
                <w:szCs w:val="20"/>
              </w:rPr>
            </w:pPr>
            <w:r w:rsidRPr="00534B71">
              <w:rPr>
                <w:rFonts w:ascii="Times New Roman" w:hAnsi="Times New Roman" w:cs="Times New Roman"/>
                <w:color w:val="000000"/>
                <w:sz w:val="20"/>
                <w:szCs w:val="20"/>
              </w:rPr>
              <w:t>California South Ops</w:t>
            </w:r>
          </w:p>
        </w:tc>
        <w:tc>
          <w:tcPr>
            <w:tcW w:w="990" w:type="dxa"/>
          </w:tcPr>
          <w:p w:rsidR="00AB19C3" w:rsidRPr="00534B71"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534B71">
              <w:rPr>
                <w:rFonts w:ascii="Times New Roman" w:hAnsi="Times New Roman" w:cs="Times New Roman"/>
                <w:color w:val="000000"/>
                <w:sz w:val="20"/>
                <w:szCs w:val="20"/>
              </w:rPr>
              <w:t>514</w:t>
            </w:r>
          </w:p>
        </w:tc>
        <w:tc>
          <w:tcPr>
            <w:tcW w:w="1300" w:type="dxa"/>
          </w:tcPr>
          <w:p w:rsidR="00AB19C3" w:rsidRPr="00534B71"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534B71">
              <w:rPr>
                <w:rFonts w:ascii="Times New Roman" w:hAnsi="Times New Roman" w:cs="Times New Roman"/>
                <w:color w:val="000000"/>
                <w:sz w:val="20"/>
                <w:szCs w:val="20"/>
              </w:rPr>
              <w:t>2,985,101</w:t>
            </w:r>
          </w:p>
        </w:tc>
        <w:tc>
          <w:tcPr>
            <w:tcW w:w="1620" w:type="dxa"/>
          </w:tcPr>
          <w:p w:rsidR="00AB19C3" w:rsidRPr="00534B71"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534B71">
              <w:rPr>
                <w:rFonts w:ascii="Times New Roman" w:hAnsi="Times New Roman" w:cs="Times New Roman"/>
                <w:color w:val="000000"/>
                <w:sz w:val="20"/>
                <w:szCs w:val="20"/>
              </w:rPr>
              <w:t>$1,347,330,837</w:t>
            </w:r>
          </w:p>
        </w:tc>
        <w:tc>
          <w:tcPr>
            <w:tcW w:w="1260" w:type="dxa"/>
          </w:tcPr>
          <w:p w:rsidR="00AB19C3" w:rsidRPr="00534B71"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534B71">
              <w:rPr>
                <w:rFonts w:ascii="Times New Roman" w:hAnsi="Times New Roman" w:cs="Times New Roman"/>
                <w:color w:val="000000"/>
                <w:sz w:val="20"/>
                <w:szCs w:val="20"/>
              </w:rPr>
              <w:t>$451</w:t>
            </w:r>
          </w:p>
        </w:tc>
        <w:tc>
          <w:tcPr>
            <w:tcW w:w="1247"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534B71">
              <w:rPr>
                <w:rFonts w:ascii="Times New Roman" w:hAnsi="Times New Roman" w:cs="Times New Roman"/>
                <w:color w:val="000000"/>
                <w:sz w:val="20"/>
                <w:szCs w:val="20"/>
              </w:rPr>
              <w:t>$17,803</w:t>
            </w:r>
          </w:p>
        </w:tc>
      </w:tr>
      <w:tr w:rsidR="00AB19C3" w:rsidRPr="00154D6F" w:rsidTr="00AB19C3">
        <w:trPr>
          <w:jc w:val="center"/>
        </w:trPr>
        <w:tc>
          <w:tcPr>
            <w:tcW w:w="2017" w:type="dxa"/>
          </w:tcPr>
          <w:p w:rsidR="00AB19C3" w:rsidRPr="00154D6F" w:rsidRDefault="00AB19C3" w:rsidP="00AB19C3">
            <w:pPr>
              <w:keepNext/>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East Basin</w:t>
            </w:r>
          </w:p>
        </w:tc>
        <w:tc>
          <w:tcPr>
            <w:tcW w:w="99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9</w:t>
            </w:r>
          </w:p>
        </w:tc>
        <w:tc>
          <w:tcPr>
            <w:tcW w:w="130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2,220</w:t>
            </w:r>
          </w:p>
        </w:tc>
        <w:tc>
          <w:tcPr>
            <w:tcW w:w="162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$47,896</w:t>
            </w:r>
          </w:p>
        </w:tc>
        <w:tc>
          <w:tcPr>
            <w:tcW w:w="126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$22</w:t>
            </w:r>
          </w:p>
        </w:tc>
        <w:tc>
          <w:tcPr>
            <w:tcW w:w="1247"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$49</w:t>
            </w:r>
          </w:p>
        </w:tc>
      </w:tr>
      <w:tr w:rsidR="00AB19C3" w:rsidRPr="00154D6F" w:rsidTr="00AB19C3">
        <w:trPr>
          <w:jc w:val="center"/>
        </w:trPr>
        <w:tc>
          <w:tcPr>
            <w:tcW w:w="2017" w:type="dxa"/>
          </w:tcPr>
          <w:p w:rsidR="00AB19C3" w:rsidRPr="00154D6F" w:rsidRDefault="00AB19C3" w:rsidP="00AB19C3">
            <w:pPr>
              <w:keepNext/>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Eastern Area</w:t>
            </w:r>
          </w:p>
        </w:tc>
        <w:tc>
          <w:tcPr>
            <w:tcW w:w="99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460</w:t>
            </w:r>
          </w:p>
        </w:tc>
        <w:tc>
          <w:tcPr>
            <w:tcW w:w="130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285,859</w:t>
            </w:r>
          </w:p>
        </w:tc>
        <w:tc>
          <w:tcPr>
            <w:tcW w:w="162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$22,289,100</w:t>
            </w:r>
          </w:p>
        </w:tc>
        <w:tc>
          <w:tcPr>
            <w:tcW w:w="1260"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$78</w:t>
            </w:r>
          </w:p>
        </w:tc>
        <w:tc>
          <w:tcPr>
            <w:tcW w:w="1247" w:type="dxa"/>
          </w:tcPr>
          <w:p w:rsidR="00AB19C3" w:rsidRPr="00154D6F" w:rsidRDefault="00AB19C3" w:rsidP="00D21823">
            <w:pPr>
              <w:keepNext/>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$2,401</w:t>
            </w: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Eastern Great Basin</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545</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3,622,204</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$402,367,135</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$111</w:t>
            </w:r>
          </w:p>
        </w:tc>
        <w:tc>
          <w:tcPr>
            <w:tcW w:w="1247"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$23,755</w:t>
            </w: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Northern Rockies</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579</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2,688,733</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$672,858,664</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$250</w:t>
            </w:r>
          </w:p>
        </w:tc>
        <w:tc>
          <w:tcPr>
            <w:tcW w:w="1247"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$16,343</w:t>
            </w:r>
          </w:p>
        </w:tc>
      </w:tr>
      <w:tr w:rsidR="00AB19C3" w:rsidRPr="00154D6F" w:rsidTr="00AB19C3">
        <w:trPr>
          <w:jc w:val="center"/>
        </w:trPr>
        <w:tc>
          <w:tcPr>
            <w:tcW w:w="2017" w:type="dxa"/>
          </w:tcPr>
          <w:p w:rsidR="00AB19C3" w:rsidRPr="00154D6F" w:rsidRDefault="00AB19C3">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Northwest</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330</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2,150,098</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$939,971,815</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$437</w:t>
            </w:r>
          </w:p>
        </w:tc>
        <w:tc>
          <w:tcPr>
            <w:tcW w:w="1247"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$33,949</w:t>
            </w: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Rocky Mountain</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343</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1,166,140</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$304,699,432</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$261</w:t>
            </w:r>
          </w:p>
        </w:tc>
        <w:tc>
          <w:tcPr>
            <w:tcW w:w="1247"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$30,947</w:t>
            </w: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Southern Area</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1,603</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1,904,392</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$170,563,509</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$90</w:t>
            </w:r>
          </w:p>
        </w:tc>
        <w:tc>
          <w:tcPr>
            <w:tcW w:w="1247"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$6,011</w:t>
            </w:r>
          </w:p>
        </w:tc>
      </w:tr>
      <w:tr w:rsidR="00AB19C3" w:rsidRPr="00154D6F" w:rsidTr="00AB19C3">
        <w:trPr>
          <w:jc w:val="center"/>
        </w:trPr>
        <w:tc>
          <w:tcPr>
            <w:tcW w:w="2017" w:type="dxa"/>
          </w:tcPr>
          <w:p w:rsidR="00AB19C3" w:rsidRPr="00154D6F" w:rsidRDefault="00AB19C3">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Southwest</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831</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3,397,534</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$476,861,077</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$140</w:t>
            </w:r>
          </w:p>
        </w:tc>
        <w:tc>
          <w:tcPr>
            <w:tcW w:w="1247"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$16,328</w:t>
            </w:r>
          </w:p>
        </w:tc>
      </w:tr>
      <w:tr w:rsidR="00AB19C3" w:rsidRPr="00154D6F" w:rsidTr="00AB19C3">
        <w:trPr>
          <w:jc w:val="center"/>
        </w:trPr>
        <w:tc>
          <w:tcPr>
            <w:tcW w:w="2017" w:type="dxa"/>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color w:val="000000"/>
                <w:sz w:val="20"/>
                <w:szCs w:val="20"/>
              </w:rPr>
              <w:t>Western Great Basin</w:t>
            </w:r>
          </w:p>
        </w:tc>
        <w:tc>
          <w:tcPr>
            <w:tcW w:w="99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140</w:t>
            </w:r>
          </w:p>
        </w:tc>
        <w:tc>
          <w:tcPr>
            <w:tcW w:w="130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954,319</w:t>
            </w:r>
          </w:p>
        </w:tc>
        <w:tc>
          <w:tcPr>
            <w:tcW w:w="162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$95,012,721</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$100</w:t>
            </w:r>
          </w:p>
        </w:tc>
        <w:tc>
          <w:tcPr>
            <w:tcW w:w="1247"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color w:val="000000"/>
                <w:sz w:val="20"/>
                <w:szCs w:val="20"/>
              </w:rPr>
            </w:pPr>
            <w:r w:rsidRPr="00154D6F">
              <w:rPr>
                <w:rFonts w:ascii="Times New Roman" w:hAnsi="Times New Roman" w:cs="Times New Roman"/>
                <w:color w:val="000000"/>
                <w:sz w:val="20"/>
                <w:szCs w:val="20"/>
              </w:rPr>
              <w:t>$9,198</w:t>
            </w:r>
          </w:p>
        </w:tc>
      </w:tr>
      <w:tr w:rsidR="00AB19C3" w:rsidRPr="00154D6F" w:rsidTr="00AB19C3">
        <w:trPr>
          <w:jc w:val="center"/>
        </w:trPr>
        <w:tc>
          <w:tcPr>
            <w:tcW w:w="2017" w:type="dxa"/>
          </w:tcPr>
          <w:p w:rsidR="00AB19C3" w:rsidRPr="00534B71" w:rsidRDefault="00AB19C3" w:rsidP="00971CD2">
            <w:pPr>
              <w:autoSpaceDE w:val="0"/>
              <w:autoSpaceDN w:val="0"/>
              <w:adjustRightInd w:val="0"/>
              <w:spacing w:after="120" w:line="240" w:lineRule="auto"/>
              <w:rPr>
                <w:rFonts w:ascii="Times New Roman" w:hAnsi="Times New Roman" w:cs="Times New Roman"/>
                <w:bCs/>
                <w:color w:val="000000"/>
                <w:sz w:val="20"/>
                <w:szCs w:val="20"/>
              </w:rPr>
            </w:pPr>
            <w:r w:rsidRPr="00534B71">
              <w:rPr>
                <w:rFonts w:ascii="Times New Roman" w:hAnsi="Times New Roman" w:cs="Times New Roman"/>
                <w:bCs/>
                <w:color w:val="000000"/>
                <w:sz w:val="20"/>
                <w:szCs w:val="20"/>
              </w:rPr>
              <w:t>Total</w:t>
            </w:r>
          </w:p>
        </w:tc>
        <w:tc>
          <w:tcPr>
            <w:tcW w:w="990" w:type="dxa"/>
          </w:tcPr>
          <w:p w:rsidR="00AB19C3" w:rsidRPr="00534B71" w:rsidRDefault="00AB19C3" w:rsidP="00D21823">
            <w:pPr>
              <w:autoSpaceDE w:val="0"/>
              <w:autoSpaceDN w:val="0"/>
              <w:adjustRightInd w:val="0"/>
              <w:spacing w:after="120" w:line="240" w:lineRule="auto"/>
              <w:jc w:val="center"/>
              <w:rPr>
                <w:rFonts w:ascii="Times New Roman" w:hAnsi="Times New Roman" w:cs="Times New Roman"/>
                <w:bCs/>
                <w:color w:val="000000"/>
                <w:sz w:val="20"/>
                <w:szCs w:val="20"/>
              </w:rPr>
            </w:pPr>
            <w:r w:rsidRPr="00534B71">
              <w:rPr>
                <w:rFonts w:ascii="Times New Roman" w:hAnsi="Times New Roman" w:cs="Times New Roman"/>
                <w:bCs/>
                <w:color w:val="000000"/>
                <w:sz w:val="20"/>
                <w:szCs w:val="20"/>
              </w:rPr>
              <w:t>5,670</w:t>
            </w:r>
          </w:p>
        </w:tc>
        <w:tc>
          <w:tcPr>
            <w:tcW w:w="1300" w:type="dxa"/>
          </w:tcPr>
          <w:p w:rsidR="00AB19C3" w:rsidRPr="00534B71" w:rsidRDefault="00AB19C3" w:rsidP="00D21823">
            <w:pPr>
              <w:autoSpaceDE w:val="0"/>
              <w:autoSpaceDN w:val="0"/>
              <w:adjustRightInd w:val="0"/>
              <w:spacing w:after="120" w:line="240" w:lineRule="auto"/>
              <w:jc w:val="center"/>
              <w:rPr>
                <w:rFonts w:ascii="Times New Roman" w:hAnsi="Times New Roman" w:cs="Times New Roman"/>
                <w:bCs/>
                <w:color w:val="000000"/>
                <w:sz w:val="20"/>
                <w:szCs w:val="20"/>
              </w:rPr>
            </w:pPr>
            <w:r w:rsidRPr="00534B71">
              <w:rPr>
                <w:rFonts w:ascii="Times New Roman" w:hAnsi="Times New Roman" w:cs="Times New Roman"/>
                <w:bCs/>
                <w:color w:val="000000"/>
                <w:sz w:val="20"/>
                <w:szCs w:val="20"/>
              </w:rPr>
              <w:t>20,467,535</w:t>
            </w:r>
          </w:p>
        </w:tc>
        <w:tc>
          <w:tcPr>
            <w:tcW w:w="1620" w:type="dxa"/>
          </w:tcPr>
          <w:p w:rsidR="00AB19C3" w:rsidRPr="00534B71" w:rsidRDefault="00AB19C3" w:rsidP="00D21823">
            <w:pPr>
              <w:autoSpaceDE w:val="0"/>
              <w:autoSpaceDN w:val="0"/>
              <w:adjustRightInd w:val="0"/>
              <w:spacing w:after="120" w:line="240" w:lineRule="auto"/>
              <w:jc w:val="center"/>
              <w:rPr>
                <w:rFonts w:ascii="Times New Roman" w:hAnsi="Times New Roman" w:cs="Times New Roman"/>
                <w:bCs/>
                <w:color w:val="000000"/>
                <w:sz w:val="20"/>
                <w:szCs w:val="20"/>
              </w:rPr>
            </w:pPr>
            <w:r w:rsidRPr="00534B71">
              <w:rPr>
                <w:rFonts w:ascii="Times New Roman" w:hAnsi="Times New Roman" w:cs="Times New Roman"/>
                <w:bCs/>
                <w:color w:val="000000"/>
                <w:sz w:val="20"/>
                <w:szCs w:val="20"/>
              </w:rPr>
              <w:t>$5,546,312,882</w:t>
            </w:r>
          </w:p>
        </w:tc>
        <w:tc>
          <w:tcPr>
            <w:tcW w:w="1260" w:type="dxa"/>
          </w:tcPr>
          <w:p w:rsidR="00AB19C3" w:rsidRPr="00154D6F" w:rsidRDefault="00AB19C3" w:rsidP="00D21823">
            <w:pPr>
              <w:autoSpaceDE w:val="0"/>
              <w:autoSpaceDN w:val="0"/>
              <w:adjustRightInd w:val="0"/>
              <w:spacing w:after="120" w:line="240" w:lineRule="auto"/>
              <w:jc w:val="center"/>
              <w:rPr>
                <w:rFonts w:ascii="Times New Roman" w:hAnsi="Times New Roman" w:cs="Times New Roman"/>
                <w:bCs/>
                <w:color w:val="000000"/>
                <w:sz w:val="20"/>
                <w:szCs w:val="20"/>
              </w:rPr>
            </w:pPr>
            <w:r w:rsidRPr="00534B71">
              <w:rPr>
                <w:rFonts w:ascii="Times New Roman" w:hAnsi="Times New Roman" w:cs="Times New Roman"/>
                <w:bCs/>
                <w:color w:val="000000"/>
                <w:sz w:val="20"/>
                <w:szCs w:val="20"/>
              </w:rPr>
              <w:t>$271</w:t>
            </w:r>
          </w:p>
        </w:tc>
        <w:tc>
          <w:tcPr>
            <w:tcW w:w="1247" w:type="dxa"/>
          </w:tcPr>
          <w:p w:rsidR="00AB19C3" w:rsidRPr="00154D6F" w:rsidRDefault="00AB19C3" w:rsidP="00D21823">
            <w:pPr>
              <w:tabs>
                <w:tab w:val="decimal" w:pos="626"/>
              </w:tabs>
              <w:autoSpaceDE w:val="0"/>
              <w:autoSpaceDN w:val="0"/>
              <w:adjustRightInd w:val="0"/>
              <w:spacing w:after="120" w:line="240" w:lineRule="auto"/>
              <w:jc w:val="center"/>
              <w:rPr>
                <w:rFonts w:ascii="Times New Roman" w:hAnsi="Times New Roman" w:cs="Times New Roman"/>
                <w:color w:val="000000"/>
                <w:sz w:val="20"/>
                <w:szCs w:val="20"/>
              </w:rPr>
            </w:pPr>
          </w:p>
        </w:tc>
      </w:tr>
      <w:tr w:rsidR="00AB19C3" w:rsidRPr="00154D6F" w:rsidTr="00AB19C3">
        <w:trPr>
          <w:jc w:val="center"/>
        </w:trPr>
        <w:tc>
          <w:tcPr>
            <w:tcW w:w="8434" w:type="dxa"/>
            <w:gridSpan w:val="6"/>
            <w:vAlign w:val="bottom"/>
          </w:tcPr>
          <w:p w:rsidR="00AB19C3" w:rsidRPr="00154D6F" w:rsidRDefault="00AB19C3" w:rsidP="00971CD2">
            <w:pPr>
              <w:autoSpaceDE w:val="0"/>
              <w:autoSpaceDN w:val="0"/>
              <w:adjustRightInd w:val="0"/>
              <w:spacing w:after="120" w:line="240" w:lineRule="auto"/>
              <w:rPr>
                <w:rFonts w:ascii="Times New Roman" w:hAnsi="Times New Roman" w:cs="Times New Roman"/>
                <w:color w:val="000000"/>
                <w:sz w:val="20"/>
                <w:szCs w:val="20"/>
              </w:rPr>
            </w:pPr>
            <w:r w:rsidRPr="00154D6F">
              <w:rPr>
                <w:rFonts w:ascii="Times New Roman" w:hAnsi="Times New Roman" w:cs="Times New Roman"/>
                <w:bCs/>
                <w:color w:val="000000"/>
                <w:sz w:val="20"/>
                <w:szCs w:val="20"/>
              </w:rPr>
              <w:t>Totals may not sum due to rounding.</w:t>
            </w:r>
          </w:p>
        </w:tc>
      </w:tr>
    </w:tbl>
    <w:p w:rsidR="00AB19C3" w:rsidRPr="00B94E47" w:rsidRDefault="00AB19C3" w:rsidP="00154D6F">
      <w:pPr>
        <w:tabs>
          <w:tab w:val="right" w:pos="9360"/>
        </w:tabs>
        <w:spacing w:after="240" w:line="240" w:lineRule="auto"/>
        <w:rPr>
          <w:rFonts w:ascii="Times New Roman" w:hAnsi="Times New Roman" w:cs="Times New Roman"/>
          <w:sz w:val="24"/>
          <w:szCs w:val="24"/>
        </w:rPr>
      </w:pPr>
    </w:p>
    <w:p w:rsidR="002D2215" w:rsidRDefault="002D2215" w:rsidP="00154D6F">
      <w:pPr>
        <w:keepLines/>
        <w:spacing w:after="240" w:line="240" w:lineRule="auto"/>
        <w:rPr>
          <w:rFonts w:ascii="Times New Roman" w:hAnsi="Times New Roman" w:cs="Times New Roman"/>
          <w:sz w:val="24"/>
          <w:szCs w:val="24"/>
        </w:rPr>
      </w:pPr>
      <w:r w:rsidRPr="00B94E47">
        <w:rPr>
          <w:rFonts w:ascii="Times New Roman" w:hAnsi="Times New Roman" w:cs="Times New Roman"/>
          <w:sz w:val="24"/>
          <w:szCs w:val="24"/>
        </w:rPr>
        <w:t xml:space="preserve">Table </w:t>
      </w:r>
      <w:r w:rsidR="00713C28">
        <w:rPr>
          <w:rFonts w:ascii="Times New Roman" w:hAnsi="Times New Roman" w:cs="Times New Roman"/>
          <w:sz w:val="24"/>
          <w:szCs w:val="24"/>
        </w:rPr>
        <w:t>6</w:t>
      </w:r>
      <w:r w:rsidR="000A1AC2">
        <w:rPr>
          <w:rFonts w:ascii="Times New Roman" w:hAnsi="Times New Roman" w:cs="Times New Roman"/>
          <w:sz w:val="24"/>
          <w:szCs w:val="24"/>
        </w:rPr>
        <w:t>.</w:t>
      </w:r>
      <w:r w:rsidRPr="00B94E47">
        <w:rPr>
          <w:rFonts w:ascii="Times New Roman" w:hAnsi="Times New Roman" w:cs="Times New Roman"/>
          <w:sz w:val="24"/>
          <w:szCs w:val="24"/>
        </w:rPr>
        <w:t>1 shows a total of about 34 million acres being burned by wildfires from 2002 to 2010, or roughly 3.7 million acres each year with average annual response costs of roughly $6</w:t>
      </w:r>
      <w:r>
        <w:rPr>
          <w:rFonts w:ascii="Times New Roman" w:hAnsi="Times New Roman" w:cs="Times New Roman"/>
          <w:sz w:val="24"/>
          <w:szCs w:val="24"/>
        </w:rPr>
        <w:t>16 million (2005</w:t>
      </w:r>
      <w:r w:rsidRPr="00B94E47">
        <w:rPr>
          <w:rFonts w:ascii="Times New Roman" w:hAnsi="Times New Roman" w:cs="Times New Roman"/>
          <w:sz w:val="24"/>
          <w:szCs w:val="24"/>
        </w:rPr>
        <w:t xml:space="preserve">$). Table </w:t>
      </w:r>
      <w:r w:rsidR="00713C28">
        <w:rPr>
          <w:rFonts w:ascii="Times New Roman" w:hAnsi="Times New Roman" w:cs="Times New Roman"/>
          <w:sz w:val="24"/>
          <w:szCs w:val="24"/>
        </w:rPr>
        <w:t>6</w:t>
      </w:r>
      <w:r w:rsidR="000A1AC2">
        <w:rPr>
          <w:rFonts w:ascii="Times New Roman" w:hAnsi="Times New Roman" w:cs="Times New Roman"/>
          <w:sz w:val="24"/>
          <w:szCs w:val="24"/>
        </w:rPr>
        <w:t>.</w:t>
      </w:r>
      <w:r w:rsidRPr="00B94E47">
        <w:rPr>
          <w:rFonts w:ascii="Times New Roman" w:hAnsi="Times New Roman" w:cs="Times New Roman"/>
          <w:sz w:val="24"/>
          <w:szCs w:val="24"/>
        </w:rPr>
        <w:t xml:space="preserve">1 also highlights that a significant portion of the reported acreage burned by wildfires, roughly 40% or 13.1 million acres over the period, did not incur any response costs. These results also highlight the regional variation in wildfire response expenditures. For example, while wildfires in the Southern </w:t>
      </w:r>
      <w:r w:rsidR="00CB5F20">
        <w:rPr>
          <w:rFonts w:ascii="Times New Roman" w:hAnsi="Times New Roman" w:cs="Times New Roman"/>
          <w:sz w:val="24"/>
          <w:szCs w:val="24"/>
        </w:rPr>
        <w:t>A</w:t>
      </w:r>
      <w:r w:rsidRPr="00B94E47">
        <w:rPr>
          <w:rFonts w:ascii="Times New Roman" w:hAnsi="Times New Roman" w:cs="Times New Roman"/>
          <w:sz w:val="24"/>
          <w:szCs w:val="24"/>
        </w:rPr>
        <w:t xml:space="preserve">rea, Southwest </w:t>
      </w:r>
      <w:r w:rsidR="00CB5F20">
        <w:rPr>
          <w:rFonts w:ascii="Times New Roman" w:hAnsi="Times New Roman" w:cs="Times New Roman"/>
          <w:sz w:val="24"/>
          <w:szCs w:val="24"/>
        </w:rPr>
        <w:t>A</w:t>
      </w:r>
      <w:r w:rsidRPr="00B94E47">
        <w:rPr>
          <w:rFonts w:ascii="Times New Roman" w:hAnsi="Times New Roman" w:cs="Times New Roman"/>
          <w:sz w:val="24"/>
          <w:szCs w:val="24"/>
        </w:rPr>
        <w:t xml:space="preserve">rea, and Eastern Great Basin combined account for </w:t>
      </w:r>
      <w:r w:rsidR="00C012AC">
        <w:rPr>
          <w:rFonts w:ascii="Times New Roman" w:hAnsi="Times New Roman" w:cs="Times New Roman"/>
          <w:sz w:val="24"/>
          <w:szCs w:val="24"/>
        </w:rPr>
        <w:t>about</w:t>
      </w:r>
      <w:r w:rsidR="00C012AC" w:rsidRPr="00B94E47">
        <w:rPr>
          <w:rFonts w:ascii="Times New Roman" w:hAnsi="Times New Roman" w:cs="Times New Roman"/>
          <w:sz w:val="24"/>
          <w:szCs w:val="24"/>
        </w:rPr>
        <w:t xml:space="preserve"> </w:t>
      </w:r>
      <w:r w:rsidRPr="00B94E47">
        <w:rPr>
          <w:rFonts w:ascii="Times New Roman" w:hAnsi="Times New Roman" w:cs="Times New Roman"/>
          <w:sz w:val="24"/>
          <w:szCs w:val="24"/>
        </w:rPr>
        <w:t>half of the fires and acreage burned in the 2002</w:t>
      </w:r>
      <w:r w:rsidRPr="00B94E47">
        <w:rPr>
          <w:rFonts w:ascii="Times New Roman" w:hAnsi="Times New Roman" w:cs="Times New Roman"/>
          <w:sz w:val="24"/>
          <w:szCs w:val="24"/>
        </w:rPr>
        <w:sym w:font="Symbol" w:char="F02D"/>
      </w:r>
      <w:r w:rsidRPr="00B94E47">
        <w:rPr>
          <w:rFonts w:ascii="Times New Roman" w:hAnsi="Times New Roman" w:cs="Times New Roman"/>
          <w:sz w:val="24"/>
          <w:szCs w:val="24"/>
        </w:rPr>
        <w:t xml:space="preserve">2010 data, the combined total response costs from these areas are less than those of the California North Ops region. For our monetized analyses, we rely on the regional average response costs per acre burned developed from evaluating all wildfires, including those with no reported response costs. We believe </w:t>
      </w:r>
      <w:r w:rsidR="002F4542">
        <w:rPr>
          <w:rFonts w:ascii="Times New Roman" w:hAnsi="Times New Roman" w:cs="Times New Roman"/>
          <w:sz w:val="24"/>
          <w:szCs w:val="24"/>
        </w:rPr>
        <w:t xml:space="preserve">that </w:t>
      </w:r>
      <w:r w:rsidRPr="00B94E47">
        <w:rPr>
          <w:rFonts w:ascii="Times New Roman" w:hAnsi="Times New Roman" w:cs="Times New Roman"/>
          <w:sz w:val="24"/>
          <w:szCs w:val="24"/>
        </w:rPr>
        <w:t xml:space="preserve">this is a more appropriate measure reflecting both a general shift in wildfire management practices and the expectation that, consistent with current experience, not all future wildfires will receive active response activity. </w:t>
      </w:r>
    </w:p>
    <w:p w:rsidR="00965D54" w:rsidRDefault="00965D54" w:rsidP="00154D6F">
      <w:pPr>
        <w:spacing w:after="240" w:line="240" w:lineRule="auto"/>
        <w:rPr>
          <w:rFonts w:ascii="Times New Roman" w:hAnsi="Times New Roman" w:cs="Times New Roman"/>
          <w:sz w:val="24"/>
          <w:szCs w:val="24"/>
        </w:rPr>
      </w:pPr>
      <w:r>
        <w:rPr>
          <w:rFonts w:ascii="Times New Roman" w:hAnsi="Times New Roman" w:cs="Times New Roman"/>
          <w:color w:val="000000"/>
          <w:sz w:val="24"/>
          <w:szCs w:val="24"/>
        </w:rPr>
        <w:t>Wildfire response costs in a year and region are calculated for projections of acres burned by multiplying</w:t>
      </w:r>
      <w:r w:rsidRPr="00B94E4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the acres burned in a GACC region by the appropriate regional cost measure. These annual values were then </w:t>
      </w:r>
      <w:r w:rsidRPr="00B94E47">
        <w:rPr>
          <w:rFonts w:ascii="Times New Roman" w:hAnsi="Times New Roman" w:cs="Times New Roman"/>
          <w:color w:val="000000"/>
          <w:sz w:val="24"/>
          <w:szCs w:val="24"/>
        </w:rPr>
        <w:t xml:space="preserve">discounted back to the </w:t>
      </w:r>
      <w:r>
        <w:rPr>
          <w:rFonts w:ascii="Times New Roman" w:hAnsi="Times New Roman" w:cs="Times New Roman"/>
          <w:color w:val="000000"/>
          <w:sz w:val="24"/>
          <w:szCs w:val="24"/>
        </w:rPr>
        <w:t xml:space="preserve">assumed </w:t>
      </w:r>
      <w:r w:rsidRPr="00B94E47">
        <w:rPr>
          <w:rFonts w:ascii="Times New Roman" w:hAnsi="Times New Roman" w:cs="Times New Roman"/>
          <w:color w:val="000000"/>
          <w:sz w:val="24"/>
          <w:szCs w:val="24"/>
        </w:rPr>
        <w:t>policy year (201</w:t>
      </w:r>
      <w:r>
        <w:rPr>
          <w:rFonts w:ascii="Times New Roman" w:hAnsi="Times New Roman" w:cs="Times New Roman"/>
          <w:color w:val="000000"/>
          <w:sz w:val="24"/>
          <w:szCs w:val="24"/>
        </w:rPr>
        <w:t>5</w:t>
      </w:r>
      <w:r w:rsidRPr="00B94E47">
        <w:rPr>
          <w:rFonts w:ascii="Times New Roman" w:hAnsi="Times New Roman" w:cs="Times New Roman"/>
          <w:color w:val="000000"/>
          <w:sz w:val="24"/>
          <w:szCs w:val="24"/>
        </w:rPr>
        <w:t xml:space="preserve">) using </w:t>
      </w:r>
      <w:r>
        <w:rPr>
          <w:rFonts w:ascii="Times New Roman" w:hAnsi="Times New Roman" w:cs="Times New Roman"/>
          <w:color w:val="000000"/>
          <w:sz w:val="24"/>
          <w:szCs w:val="24"/>
        </w:rPr>
        <w:t>a 3.0% annual discount rate.</w:t>
      </w:r>
    </w:p>
    <w:p w:rsidR="002D6E05" w:rsidRPr="005A15D2" w:rsidRDefault="002D6E05" w:rsidP="00AB19C3">
      <w:pPr>
        <w:keepNext/>
        <w:autoSpaceDE w:val="0"/>
        <w:autoSpaceDN w:val="0"/>
        <w:adjustRightInd w:val="0"/>
        <w:spacing w:after="240" w:line="240" w:lineRule="auto"/>
        <w:rPr>
          <w:rFonts w:ascii="Times New Roman" w:hAnsi="Times New Roman" w:cs="Times New Roman"/>
          <w:b/>
          <w:sz w:val="24"/>
          <w:szCs w:val="24"/>
        </w:rPr>
      </w:pPr>
      <w:r w:rsidRPr="005A15D2">
        <w:rPr>
          <w:rFonts w:ascii="Times New Roman" w:hAnsi="Times New Roman" w:cs="Times New Roman"/>
          <w:b/>
          <w:sz w:val="24"/>
          <w:szCs w:val="24"/>
        </w:rPr>
        <w:lastRenderedPageBreak/>
        <w:t xml:space="preserve">Monetizing </w:t>
      </w:r>
      <w:r w:rsidR="00AB19C3" w:rsidRPr="005A15D2">
        <w:rPr>
          <w:rFonts w:ascii="Times New Roman" w:hAnsi="Times New Roman" w:cs="Times New Roman"/>
          <w:b/>
          <w:sz w:val="24"/>
          <w:szCs w:val="24"/>
        </w:rPr>
        <w:t xml:space="preserve">Changes </w:t>
      </w:r>
      <w:r w:rsidRPr="005A15D2">
        <w:rPr>
          <w:rFonts w:ascii="Times New Roman" w:hAnsi="Times New Roman" w:cs="Times New Roman"/>
          <w:b/>
          <w:sz w:val="24"/>
          <w:szCs w:val="24"/>
        </w:rPr>
        <w:t xml:space="preserve">in </w:t>
      </w:r>
      <w:r w:rsidR="00AB19C3" w:rsidRPr="005A15D2">
        <w:rPr>
          <w:rFonts w:ascii="Times New Roman" w:hAnsi="Times New Roman" w:cs="Times New Roman"/>
          <w:b/>
          <w:sz w:val="24"/>
          <w:szCs w:val="24"/>
        </w:rPr>
        <w:t xml:space="preserve">Terrestrial Ecosystem Carbon Storage </w:t>
      </w:r>
    </w:p>
    <w:p w:rsidR="002D6E05" w:rsidRPr="00B94E47" w:rsidRDefault="002D6E05" w:rsidP="00154D6F">
      <w:pPr>
        <w:spacing w:after="240" w:line="240" w:lineRule="auto"/>
        <w:rPr>
          <w:rFonts w:ascii="Times New Roman" w:hAnsi="Times New Roman" w:cs="Times New Roman"/>
          <w:sz w:val="24"/>
          <w:szCs w:val="24"/>
        </w:rPr>
      </w:pPr>
      <w:r w:rsidRPr="00B94E47">
        <w:rPr>
          <w:rFonts w:ascii="Times New Roman" w:hAnsi="Times New Roman" w:cs="Times New Roman"/>
          <w:sz w:val="24"/>
          <w:szCs w:val="24"/>
        </w:rPr>
        <w:t>Changes in terrestrial ecosystem carbon stora</w:t>
      </w:r>
      <w:r w:rsidR="00154D6F">
        <w:rPr>
          <w:rFonts w:ascii="Times New Roman" w:hAnsi="Times New Roman" w:cs="Times New Roman"/>
          <w:sz w:val="24"/>
          <w:szCs w:val="24"/>
        </w:rPr>
        <w:t>ge are monetized using the U.S. </w:t>
      </w:r>
      <w:r w:rsidRPr="00B94E47">
        <w:rPr>
          <w:rFonts w:ascii="Times New Roman" w:hAnsi="Times New Roman" w:cs="Times New Roman"/>
          <w:sz w:val="24"/>
          <w:szCs w:val="24"/>
        </w:rPr>
        <w:t>government</w:t>
      </w:r>
      <w:r w:rsidR="008C0EC3">
        <w:rPr>
          <w:rFonts w:ascii="Times New Roman" w:hAnsi="Times New Roman" w:cs="Times New Roman"/>
          <w:sz w:val="24"/>
          <w:szCs w:val="24"/>
        </w:rPr>
        <w:t>’</w:t>
      </w:r>
      <w:r w:rsidRPr="00B94E47">
        <w:rPr>
          <w:rFonts w:ascii="Times New Roman" w:hAnsi="Times New Roman" w:cs="Times New Roman"/>
          <w:sz w:val="24"/>
          <w:szCs w:val="24"/>
        </w:rPr>
        <w:t xml:space="preserve">s </w:t>
      </w:r>
      <w:r w:rsidR="00154D6F" w:rsidRPr="00154D6F">
        <w:rPr>
          <w:rFonts w:ascii="Times New Roman" w:hAnsi="Times New Roman" w:cs="Times New Roman"/>
          <w:sz w:val="24"/>
          <w:szCs w:val="24"/>
        </w:rPr>
        <w:t xml:space="preserve">social cost of carbon </w:t>
      </w:r>
      <w:r w:rsidR="00154D6F">
        <w:rPr>
          <w:rFonts w:ascii="Times New Roman" w:hAnsi="Times New Roman" w:cs="Times New Roman"/>
          <w:sz w:val="24"/>
          <w:szCs w:val="24"/>
        </w:rPr>
        <w:t>(</w:t>
      </w:r>
      <w:r w:rsidRPr="00B94E47">
        <w:rPr>
          <w:rFonts w:ascii="Times New Roman" w:hAnsi="Times New Roman" w:cs="Times New Roman"/>
          <w:sz w:val="24"/>
          <w:szCs w:val="24"/>
        </w:rPr>
        <w:t>SCC</w:t>
      </w:r>
      <w:r w:rsidR="00154D6F">
        <w:rPr>
          <w:rFonts w:ascii="Times New Roman" w:hAnsi="Times New Roman" w:cs="Times New Roman"/>
          <w:sz w:val="24"/>
          <w:szCs w:val="24"/>
        </w:rPr>
        <w:t>)</w:t>
      </w:r>
      <w:r w:rsidRPr="00B94E47">
        <w:rPr>
          <w:rFonts w:ascii="Times New Roman" w:hAnsi="Times New Roman" w:cs="Times New Roman"/>
          <w:sz w:val="24"/>
          <w:szCs w:val="24"/>
        </w:rPr>
        <w:t xml:space="preserve"> estimates (</w:t>
      </w:r>
      <w:r w:rsidRPr="00B94E47">
        <w:rPr>
          <w:rFonts w:ascii="Times New Roman" w:hAnsi="Times New Roman" w:cs="Times New Roman"/>
          <w:color w:val="000000"/>
          <w:sz w:val="24"/>
          <w:szCs w:val="24"/>
        </w:rPr>
        <w:t>U.S. Interagency Working Group on Social Cost of Carbon 201</w:t>
      </w:r>
      <w:r w:rsidR="00420FD3">
        <w:rPr>
          <w:rFonts w:ascii="Times New Roman" w:hAnsi="Times New Roman" w:cs="Times New Roman"/>
          <w:color w:val="000000"/>
          <w:sz w:val="24"/>
          <w:szCs w:val="24"/>
        </w:rPr>
        <w:t>3</w:t>
      </w:r>
      <w:r w:rsidRPr="00B94E47">
        <w:rPr>
          <w:rFonts w:ascii="Times New Roman" w:hAnsi="Times New Roman" w:cs="Times New Roman"/>
          <w:sz w:val="24"/>
          <w:szCs w:val="24"/>
        </w:rPr>
        <w:t xml:space="preserve">). These SCC estimates were generated using three different integrated assessment models that translate changes in climate into changes in economic impacts. The SCC values represent the discounted stream of monetized damages associated with a unit change in </w:t>
      </w:r>
      <w:r w:rsidR="006141FB">
        <w:rPr>
          <w:rFonts w:ascii="Times New Roman" w:hAnsi="Times New Roman" w:cs="Times New Roman"/>
          <w:sz w:val="24"/>
          <w:szCs w:val="24"/>
        </w:rPr>
        <w:t>carbon dioxide (</w:t>
      </w:r>
      <w:r w:rsidRPr="00B94E47">
        <w:rPr>
          <w:rFonts w:ascii="Times New Roman" w:hAnsi="Times New Roman" w:cs="Times New Roman"/>
          <w:sz w:val="24"/>
          <w:szCs w:val="24"/>
        </w:rPr>
        <w:t>CO</w:t>
      </w:r>
      <w:r w:rsidRPr="00B94E47">
        <w:rPr>
          <w:rFonts w:ascii="Times New Roman" w:hAnsi="Times New Roman" w:cs="Times New Roman"/>
          <w:sz w:val="24"/>
          <w:szCs w:val="24"/>
          <w:vertAlign w:val="subscript"/>
        </w:rPr>
        <w:t>2</w:t>
      </w:r>
      <w:r w:rsidR="006141FB">
        <w:rPr>
          <w:rFonts w:ascii="Times New Roman" w:hAnsi="Times New Roman" w:cs="Times New Roman"/>
          <w:sz w:val="24"/>
          <w:szCs w:val="24"/>
        </w:rPr>
        <w:t xml:space="preserve">) </w:t>
      </w:r>
      <w:r w:rsidRPr="00B94E47">
        <w:rPr>
          <w:rFonts w:ascii="Times New Roman" w:hAnsi="Times New Roman" w:cs="Times New Roman"/>
          <w:sz w:val="24"/>
          <w:szCs w:val="24"/>
        </w:rPr>
        <w:t>emissions, typically one metric ton, in a given year. The estimates are meant to provide a comprehensive estimate of the monetized value of damages, including changes in net agricultural productivity, human health, and the value of ecosystem services, associated with a small increase in carbon emissions. In practice, however, the estimates are not comprehensive because current models do not yet capture all of the important physical, ecological, and economic impacts associated with</w:t>
      </w:r>
      <w:r w:rsidR="00EC4091" w:rsidRPr="00EC4091">
        <w:rPr>
          <w:rFonts w:ascii="Times New Roman" w:hAnsi="Times New Roman" w:cs="Times New Roman"/>
          <w:sz w:val="24"/>
          <w:szCs w:val="24"/>
        </w:rPr>
        <w:t xml:space="preserve"> </w:t>
      </w:r>
      <w:r w:rsidR="00EC4091" w:rsidRPr="00B94E47">
        <w:rPr>
          <w:rFonts w:ascii="Times New Roman" w:hAnsi="Times New Roman" w:cs="Times New Roman"/>
          <w:sz w:val="24"/>
          <w:szCs w:val="24"/>
        </w:rPr>
        <w:t>CO</w:t>
      </w:r>
      <w:r w:rsidR="00EC4091" w:rsidRPr="00B94E47">
        <w:rPr>
          <w:rFonts w:ascii="Times New Roman" w:hAnsi="Times New Roman" w:cs="Times New Roman"/>
          <w:sz w:val="24"/>
          <w:szCs w:val="24"/>
          <w:vertAlign w:val="subscript"/>
        </w:rPr>
        <w:t>2</w:t>
      </w:r>
      <w:r w:rsidRPr="00B94E47">
        <w:rPr>
          <w:rFonts w:ascii="Times New Roman" w:hAnsi="Times New Roman" w:cs="Times New Roman"/>
          <w:sz w:val="24"/>
          <w:szCs w:val="24"/>
        </w:rPr>
        <w:t xml:space="preserve"> emissions. </w:t>
      </w:r>
    </w:p>
    <w:p w:rsidR="002D6E05" w:rsidRPr="00B94E47" w:rsidRDefault="002D6E05" w:rsidP="00154D6F">
      <w:pPr>
        <w:spacing w:after="240" w:line="240" w:lineRule="auto"/>
        <w:rPr>
          <w:rFonts w:ascii="Times New Roman" w:hAnsi="Times New Roman" w:cs="Times New Roman"/>
          <w:sz w:val="24"/>
          <w:szCs w:val="24"/>
        </w:rPr>
      </w:pPr>
      <w:r w:rsidRPr="00B94E47">
        <w:rPr>
          <w:rFonts w:ascii="Times New Roman" w:hAnsi="Times New Roman" w:cs="Times New Roman"/>
          <w:sz w:val="24"/>
          <w:szCs w:val="24"/>
        </w:rPr>
        <w:t xml:space="preserve">The </w:t>
      </w:r>
      <w:r w:rsidRPr="00B94E47">
        <w:rPr>
          <w:rFonts w:ascii="Times New Roman" w:hAnsi="Times New Roman" w:cs="Times New Roman"/>
          <w:color w:val="000000"/>
          <w:sz w:val="24"/>
          <w:szCs w:val="24"/>
        </w:rPr>
        <w:t>U.S. Interagency Working Group on Social Cost of Carbon (201</w:t>
      </w:r>
      <w:r w:rsidR="00420FD3">
        <w:rPr>
          <w:rFonts w:ascii="Times New Roman" w:hAnsi="Times New Roman" w:cs="Times New Roman"/>
          <w:color w:val="000000"/>
          <w:sz w:val="24"/>
          <w:szCs w:val="24"/>
        </w:rPr>
        <w:t>3</w:t>
      </w:r>
      <w:r w:rsidRPr="00B94E47">
        <w:rPr>
          <w:rFonts w:ascii="Times New Roman" w:hAnsi="Times New Roman" w:cs="Times New Roman"/>
          <w:color w:val="000000"/>
          <w:sz w:val="24"/>
          <w:szCs w:val="24"/>
        </w:rPr>
        <w:t>) provides four different SCC estimates on an annual basis from 2010 to 2050. The SCC estimates represent the present value of all future impacts from a marginal change in CO</w:t>
      </w:r>
      <w:r w:rsidRPr="00B94E47">
        <w:rPr>
          <w:rFonts w:ascii="Times New Roman" w:hAnsi="Times New Roman" w:cs="Times New Roman"/>
          <w:color w:val="000000"/>
          <w:sz w:val="24"/>
          <w:szCs w:val="24"/>
          <w:vertAlign w:val="subscript"/>
        </w:rPr>
        <w:t>2</w:t>
      </w:r>
      <w:r w:rsidRPr="00B94E47">
        <w:rPr>
          <w:rFonts w:ascii="Times New Roman" w:hAnsi="Times New Roman" w:cs="Times New Roman"/>
          <w:color w:val="000000"/>
          <w:sz w:val="24"/>
          <w:szCs w:val="24"/>
        </w:rPr>
        <w:t xml:space="preserve"> emissions, discounted back to the date of emission, but denominated in constant 2007 dollars. Three of the SCC estimates represent the model average at discount rates of 2.5%, 3.0%, and 5.0%. The fourth SCC value is the 95th percentile of the model estimates at a 3.0% discount rate. The interagency group included the 95th percentile estimate to account for the risk that climate change damages may be much higher than the damages associated with the model average SCC estimates (U.S. Interagency Working Group on Social Cost of Carbon </w:t>
      </w:r>
      <w:r w:rsidR="00EC4091" w:rsidRPr="00B94E47">
        <w:rPr>
          <w:rFonts w:ascii="Times New Roman" w:hAnsi="Times New Roman" w:cs="Times New Roman"/>
          <w:color w:val="000000"/>
          <w:sz w:val="24"/>
          <w:szCs w:val="24"/>
        </w:rPr>
        <w:t>20</w:t>
      </w:r>
      <w:r w:rsidR="00EC4091">
        <w:rPr>
          <w:rFonts w:ascii="Times New Roman" w:hAnsi="Times New Roman" w:cs="Times New Roman"/>
          <w:color w:val="000000"/>
          <w:sz w:val="24"/>
          <w:szCs w:val="24"/>
        </w:rPr>
        <w:t>10</w:t>
      </w:r>
      <w:r w:rsidRPr="00B94E47">
        <w:rPr>
          <w:rFonts w:ascii="Times New Roman" w:hAnsi="Times New Roman" w:cs="Times New Roman"/>
          <w:color w:val="000000"/>
          <w:sz w:val="24"/>
          <w:szCs w:val="24"/>
        </w:rPr>
        <w:t xml:space="preserve">). </w:t>
      </w:r>
    </w:p>
    <w:p w:rsidR="002D6E05" w:rsidRPr="00B94E47" w:rsidRDefault="002D6E05" w:rsidP="00154D6F">
      <w:pPr>
        <w:autoSpaceDE w:val="0"/>
        <w:autoSpaceDN w:val="0"/>
        <w:adjustRightInd w:val="0"/>
        <w:spacing w:after="240" w:line="240" w:lineRule="auto"/>
        <w:rPr>
          <w:rFonts w:ascii="Times New Roman" w:hAnsi="Times New Roman" w:cs="Times New Roman"/>
          <w:sz w:val="24"/>
          <w:szCs w:val="24"/>
        </w:rPr>
      </w:pPr>
      <w:r w:rsidRPr="00B94E47">
        <w:rPr>
          <w:rFonts w:ascii="Times New Roman" w:hAnsi="Times New Roman" w:cs="Times New Roman"/>
          <w:sz w:val="24"/>
          <w:szCs w:val="24"/>
        </w:rPr>
        <w:t>The SCC is most often used to estimate the benefits associated with reductions in CO</w:t>
      </w:r>
      <w:r w:rsidRPr="00B94E47">
        <w:rPr>
          <w:rFonts w:ascii="Times New Roman" w:hAnsi="Times New Roman" w:cs="Times New Roman"/>
          <w:sz w:val="24"/>
          <w:szCs w:val="24"/>
          <w:vertAlign w:val="subscript"/>
        </w:rPr>
        <w:t>2</w:t>
      </w:r>
      <w:r w:rsidRPr="00B94E47">
        <w:rPr>
          <w:rFonts w:ascii="Times New Roman" w:hAnsi="Times New Roman" w:cs="Times New Roman"/>
          <w:sz w:val="24"/>
          <w:szCs w:val="24"/>
        </w:rPr>
        <w:t xml:space="preserve"> </w:t>
      </w:r>
      <w:r w:rsidRPr="00B94E47">
        <w:rPr>
          <w:rFonts w:ascii="Times New Roman" w:hAnsi="Times New Roman" w:cs="Times New Roman"/>
          <w:i/>
          <w:sz w:val="24"/>
          <w:szCs w:val="24"/>
        </w:rPr>
        <w:t>emissions</w:t>
      </w:r>
      <w:r w:rsidRPr="00B94E47">
        <w:rPr>
          <w:rFonts w:ascii="Times New Roman" w:hAnsi="Times New Roman" w:cs="Times New Roman"/>
          <w:sz w:val="24"/>
          <w:szCs w:val="24"/>
        </w:rPr>
        <w:t>, but analysts have begun to explore applications to value changes in biological CO</w:t>
      </w:r>
      <w:r w:rsidRPr="00B94E47">
        <w:rPr>
          <w:rFonts w:ascii="Times New Roman" w:hAnsi="Times New Roman" w:cs="Times New Roman"/>
          <w:sz w:val="24"/>
          <w:szCs w:val="24"/>
          <w:vertAlign w:val="subscript"/>
        </w:rPr>
        <w:t>2</w:t>
      </w:r>
      <w:r w:rsidRPr="00B94E47">
        <w:rPr>
          <w:rFonts w:ascii="Times New Roman" w:hAnsi="Times New Roman" w:cs="Times New Roman"/>
          <w:sz w:val="24"/>
          <w:szCs w:val="24"/>
        </w:rPr>
        <w:t xml:space="preserve"> </w:t>
      </w:r>
      <w:r w:rsidRPr="00B94E47">
        <w:rPr>
          <w:rFonts w:ascii="Times New Roman" w:hAnsi="Times New Roman" w:cs="Times New Roman"/>
          <w:i/>
          <w:sz w:val="24"/>
          <w:szCs w:val="24"/>
        </w:rPr>
        <w:t>storage</w:t>
      </w:r>
      <w:r w:rsidRPr="00B94E47">
        <w:rPr>
          <w:rFonts w:ascii="Times New Roman" w:hAnsi="Times New Roman" w:cs="Times New Roman"/>
          <w:sz w:val="24"/>
          <w:szCs w:val="24"/>
        </w:rPr>
        <w:t xml:space="preserve"> (Marshall 2009).</w:t>
      </w:r>
      <w:r w:rsidRPr="00154D6F">
        <w:rPr>
          <w:rStyle w:val="FootnoteReference"/>
          <w:rFonts w:cs="Times New Roman"/>
          <w:sz w:val="24"/>
          <w:szCs w:val="24"/>
          <w:vertAlign w:val="superscript"/>
        </w:rPr>
        <w:footnoteReference w:id="1"/>
      </w:r>
      <w:r w:rsidRPr="00B94E47">
        <w:rPr>
          <w:rFonts w:ascii="Times New Roman" w:hAnsi="Times New Roman" w:cs="Times New Roman"/>
          <w:sz w:val="24"/>
          <w:szCs w:val="24"/>
        </w:rPr>
        <w:t xml:space="preserve"> Biological CO</w:t>
      </w:r>
      <w:r w:rsidRPr="00B94E47">
        <w:rPr>
          <w:rFonts w:ascii="Times New Roman" w:hAnsi="Times New Roman" w:cs="Times New Roman"/>
          <w:sz w:val="24"/>
          <w:szCs w:val="24"/>
          <w:vertAlign w:val="subscript"/>
        </w:rPr>
        <w:t>2</w:t>
      </w:r>
      <w:r w:rsidRPr="00B94E47">
        <w:rPr>
          <w:rFonts w:ascii="Times New Roman" w:hAnsi="Times New Roman" w:cs="Times New Roman"/>
          <w:sz w:val="24"/>
          <w:szCs w:val="24"/>
        </w:rPr>
        <w:t xml:space="preserve"> storage is similar to CO</w:t>
      </w:r>
      <w:r w:rsidRPr="00B94E47">
        <w:rPr>
          <w:rFonts w:ascii="Times New Roman" w:hAnsi="Times New Roman" w:cs="Times New Roman"/>
          <w:sz w:val="24"/>
          <w:szCs w:val="24"/>
          <w:vertAlign w:val="subscript"/>
        </w:rPr>
        <w:t>2</w:t>
      </w:r>
      <w:r w:rsidRPr="00B94E47">
        <w:rPr>
          <w:rFonts w:ascii="Times New Roman" w:hAnsi="Times New Roman" w:cs="Times New Roman"/>
          <w:sz w:val="24"/>
          <w:szCs w:val="24"/>
        </w:rPr>
        <w:t xml:space="preserve"> reductions to the extent that they both represent avoided emissions and</w:t>
      </w:r>
      <w:r w:rsidR="002F4542">
        <w:rPr>
          <w:rFonts w:ascii="Times New Roman" w:hAnsi="Times New Roman" w:cs="Times New Roman"/>
          <w:sz w:val="24"/>
          <w:szCs w:val="24"/>
        </w:rPr>
        <w:t>,</w:t>
      </w:r>
      <w:r w:rsidRPr="00B94E47">
        <w:rPr>
          <w:rFonts w:ascii="Times New Roman" w:hAnsi="Times New Roman" w:cs="Times New Roman"/>
          <w:sz w:val="24"/>
          <w:szCs w:val="24"/>
        </w:rPr>
        <w:t xml:space="preserve"> therefore</w:t>
      </w:r>
      <w:r w:rsidR="002F4542">
        <w:rPr>
          <w:rFonts w:ascii="Times New Roman" w:hAnsi="Times New Roman" w:cs="Times New Roman"/>
          <w:sz w:val="24"/>
          <w:szCs w:val="24"/>
        </w:rPr>
        <w:t>,</w:t>
      </w:r>
      <w:r w:rsidRPr="00B94E47">
        <w:rPr>
          <w:rFonts w:ascii="Times New Roman" w:hAnsi="Times New Roman" w:cs="Times New Roman"/>
          <w:sz w:val="24"/>
          <w:szCs w:val="24"/>
        </w:rPr>
        <w:t xml:space="preserve"> avoided CO</w:t>
      </w:r>
      <w:r w:rsidRPr="00B94E47">
        <w:rPr>
          <w:rFonts w:ascii="Times New Roman" w:hAnsi="Times New Roman" w:cs="Times New Roman"/>
          <w:sz w:val="24"/>
          <w:szCs w:val="24"/>
          <w:vertAlign w:val="subscript"/>
        </w:rPr>
        <w:t xml:space="preserve">2 </w:t>
      </w:r>
      <w:r w:rsidRPr="00B94E47">
        <w:rPr>
          <w:rFonts w:ascii="Times New Roman" w:hAnsi="Times New Roman" w:cs="Times New Roman"/>
          <w:sz w:val="24"/>
          <w:szCs w:val="24"/>
        </w:rPr>
        <w:t>damages. One potential difference, however, relates to the permanence of biological CO</w:t>
      </w:r>
      <w:r w:rsidRPr="00B94E47">
        <w:rPr>
          <w:rFonts w:ascii="Times New Roman" w:hAnsi="Times New Roman" w:cs="Times New Roman"/>
          <w:sz w:val="24"/>
          <w:szCs w:val="24"/>
          <w:vertAlign w:val="subscript"/>
        </w:rPr>
        <w:t>2</w:t>
      </w:r>
      <w:r w:rsidRPr="00B94E47">
        <w:rPr>
          <w:rFonts w:ascii="Times New Roman" w:hAnsi="Times New Roman" w:cs="Times New Roman"/>
          <w:sz w:val="24"/>
          <w:szCs w:val="24"/>
        </w:rPr>
        <w:t xml:space="preserve"> storage </w:t>
      </w:r>
      <w:r w:rsidRPr="00B94E47">
        <w:rPr>
          <w:rFonts w:ascii="Times New Roman" w:hAnsi="Times New Roman" w:cs="Times New Roman"/>
          <w:sz w:val="24"/>
          <w:szCs w:val="24"/>
        </w:rPr>
        <w:sym w:font="Symbol" w:char="F02D"/>
      </w:r>
      <w:r w:rsidRPr="00B94E47">
        <w:rPr>
          <w:rFonts w:ascii="Times New Roman" w:hAnsi="Times New Roman" w:cs="Times New Roman"/>
          <w:sz w:val="24"/>
          <w:szCs w:val="24"/>
        </w:rPr>
        <w:t xml:space="preserve"> a reduction in CO</w:t>
      </w:r>
      <w:r w:rsidRPr="00B94E47">
        <w:rPr>
          <w:rFonts w:ascii="Times New Roman" w:hAnsi="Times New Roman" w:cs="Times New Roman"/>
          <w:sz w:val="24"/>
          <w:szCs w:val="24"/>
          <w:vertAlign w:val="subscript"/>
        </w:rPr>
        <w:t>2</w:t>
      </w:r>
      <w:r w:rsidRPr="00B94E47">
        <w:rPr>
          <w:rFonts w:ascii="Times New Roman" w:hAnsi="Times New Roman" w:cs="Times New Roman"/>
          <w:sz w:val="24"/>
          <w:szCs w:val="24"/>
        </w:rPr>
        <w:t xml:space="preserve"> emissions is assumed to be permanent whereas biological CO</w:t>
      </w:r>
      <w:r w:rsidRPr="00B94E47">
        <w:rPr>
          <w:rFonts w:ascii="Times New Roman" w:hAnsi="Times New Roman" w:cs="Times New Roman"/>
          <w:sz w:val="24"/>
          <w:szCs w:val="24"/>
          <w:vertAlign w:val="subscript"/>
        </w:rPr>
        <w:t>2</w:t>
      </w:r>
      <w:r w:rsidRPr="00B94E47">
        <w:rPr>
          <w:rFonts w:ascii="Times New Roman" w:hAnsi="Times New Roman" w:cs="Times New Roman"/>
          <w:sz w:val="24"/>
          <w:szCs w:val="24"/>
        </w:rPr>
        <w:t xml:space="preserve"> storage may not be. The MC1 analysis allows for </w:t>
      </w:r>
      <w:r w:rsidR="002F4542">
        <w:rPr>
          <w:rFonts w:ascii="Times New Roman" w:hAnsi="Times New Roman" w:cs="Times New Roman"/>
          <w:sz w:val="24"/>
          <w:szCs w:val="24"/>
        </w:rPr>
        <w:t xml:space="preserve">the </w:t>
      </w:r>
      <w:r w:rsidRPr="00B94E47">
        <w:rPr>
          <w:rFonts w:ascii="Times New Roman" w:hAnsi="Times New Roman" w:cs="Times New Roman"/>
          <w:sz w:val="24"/>
          <w:szCs w:val="24"/>
        </w:rPr>
        <w:t>examination of biological carbon storage through the year 2100, but does not project levels of storage after 2100. This is potenti</w:t>
      </w:r>
      <w:r w:rsidR="00154D6F">
        <w:rPr>
          <w:rFonts w:ascii="Times New Roman" w:hAnsi="Times New Roman" w:cs="Times New Roman"/>
          <w:sz w:val="24"/>
          <w:szCs w:val="24"/>
        </w:rPr>
        <w:t>ally important because the U.S. </w:t>
      </w:r>
      <w:r w:rsidRPr="00B94E47">
        <w:rPr>
          <w:rFonts w:ascii="Times New Roman" w:hAnsi="Times New Roman" w:cs="Times New Roman"/>
          <w:sz w:val="24"/>
          <w:szCs w:val="24"/>
        </w:rPr>
        <w:t xml:space="preserve">government SCC estimates represent the net present value of a stream of avoided damages from each analysis year through 2300. Application of these SCC estimates effectively assumes that any change in biological carbon storage attributed to </w:t>
      </w:r>
      <w:r w:rsidR="00A715C0">
        <w:rPr>
          <w:rFonts w:ascii="Times New Roman" w:hAnsi="Times New Roman" w:cs="Times New Roman"/>
          <w:sz w:val="24"/>
          <w:szCs w:val="24"/>
        </w:rPr>
        <w:t>greenhouse gas (</w:t>
      </w:r>
      <w:r w:rsidRPr="00B94E47">
        <w:rPr>
          <w:rFonts w:ascii="Times New Roman" w:hAnsi="Times New Roman" w:cs="Times New Roman"/>
          <w:sz w:val="24"/>
          <w:szCs w:val="24"/>
        </w:rPr>
        <w:t>GHG</w:t>
      </w:r>
      <w:r w:rsidR="00A715C0">
        <w:rPr>
          <w:rFonts w:ascii="Times New Roman" w:hAnsi="Times New Roman" w:cs="Times New Roman"/>
          <w:sz w:val="24"/>
          <w:szCs w:val="24"/>
        </w:rPr>
        <w:t>)</w:t>
      </w:r>
      <w:r w:rsidRPr="00B94E47">
        <w:rPr>
          <w:rFonts w:ascii="Times New Roman" w:hAnsi="Times New Roman" w:cs="Times New Roman"/>
          <w:sz w:val="24"/>
          <w:szCs w:val="24"/>
        </w:rPr>
        <w:t xml:space="preserve"> policies during the 2010</w:t>
      </w:r>
      <w:r w:rsidRPr="00B94E47">
        <w:rPr>
          <w:rFonts w:ascii="Times New Roman" w:hAnsi="Times New Roman" w:cs="Times New Roman"/>
          <w:sz w:val="24"/>
          <w:szCs w:val="24"/>
        </w:rPr>
        <w:sym w:font="Symbol" w:char="F02D"/>
      </w:r>
      <w:r w:rsidRPr="00B94E47">
        <w:rPr>
          <w:rFonts w:ascii="Times New Roman" w:hAnsi="Times New Roman" w:cs="Times New Roman"/>
          <w:sz w:val="24"/>
          <w:szCs w:val="24"/>
        </w:rPr>
        <w:t xml:space="preserve">2100 </w:t>
      </w:r>
      <w:r w:rsidR="002F4542">
        <w:rPr>
          <w:rFonts w:ascii="Times New Roman" w:hAnsi="Times New Roman" w:cs="Times New Roman"/>
          <w:sz w:val="24"/>
          <w:szCs w:val="24"/>
        </w:rPr>
        <w:t xml:space="preserve">period </w:t>
      </w:r>
      <w:r w:rsidRPr="00B94E47">
        <w:rPr>
          <w:rFonts w:ascii="Times New Roman" w:hAnsi="Times New Roman" w:cs="Times New Roman"/>
          <w:sz w:val="24"/>
          <w:szCs w:val="24"/>
        </w:rPr>
        <w:t>is maintained through the year 2300; this approach would therefore overestimate the value of carbon storage to the extent that any CO</w:t>
      </w:r>
      <w:r w:rsidRPr="00B94E47">
        <w:rPr>
          <w:rFonts w:ascii="Times New Roman" w:hAnsi="Times New Roman" w:cs="Times New Roman"/>
          <w:sz w:val="24"/>
          <w:szCs w:val="24"/>
          <w:vertAlign w:val="subscript"/>
        </w:rPr>
        <w:t>2</w:t>
      </w:r>
      <w:r w:rsidRPr="00B94E47">
        <w:rPr>
          <w:rFonts w:ascii="Times New Roman" w:hAnsi="Times New Roman" w:cs="Times New Roman"/>
          <w:sz w:val="24"/>
          <w:szCs w:val="24"/>
        </w:rPr>
        <w:t xml:space="preserve"> is released between the years 2100 and 2300. The effect of discounting so far into the future, however, would likely diminish this issue. That is, the </w:t>
      </w:r>
      <w:r w:rsidR="00A2499C">
        <w:rPr>
          <w:rFonts w:ascii="Times New Roman" w:hAnsi="Times New Roman" w:cs="Times New Roman"/>
          <w:sz w:val="24"/>
          <w:szCs w:val="24"/>
        </w:rPr>
        <w:t xml:space="preserve">change in the estimate of the marginal benefit resulting from the release of a metric ton of </w:t>
      </w:r>
      <w:r w:rsidR="00EC4091" w:rsidRPr="00B94E47">
        <w:rPr>
          <w:rFonts w:ascii="Times New Roman" w:hAnsi="Times New Roman" w:cs="Times New Roman"/>
          <w:sz w:val="24"/>
          <w:szCs w:val="24"/>
        </w:rPr>
        <w:t>CO</w:t>
      </w:r>
      <w:r w:rsidR="00EC4091" w:rsidRPr="00B94E47">
        <w:rPr>
          <w:rFonts w:ascii="Times New Roman" w:hAnsi="Times New Roman" w:cs="Times New Roman"/>
          <w:sz w:val="24"/>
          <w:szCs w:val="24"/>
          <w:vertAlign w:val="subscript"/>
        </w:rPr>
        <w:t>2</w:t>
      </w:r>
      <w:r w:rsidR="00A2499C">
        <w:rPr>
          <w:rFonts w:ascii="Times New Roman" w:hAnsi="Times New Roman" w:cs="Times New Roman"/>
          <w:sz w:val="24"/>
          <w:szCs w:val="24"/>
        </w:rPr>
        <w:t xml:space="preserve"> </w:t>
      </w:r>
      <w:r w:rsidRPr="00B94E47">
        <w:rPr>
          <w:rFonts w:ascii="Times New Roman" w:hAnsi="Times New Roman" w:cs="Times New Roman"/>
          <w:sz w:val="24"/>
          <w:szCs w:val="24"/>
        </w:rPr>
        <w:t xml:space="preserve">between 2100 and 2300 would be small because of </w:t>
      </w:r>
      <w:r w:rsidRPr="00B94E47">
        <w:rPr>
          <w:rFonts w:ascii="Times New Roman" w:hAnsi="Times New Roman" w:cs="Times New Roman"/>
          <w:sz w:val="24"/>
          <w:szCs w:val="24"/>
        </w:rPr>
        <w:lastRenderedPageBreak/>
        <w:t>the effect of discounting to present</w:t>
      </w:r>
      <w:r w:rsidR="002F4542">
        <w:rPr>
          <w:rFonts w:ascii="Times New Roman" w:hAnsi="Times New Roman" w:cs="Times New Roman"/>
          <w:sz w:val="24"/>
          <w:szCs w:val="24"/>
        </w:rPr>
        <w:t>-</w:t>
      </w:r>
      <w:r w:rsidRPr="00B94E47">
        <w:rPr>
          <w:rFonts w:ascii="Times New Roman" w:hAnsi="Times New Roman" w:cs="Times New Roman"/>
          <w:sz w:val="24"/>
          <w:szCs w:val="24"/>
        </w:rPr>
        <w:t xml:space="preserve">day values. Furthermore, the net effect is vague because the SCC estimates do not currently capture all </w:t>
      </w:r>
      <w:r w:rsidR="002F4542">
        <w:rPr>
          <w:rFonts w:ascii="Times New Roman" w:hAnsi="Times New Roman" w:cs="Times New Roman"/>
          <w:sz w:val="24"/>
          <w:szCs w:val="24"/>
        </w:rPr>
        <w:t xml:space="preserve">the </w:t>
      </w:r>
      <w:r w:rsidRPr="00B94E47">
        <w:rPr>
          <w:rFonts w:ascii="Times New Roman" w:hAnsi="Times New Roman" w:cs="Times New Roman"/>
          <w:sz w:val="24"/>
          <w:szCs w:val="24"/>
        </w:rPr>
        <w:t xml:space="preserve">impacts associated with climate change. </w:t>
      </w:r>
    </w:p>
    <w:p w:rsidR="002D6E05" w:rsidRPr="00B94E47" w:rsidRDefault="002D6E05" w:rsidP="00154D6F">
      <w:pPr>
        <w:autoSpaceDE w:val="0"/>
        <w:autoSpaceDN w:val="0"/>
        <w:adjustRightInd w:val="0"/>
        <w:spacing w:after="240" w:line="240" w:lineRule="auto"/>
        <w:rPr>
          <w:rFonts w:ascii="Times New Roman" w:hAnsi="Times New Roman" w:cs="Times New Roman"/>
          <w:color w:val="000000"/>
          <w:sz w:val="24"/>
          <w:szCs w:val="24"/>
        </w:rPr>
      </w:pPr>
      <w:r w:rsidRPr="00B94E47">
        <w:rPr>
          <w:rFonts w:ascii="Times New Roman" w:hAnsi="Times New Roman" w:cs="Times New Roman"/>
          <w:sz w:val="24"/>
          <w:szCs w:val="24"/>
        </w:rPr>
        <w:t xml:space="preserve">Another key consideration for this application is whether the change in biological carbon storage qualifies as marginal. The SCC estimates the damages associated with small </w:t>
      </w:r>
      <w:r w:rsidR="00EC4091" w:rsidRPr="00B94E47">
        <w:rPr>
          <w:rFonts w:ascii="Times New Roman" w:hAnsi="Times New Roman" w:cs="Times New Roman"/>
          <w:sz w:val="24"/>
          <w:szCs w:val="24"/>
        </w:rPr>
        <w:t>CO</w:t>
      </w:r>
      <w:r w:rsidR="00EC4091" w:rsidRPr="00B94E47">
        <w:rPr>
          <w:rFonts w:ascii="Times New Roman" w:hAnsi="Times New Roman" w:cs="Times New Roman"/>
          <w:sz w:val="24"/>
          <w:szCs w:val="24"/>
          <w:vertAlign w:val="subscript"/>
        </w:rPr>
        <w:t>2</w:t>
      </w:r>
      <w:r w:rsidRPr="00B94E47">
        <w:rPr>
          <w:rFonts w:ascii="Times New Roman" w:hAnsi="Times New Roman" w:cs="Times New Roman"/>
          <w:sz w:val="24"/>
          <w:szCs w:val="24"/>
        </w:rPr>
        <w:t xml:space="preserve"> changes relative to a projected emission pathway and, therefore, does not accurately represent the value of changes that would significantly alter the emissions trajectory. Although there is no quantitative definition regarding what constitutes a marginal change for </w:t>
      </w:r>
      <w:r w:rsidR="002F4542">
        <w:rPr>
          <w:rFonts w:ascii="Times New Roman" w:hAnsi="Times New Roman" w:cs="Times New Roman"/>
          <w:sz w:val="24"/>
          <w:szCs w:val="24"/>
        </w:rPr>
        <w:t xml:space="preserve">the </w:t>
      </w:r>
      <w:r w:rsidRPr="00B94E47">
        <w:rPr>
          <w:rFonts w:ascii="Times New Roman" w:hAnsi="Times New Roman" w:cs="Times New Roman"/>
          <w:sz w:val="24"/>
          <w:szCs w:val="24"/>
        </w:rPr>
        <w:t>purposes of SCC, the annual changes in carbon storage in U.S. terrestrial vegetation and soils are small relative to the net total increase in atmospheric GHG stocks. Specifically, the annual ch</w:t>
      </w:r>
      <w:r w:rsidR="00AB19C3">
        <w:rPr>
          <w:rFonts w:ascii="Times New Roman" w:hAnsi="Times New Roman" w:cs="Times New Roman"/>
          <w:sz w:val="24"/>
          <w:szCs w:val="24"/>
        </w:rPr>
        <w:t>anges in carbon storage in U.S. </w:t>
      </w:r>
      <w:r w:rsidRPr="00B94E47">
        <w:rPr>
          <w:rFonts w:ascii="Times New Roman" w:hAnsi="Times New Roman" w:cs="Times New Roman"/>
          <w:sz w:val="24"/>
          <w:szCs w:val="24"/>
        </w:rPr>
        <w:t>terrestrial vegetation and soils will be small relative to the net total increase in atmospheric GHG stocks. For example, Bachelet et al. (2003) f</w:t>
      </w:r>
      <w:r w:rsidR="002F4542">
        <w:rPr>
          <w:rFonts w:ascii="Times New Roman" w:hAnsi="Times New Roman" w:cs="Times New Roman"/>
          <w:sz w:val="24"/>
          <w:szCs w:val="24"/>
        </w:rPr>
        <w:t>ou</w:t>
      </w:r>
      <w:r w:rsidRPr="00B94E47">
        <w:rPr>
          <w:rFonts w:ascii="Times New Roman" w:hAnsi="Times New Roman" w:cs="Times New Roman"/>
          <w:sz w:val="24"/>
          <w:szCs w:val="24"/>
        </w:rPr>
        <w:t xml:space="preserve">nd changes in total </w:t>
      </w:r>
      <w:r w:rsidRPr="00D14CE8">
        <w:rPr>
          <w:rFonts w:ascii="Times New Roman" w:hAnsi="Times New Roman" w:cs="Times New Roman"/>
          <w:sz w:val="24"/>
          <w:szCs w:val="24"/>
        </w:rPr>
        <w:t>carbon storage (soil plus vegetation) in the conterminous U</w:t>
      </w:r>
      <w:r w:rsidR="002F4542" w:rsidRPr="00D14CE8">
        <w:rPr>
          <w:rFonts w:ascii="Times New Roman" w:hAnsi="Times New Roman" w:cs="Times New Roman"/>
          <w:sz w:val="24"/>
          <w:szCs w:val="24"/>
        </w:rPr>
        <w:t>.S.</w:t>
      </w:r>
      <w:r w:rsidRPr="00D14CE8">
        <w:rPr>
          <w:rFonts w:ascii="Times New Roman" w:hAnsi="Times New Roman" w:cs="Times New Roman"/>
          <w:sz w:val="24"/>
          <w:szCs w:val="24"/>
        </w:rPr>
        <w:t xml:space="preserve"> of 13 to 17 Pg by the</w:t>
      </w:r>
      <w:r w:rsidRPr="00B94E47">
        <w:rPr>
          <w:rFonts w:ascii="Times New Roman" w:hAnsi="Times New Roman" w:cs="Times New Roman"/>
          <w:sz w:val="24"/>
          <w:szCs w:val="24"/>
        </w:rPr>
        <w:t xml:space="preserve"> end of the century (using Canadian and Hadley climate projections, respectively), which translates to an average change in carbon storage of 0.16 to 0.19 Pg per year</w:t>
      </w:r>
      <w:r w:rsidR="002F4542">
        <w:rPr>
          <w:rFonts w:ascii="Times New Roman" w:hAnsi="Times New Roman" w:cs="Times New Roman"/>
          <w:sz w:val="24"/>
          <w:szCs w:val="24"/>
        </w:rPr>
        <w:t>, respectively</w:t>
      </w:r>
      <w:r w:rsidRPr="00B94E47">
        <w:rPr>
          <w:rFonts w:ascii="Times New Roman" w:hAnsi="Times New Roman" w:cs="Times New Roman"/>
          <w:sz w:val="24"/>
          <w:szCs w:val="24"/>
        </w:rPr>
        <w:t xml:space="preserve">. The current total worldwide carbon emissions </w:t>
      </w:r>
      <w:r w:rsidRPr="00B94E47">
        <w:rPr>
          <w:rFonts w:ascii="Times New Roman" w:hAnsi="Times New Roman" w:cs="Times New Roman"/>
          <w:sz w:val="24"/>
          <w:szCs w:val="24"/>
        </w:rPr>
        <w:sym w:font="Symbol" w:char="F02D"/>
      </w:r>
      <w:r w:rsidRPr="00B94E47">
        <w:rPr>
          <w:rFonts w:ascii="Times New Roman" w:hAnsi="Times New Roman" w:cs="Times New Roman"/>
          <w:sz w:val="24"/>
          <w:szCs w:val="24"/>
        </w:rPr>
        <w:t xml:space="preserve"> about 8 Pg per year </w:t>
      </w:r>
      <w:r w:rsidRPr="00B94E47">
        <w:rPr>
          <w:rFonts w:ascii="Times New Roman" w:hAnsi="Times New Roman" w:cs="Times New Roman"/>
          <w:sz w:val="24"/>
          <w:szCs w:val="24"/>
        </w:rPr>
        <w:sym w:font="Symbol" w:char="F02D"/>
      </w:r>
      <w:r w:rsidRPr="00B94E47">
        <w:rPr>
          <w:rFonts w:ascii="Times New Roman" w:hAnsi="Times New Roman" w:cs="Times New Roman"/>
          <w:sz w:val="24"/>
          <w:szCs w:val="24"/>
        </w:rPr>
        <w:t xml:space="preserve"> clearly dwarfs the annual average change in total carbon storage.</w:t>
      </w:r>
    </w:p>
    <w:p w:rsidR="00011FE1" w:rsidRPr="00B94E47" w:rsidRDefault="002D6E05" w:rsidP="00011FE1">
      <w:pPr>
        <w:spacing w:after="240" w:line="240" w:lineRule="auto"/>
        <w:rPr>
          <w:rFonts w:ascii="Times New Roman" w:hAnsi="Times New Roman" w:cs="Times New Roman"/>
          <w:sz w:val="24"/>
          <w:szCs w:val="24"/>
        </w:rPr>
      </w:pPr>
      <w:r w:rsidRPr="00B94E47">
        <w:rPr>
          <w:rFonts w:ascii="Times New Roman" w:hAnsi="Times New Roman" w:cs="Times New Roman"/>
          <w:color w:val="000000"/>
          <w:sz w:val="24"/>
          <w:szCs w:val="24"/>
        </w:rPr>
        <w:t>Finally, the Interagency Working Group developed SCC estimates only to the year 2050. Our carbon storage model projects out to the year 2100. We extrapolated the SCC values by estimating a linear regression for each SCC estimate, based on the available SCC estimates for 2010</w:t>
      </w:r>
      <w:r w:rsidRPr="00B94E47">
        <w:rPr>
          <w:rFonts w:ascii="Times New Roman" w:hAnsi="Times New Roman" w:cs="Times New Roman"/>
          <w:color w:val="000000"/>
          <w:sz w:val="24"/>
          <w:szCs w:val="24"/>
        </w:rPr>
        <w:sym w:font="Symbol" w:char="F02D"/>
      </w:r>
      <w:r w:rsidRPr="00B94E47">
        <w:rPr>
          <w:rFonts w:ascii="Times New Roman" w:hAnsi="Times New Roman" w:cs="Times New Roman"/>
          <w:color w:val="000000"/>
          <w:sz w:val="24"/>
          <w:szCs w:val="24"/>
        </w:rPr>
        <w:t>2050. All SCC estimates were discounted back to the policy year (201</w:t>
      </w:r>
      <w:r w:rsidR="00965D54">
        <w:rPr>
          <w:rFonts w:ascii="Times New Roman" w:hAnsi="Times New Roman" w:cs="Times New Roman"/>
          <w:color w:val="000000"/>
          <w:sz w:val="24"/>
          <w:szCs w:val="24"/>
        </w:rPr>
        <w:t>5</w:t>
      </w:r>
      <w:r w:rsidRPr="00B94E47">
        <w:rPr>
          <w:rFonts w:ascii="Times New Roman" w:hAnsi="Times New Roman" w:cs="Times New Roman"/>
          <w:color w:val="000000"/>
          <w:sz w:val="24"/>
          <w:szCs w:val="24"/>
        </w:rPr>
        <w:t>) using the same discount rates as those used in the SCC analysis (i.e., 2.5%, 3%, or 5%)</w:t>
      </w:r>
      <w:r w:rsidR="002D7D0F">
        <w:rPr>
          <w:rFonts w:ascii="Times New Roman" w:hAnsi="Times New Roman" w:cs="Times New Roman"/>
          <w:color w:val="000000"/>
          <w:sz w:val="24"/>
          <w:szCs w:val="24"/>
        </w:rPr>
        <w:t>. Also,</w:t>
      </w:r>
      <w:r w:rsidR="00B33F0A">
        <w:rPr>
          <w:rFonts w:ascii="Times New Roman" w:hAnsi="Times New Roman" w:cs="Times New Roman"/>
          <w:color w:val="000000"/>
          <w:sz w:val="24"/>
          <w:szCs w:val="24"/>
        </w:rPr>
        <w:t xml:space="preserve"> </w:t>
      </w:r>
      <w:r w:rsidR="002D7D0F">
        <w:rPr>
          <w:rFonts w:ascii="Times New Roman" w:hAnsi="Times New Roman" w:cs="Times New Roman"/>
          <w:color w:val="000000"/>
          <w:sz w:val="24"/>
          <w:szCs w:val="24"/>
        </w:rPr>
        <w:t>we adjusted the federal government</w:t>
      </w:r>
      <w:r w:rsidR="008C0EC3">
        <w:rPr>
          <w:rFonts w:ascii="Times New Roman" w:hAnsi="Times New Roman" w:cs="Times New Roman"/>
          <w:color w:val="000000"/>
          <w:sz w:val="24"/>
          <w:szCs w:val="24"/>
        </w:rPr>
        <w:t>’</w:t>
      </w:r>
      <w:r w:rsidR="002D7D0F">
        <w:rPr>
          <w:rFonts w:ascii="Times New Roman" w:hAnsi="Times New Roman" w:cs="Times New Roman"/>
          <w:color w:val="000000"/>
          <w:sz w:val="24"/>
          <w:szCs w:val="24"/>
        </w:rPr>
        <w:t>s</w:t>
      </w:r>
      <w:r w:rsidR="00B33F0A">
        <w:rPr>
          <w:rFonts w:ascii="Times New Roman" w:hAnsi="Times New Roman" w:cs="Times New Roman"/>
          <w:color w:val="000000"/>
          <w:sz w:val="24"/>
          <w:szCs w:val="24"/>
        </w:rPr>
        <w:t xml:space="preserve"> </w:t>
      </w:r>
      <w:r w:rsidR="00011FE1">
        <w:rPr>
          <w:rFonts w:ascii="Times New Roman" w:hAnsi="Times New Roman" w:cs="Times New Roman"/>
          <w:color w:val="000000"/>
          <w:sz w:val="24"/>
          <w:szCs w:val="24"/>
        </w:rPr>
        <w:t xml:space="preserve">SCC values from the reported dollar year 2007 to their </w:t>
      </w:r>
      <w:r w:rsidR="00011FE1" w:rsidRPr="00F85171">
        <w:rPr>
          <w:rFonts w:ascii="Times New Roman" w:hAnsi="Times New Roman" w:cs="Times New Roman"/>
          <w:color w:val="000000"/>
          <w:sz w:val="24"/>
          <w:szCs w:val="24"/>
        </w:rPr>
        <w:t>2005</w:t>
      </w:r>
      <w:r w:rsidR="00011FE1">
        <w:rPr>
          <w:rFonts w:ascii="Times New Roman" w:hAnsi="Times New Roman" w:cs="Times New Roman"/>
          <w:color w:val="000000"/>
          <w:sz w:val="24"/>
          <w:szCs w:val="24"/>
        </w:rPr>
        <w:t xml:space="preserve"> equivalent values using </w:t>
      </w:r>
      <w:r w:rsidR="00011FE1" w:rsidRPr="00B94E47">
        <w:rPr>
          <w:rFonts w:ascii="Times New Roman" w:hAnsi="Times New Roman" w:cs="Times New Roman"/>
          <w:sz w:val="24"/>
          <w:szCs w:val="24"/>
        </w:rPr>
        <w:t>the Consumer Price Index for All Urban Consumers (U.S. DOL</w:t>
      </w:r>
      <w:r w:rsidR="00011FE1">
        <w:rPr>
          <w:rFonts w:ascii="Times New Roman" w:hAnsi="Times New Roman" w:cs="Times New Roman"/>
          <w:sz w:val="24"/>
          <w:szCs w:val="24"/>
        </w:rPr>
        <w:t xml:space="preserve"> 2011). T</w:t>
      </w:r>
      <w:r w:rsidR="003D55C3">
        <w:rPr>
          <w:rFonts w:ascii="Times New Roman" w:hAnsi="Times New Roman" w:cs="Times New Roman"/>
          <w:sz w:val="24"/>
          <w:szCs w:val="24"/>
        </w:rPr>
        <w:t>able 6.2 presents t</w:t>
      </w:r>
      <w:r w:rsidR="00011FE1">
        <w:rPr>
          <w:rFonts w:ascii="Times New Roman" w:hAnsi="Times New Roman" w:cs="Times New Roman"/>
          <w:sz w:val="24"/>
          <w:szCs w:val="24"/>
        </w:rPr>
        <w:t>he SCC values</w:t>
      </w:r>
      <w:r w:rsidR="002D7D0F">
        <w:rPr>
          <w:rFonts w:ascii="Times New Roman" w:hAnsi="Times New Roman" w:cs="Times New Roman"/>
          <w:sz w:val="24"/>
          <w:szCs w:val="24"/>
        </w:rPr>
        <w:t xml:space="preserve"> used in this analysis</w:t>
      </w:r>
      <w:r w:rsidR="009042F6">
        <w:rPr>
          <w:rFonts w:ascii="Times New Roman" w:hAnsi="Times New Roman" w:cs="Times New Roman"/>
          <w:sz w:val="24"/>
          <w:szCs w:val="24"/>
        </w:rPr>
        <w:t>, rounded to the nearest dollar</w:t>
      </w:r>
      <w:r w:rsidR="00011FE1">
        <w:rPr>
          <w:rFonts w:ascii="Times New Roman" w:hAnsi="Times New Roman" w:cs="Times New Roman"/>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693"/>
        <w:gridCol w:w="1890"/>
        <w:gridCol w:w="1980"/>
        <w:gridCol w:w="1800"/>
        <w:gridCol w:w="1863"/>
      </w:tblGrid>
      <w:tr w:rsidR="00DC5754" w:rsidRPr="00DC5754" w:rsidTr="00DC5754">
        <w:trPr>
          <w:tblHeader/>
          <w:jc w:val="center"/>
        </w:trPr>
        <w:tc>
          <w:tcPr>
            <w:tcW w:w="8226" w:type="dxa"/>
            <w:gridSpan w:val="5"/>
            <w:shd w:val="clear" w:color="auto" w:fill="auto"/>
            <w:vAlign w:val="bottom"/>
          </w:tcPr>
          <w:p w:rsidR="00DC5754" w:rsidRPr="00DC5754" w:rsidRDefault="00DC5754" w:rsidP="008C0EC3">
            <w:pPr>
              <w:autoSpaceDE w:val="0"/>
              <w:autoSpaceDN w:val="0"/>
              <w:adjustRightInd w:val="0"/>
              <w:spacing w:before="120" w:after="240" w:line="240" w:lineRule="auto"/>
              <w:rPr>
                <w:rFonts w:ascii="Times New Roman" w:eastAsia="Times New Roman" w:hAnsi="Times New Roman" w:cs="Times New Roman"/>
                <w:bCs/>
                <w:iCs/>
                <w:color w:val="000000"/>
                <w:sz w:val="20"/>
                <w:szCs w:val="20"/>
              </w:rPr>
            </w:pPr>
            <w:r>
              <w:rPr>
                <w:rFonts w:ascii="Times New Roman" w:eastAsia="Times New Roman" w:hAnsi="Times New Roman" w:cs="Times New Roman"/>
                <w:bCs/>
                <w:iCs/>
                <w:color w:val="000000"/>
                <w:sz w:val="20"/>
                <w:szCs w:val="20"/>
              </w:rPr>
              <w:t>Table 6.2</w:t>
            </w:r>
            <w:r w:rsidRPr="00DC5754">
              <w:rPr>
                <w:rFonts w:ascii="Times New Roman" w:eastAsia="Times New Roman" w:hAnsi="Times New Roman" w:cs="Times New Roman"/>
                <w:bCs/>
                <w:iCs/>
                <w:color w:val="000000"/>
                <w:sz w:val="20"/>
                <w:szCs w:val="20"/>
              </w:rPr>
              <w:t xml:space="preserve"> </w:t>
            </w:r>
            <w:r>
              <w:rPr>
                <w:rFonts w:ascii="Times New Roman" w:eastAsia="Times New Roman" w:hAnsi="Times New Roman" w:cs="Times New Roman"/>
                <w:bCs/>
                <w:iCs/>
                <w:color w:val="000000"/>
                <w:sz w:val="20"/>
                <w:szCs w:val="20"/>
              </w:rPr>
              <w:t>SCC</w:t>
            </w:r>
            <w:r w:rsidRPr="00DC5754">
              <w:rPr>
                <w:rFonts w:ascii="Times New Roman" w:eastAsia="Times New Roman" w:hAnsi="Times New Roman" w:cs="Times New Roman"/>
                <w:bCs/>
                <w:iCs/>
                <w:color w:val="000000"/>
                <w:sz w:val="20"/>
                <w:szCs w:val="20"/>
              </w:rPr>
              <w:t xml:space="preserve"> values used to estimate carbon storage impacts (dollars per metric ton, discounted to year 2015 and expressed in</w:t>
            </w:r>
            <w:r w:rsidR="008C0EC3">
              <w:rPr>
                <w:rFonts w:ascii="Times New Roman" w:eastAsia="Times New Roman" w:hAnsi="Times New Roman" w:cs="Times New Roman"/>
                <w:bCs/>
                <w:iCs/>
                <w:color w:val="000000"/>
                <w:sz w:val="20"/>
                <w:szCs w:val="20"/>
              </w:rPr>
              <w:t xml:space="preserve"> US$ </w:t>
            </w:r>
            <w:r w:rsidRPr="00DC5754">
              <w:rPr>
                <w:rFonts w:ascii="Times New Roman" w:eastAsia="Times New Roman" w:hAnsi="Times New Roman" w:cs="Times New Roman"/>
                <w:bCs/>
                <w:iCs/>
                <w:color w:val="000000"/>
                <w:sz w:val="20"/>
                <w:szCs w:val="20"/>
              </w:rPr>
              <w:t>2005)</w:t>
            </w:r>
          </w:p>
        </w:tc>
      </w:tr>
      <w:tr w:rsidR="00DC5754" w:rsidRPr="00DC5754" w:rsidTr="008C0EC3">
        <w:trPr>
          <w:tblHeader/>
          <w:jc w:val="center"/>
        </w:trPr>
        <w:tc>
          <w:tcPr>
            <w:tcW w:w="693" w:type="dxa"/>
            <w:shd w:val="clear" w:color="auto" w:fill="auto"/>
            <w:vAlign w:val="bottom"/>
          </w:tcPr>
          <w:p w:rsidR="00DC5754" w:rsidRPr="00DC5754" w:rsidRDefault="00DC5754" w:rsidP="00DC5754">
            <w:pPr>
              <w:autoSpaceDE w:val="0"/>
              <w:autoSpaceDN w:val="0"/>
              <w:adjustRightInd w:val="0"/>
              <w:spacing w:after="120" w:line="240" w:lineRule="auto"/>
              <w:rPr>
                <w:rFonts w:ascii="Times New Roman" w:eastAsia="Times New Roman" w:hAnsi="Times New Roman" w:cs="Times New Roman"/>
                <w:bCs/>
                <w:iCs/>
                <w:color w:val="000000"/>
                <w:sz w:val="20"/>
                <w:szCs w:val="20"/>
              </w:rPr>
            </w:pPr>
            <w:r w:rsidRPr="00DC5754">
              <w:rPr>
                <w:rFonts w:ascii="Times New Roman" w:eastAsia="Times New Roman" w:hAnsi="Times New Roman" w:cs="Times New Roman"/>
                <w:bCs/>
                <w:iCs/>
                <w:color w:val="000000"/>
                <w:sz w:val="20"/>
                <w:szCs w:val="20"/>
              </w:rPr>
              <w:t>Year</w:t>
            </w:r>
          </w:p>
        </w:tc>
        <w:tc>
          <w:tcPr>
            <w:tcW w:w="1890" w:type="dxa"/>
            <w:shd w:val="clear" w:color="auto" w:fill="auto"/>
            <w:vAlign w:val="bottom"/>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bCs/>
                <w:iCs/>
                <w:color w:val="000000"/>
                <w:sz w:val="20"/>
                <w:szCs w:val="20"/>
              </w:rPr>
            </w:pPr>
            <w:r w:rsidRPr="00DC5754">
              <w:rPr>
                <w:rFonts w:ascii="Times New Roman" w:eastAsia="Times New Roman" w:hAnsi="Times New Roman" w:cs="Times New Roman"/>
                <w:bCs/>
                <w:iCs/>
                <w:color w:val="000000"/>
                <w:sz w:val="20"/>
                <w:szCs w:val="20"/>
              </w:rPr>
              <w:t xml:space="preserve">3% discount rate </w:t>
            </w:r>
            <w:r w:rsidR="00E74C9A">
              <w:rPr>
                <w:rFonts w:ascii="Times New Roman" w:eastAsia="Times New Roman" w:hAnsi="Times New Roman" w:cs="Times New Roman"/>
                <w:bCs/>
                <w:iCs/>
                <w:color w:val="000000"/>
                <w:sz w:val="20"/>
                <w:szCs w:val="20"/>
              </w:rPr>
              <w:t>(</w:t>
            </w:r>
            <w:r w:rsidRPr="00DC5754">
              <w:rPr>
                <w:rFonts w:ascii="Times New Roman" w:eastAsia="Times New Roman" w:hAnsi="Times New Roman" w:cs="Times New Roman"/>
                <w:bCs/>
                <w:iCs/>
                <w:color w:val="000000"/>
                <w:sz w:val="20"/>
                <w:szCs w:val="20"/>
              </w:rPr>
              <w:t>average value</w:t>
            </w:r>
            <w:r w:rsidR="00E74C9A">
              <w:rPr>
                <w:rFonts w:ascii="Times New Roman" w:eastAsia="Times New Roman" w:hAnsi="Times New Roman" w:cs="Times New Roman"/>
                <w:bCs/>
                <w:iCs/>
                <w:color w:val="000000"/>
                <w:sz w:val="20"/>
                <w:szCs w:val="20"/>
              </w:rPr>
              <w:t>)</w:t>
            </w:r>
          </w:p>
        </w:tc>
        <w:tc>
          <w:tcPr>
            <w:tcW w:w="1980" w:type="dxa"/>
            <w:shd w:val="clear" w:color="auto" w:fill="auto"/>
            <w:vAlign w:val="bottom"/>
          </w:tcPr>
          <w:p w:rsidR="00DC5754" w:rsidRPr="00DC5754" w:rsidRDefault="00DC5754" w:rsidP="008C0EC3">
            <w:pPr>
              <w:autoSpaceDE w:val="0"/>
              <w:autoSpaceDN w:val="0"/>
              <w:adjustRightInd w:val="0"/>
              <w:spacing w:after="120" w:line="240" w:lineRule="auto"/>
              <w:jc w:val="center"/>
              <w:rPr>
                <w:rFonts w:ascii="Times New Roman" w:eastAsia="Times New Roman" w:hAnsi="Times New Roman" w:cs="Times New Roman"/>
                <w:bCs/>
                <w:iCs/>
                <w:color w:val="000000"/>
                <w:sz w:val="20"/>
                <w:szCs w:val="20"/>
              </w:rPr>
            </w:pPr>
            <w:r w:rsidRPr="00DC5754">
              <w:rPr>
                <w:rFonts w:ascii="Times New Roman" w:eastAsia="Times New Roman" w:hAnsi="Times New Roman" w:cs="Times New Roman"/>
                <w:bCs/>
                <w:iCs/>
                <w:color w:val="000000"/>
                <w:sz w:val="20"/>
                <w:szCs w:val="20"/>
              </w:rPr>
              <w:t>3% discount rate</w:t>
            </w:r>
            <w:r w:rsidR="008C0EC3">
              <w:rPr>
                <w:rFonts w:ascii="Times New Roman" w:eastAsia="Times New Roman" w:hAnsi="Times New Roman" w:cs="Times New Roman"/>
                <w:bCs/>
                <w:iCs/>
                <w:color w:val="000000"/>
                <w:sz w:val="20"/>
                <w:szCs w:val="20"/>
              </w:rPr>
              <w:br/>
            </w:r>
            <w:r w:rsidR="00E74C9A">
              <w:rPr>
                <w:rFonts w:ascii="Times New Roman" w:eastAsia="Times New Roman" w:hAnsi="Times New Roman" w:cs="Times New Roman"/>
                <w:bCs/>
                <w:iCs/>
                <w:color w:val="000000"/>
                <w:sz w:val="20"/>
                <w:szCs w:val="20"/>
              </w:rPr>
              <w:t>(</w:t>
            </w:r>
            <w:r w:rsidRPr="00DC5754">
              <w:rPr>
                <w:rFonts w:ascii="Times New Roman" w:eastAsia="Times New Roman" w:hAnsi="Times New Roman" w:cs="Times New Roman"/>
                <w:bCs/>
                <w:iCs/>
                <w:color w:val="000000"/>
                <w:sz w:val="20"/>
                <w:szCs w:val="20"/>
              </w:rPr>
              <w:t>95th percentile value</w:t>
            </w:r>
            <w:r w:rsidR="00E74C9A">
              <w:rPr>
                <w:rFonts w:ascii="Times New Roman" w:eastAsia="Times New Roman" w:hAnsi="Times New Roman" w:cs="Times New Roman"/>
                <w:bCs/>
                <w:iCs/>
                <w:color w:val="000000"/>
                <w:sz w:val="20"/>
                <w:szCs w:val="20"/>
              </w:rPr>
              <w:t>)</w:t>
            </w:r>
          </w:p>
        </w:tc>
        <w:tc>
          <w:tcPr>
            <w:tcW w:w="1800" w:type="dxa"/>
            <w:shd w:val="clear" w:color="auto" w:fill="auto"/>
            <w:vAlign w:val="bottom"/>
          </w:tcPr>
          <w:p w:rsidR="00E74C9A" w:rsidRPr="00DC5754" w:rsidRDefault="00DC5754" w:rsidP="00DC5754">
            <w:pPr>
              <w:autoSpaceDE w:val="0"/>
              <w:autoSpaceDN w:val="0"/>
              <w:adjustRightInd w:val="0"/>
              <w:spacing w:after="120" w:line="240" w:lineRule="auto"/>
              <w:jc w:val="center"/>
              <w:rPr>
                <w:rFonts w:ascii="Times New Roman" w:eastAsia="Times New Roman" w:hAnsi="Times New Roman" w:cs="Times New Roman"/>
                <w:bCs/>
                <w:iCs/>
                <w:color w:val="000000"/>
                <w:sz w:val="20"/>
                <w:szCs w:val="20"/>
              </w:rPr>
            </w:pPr>
            <w:r w:rsidRPr="00DC5754">
              <w:rPr>
                <w:rFonts w:ascii="Times New Roman" w:eastAsia="Times New Roman" w:hAnsi="Times New Roman" w:cs="Times New Roman"/>
                <w:bCs/>
                <w:iCs/>
                <w:color w:val="000000"/>
                <w:sz w:val="20"/>
                <w:szCs w:val="20"/>
              </w:rPr>
              <w:t>2.5% discount rate</w:t>
            </w:r>
            <w:r w:rsidR="00E74C9A">
              <w:rPr>
                <w:rFonts w:ascii="Times New Roman" w:eastAsia="Times New Roman" w:hAnsi="Times New Roman" w:cs="Times New Roman"/>
                <w:bCs/>
                <w:iCs/>
                <w:color w:val="000000"/>
                <w:sz w:val="20"/>
                <w:szCs w:val="20"/>
              </w:rPr>
              <w:t xml:space="preserve"> (</w:t>
            </w:r>
            <w:r w:rsidR="00E74C9A" w:rsidRPr="00DC5754">
              <w:rPr>
                <w:rFonts w:ascii="Times New Roman" w:eastAsia="Times New Roman" w:hAnsi="Times New Roman" w:cs="Times New Roman"/>
                <w:bCs/>
                <w:iCs/>
                <w:color w:val="000000"/>
                <w:sz w:val="20"/>
                <w:szCs w:val="20"/>
              </w:rPr>
              <w:t>average value</w:t>
            </w:r>
            <w:r w:rsidR="00E74C9A">
              <w:rPr>
                <w:rFonts w:ascii="Times New Roman" w:eastAsia="Times New Roman" w:hAnsi="Times New Roman" w:cs="Times New Roman"/>
                <w:bCs/>
                <w:iCs/>
                <w:color w:val="000000"/>
                <w:sz w:val="20"/>
                <w:szCs w:val="20"/>
              </w:rPr>
              <w:t>)</w:t>
            </w:r>
          </w:p>
        </w:tc>
        <w:tc>
          <w:tcPr>
            <w:tcW w:w="1863" w:type="dxa"/>
            <w:shd w:val="clear" w:color="auto" w:fill="auto"/>
            <w:vAlign w:val="bottom"/>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bCs/>
                <w:iCs/>
                <w:color w:val="000000"/>
                <w:sz w:val="20"/>
                <w:szCs w:val="20"/>
              </w:rPr>
            </w:pPr>
            <w:r w:rsidRPr="00DC5754">
              <w:rPr>
                <w:rFonts w:ascii="Times New Roman" w:eastAsia="Times New Roman" w:hAnsi="Times New Roman" w:cs="Times New Roman"/>
                <w:bCs/>
                <w:iCs/>
                <w:color w:val="000000"/>
                <w:sz w:val="20"/>
                <w:szCs w:val="20"/>
              </w:rPr>
              <w:t>5.0% discount rate</w:t>
            </w:r>
            <w:r w:rsidR="00E74C9A">
              <w:rPr>
                <w:rFonts w:ascii="Times New Roman" w:eastAsia="Times New Roman" w:hAnsi="Times New Roman" w:cs="Times New Roman"/>
                <w:bCs/>
                <w:iCs/>
                <w:color w:val="000000"/>
                <w:sz w:val="20"/>
                <w:szCs w:val="20"/>
              </w:rPr>
              <w:t xml:space="preserve"> (</w:t>
            </w:r>
            <w:r w:rsidR="00E74C9A" w:rsidRPr="00DC5754">
              <w:rPr>
                <w:rFonts w:ascii="Times New Roman" w:eastAsia="Times New Roman" w:hAnsi="Times New Roman" w:cs="Times New Roman"/>
                <w:bCs/>
                <w:iCs/>
                <w:color w:val="000000"/>
                <w:sz w:val="20"/>
                <w:szCs w:val="20"/>
              </w:rPr>
              <w:t>average value</w:t>
            </w:r>
            <w:r w:rsidR="00E74C9A">
              <w:rPr>
                <w:rFonts w:ascii="Times New Roman" w:eastAsia="Times New Roman" w:hAnsi="Times New Roman" w:cs="Times New Roman"/>
                <w:bCs/>
                <w:iCs/>
                <w:color w:val="000000"/>
                <w:sz w:val="20"/>
                <w:szCs w:val="20"/>
              </w:rPr>
              <w:t>)</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2010</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$98</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$13</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2011</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$99</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$13</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2012</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$100</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2013</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$101</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2014</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2015</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2016</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$54</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2017</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$54</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2018</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$54</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2019</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$104</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$54</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lastRenderedPageBreak/>
              <w:t>2020</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$104</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$53</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2021</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$34</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$53</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2022</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$34</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$53</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2023</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$34</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$52</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2024</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$33</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$101</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$52</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2025</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$33</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$100</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$51</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2026</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$33</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$99</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$51</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2027</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$32</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$98</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$50</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2028</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$32</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$98</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$50</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2029</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$32</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$97</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$49</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2030</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$31</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$96</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$49</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2031</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$31</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$95</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$48</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2032</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$31</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$94</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$48</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2033</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$30</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$47</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2034</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$30</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$47</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2035</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$29</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$91</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$46</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2036</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$29</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$90</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$46</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2037</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$29</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$89</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2038</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$28</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$88</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2039</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$28</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$87</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$44</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2040</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$28</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$86</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$44</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2041</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$27</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$84</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$43</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2042</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$27</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$43</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2043</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$26</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$42</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2044</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$26</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$81</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$42</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2045</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$26</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$79</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$41</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2046</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$78</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$41</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2047</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$77</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$40</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2048</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$24</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$76</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$40</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2049</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$24</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$75</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$39</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2050</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$24</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$39</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2051</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$23</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$38</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lastRenderedPageBreak/>
              <w:t>2052</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$23</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$38</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2053</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$23</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$71</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$37</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2054</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$22</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$70</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$37</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2055</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$22</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$69</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$36</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2056</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$21</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$67</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$36</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2057</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$21</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$66</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2058</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$21</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$65</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2059</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$64</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$34</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2060</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$34</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2061</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$33</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2062</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$19</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$61</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$33</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2063</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$19</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$60</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$32</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2064</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$19</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$59</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$32</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2065</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$18</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$58</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$31</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2066</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$18</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$57</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$31</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2067</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$18</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$56</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$30</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2068</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$17</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$55</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$30</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2069</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$17</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$54</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$29</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2070</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$17</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$29</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2071</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$16</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$29</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2072</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$16</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$51</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$28</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2073</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$16</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$50</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$28</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2074</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$49</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$27</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2075</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$48</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$27</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2076</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$15</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$47</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$26</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2077</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$14</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$46</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$26</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2078</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$14</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$46</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$26</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2079</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$14</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$45</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2080</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$14</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$44</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$25</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2081</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$13</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$24</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2082</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$13</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$24</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2083</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$13</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$41</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$24</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lastRenderedPageBreak/>
              <w:t>2084</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$13</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$40</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$23</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2085</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$12</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$40</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$23</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2086</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$12</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$39</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$22</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2087</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$12</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$38</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$22</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2088</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$12</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$37</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$22</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2089</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$11</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$37</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$21</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2090</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$11</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$36</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$21</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2091</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$11</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$35</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$21</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2092</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$11</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$34</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2093</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$34</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2094</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$33</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2095</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$19</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2096</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$32</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$19</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2097</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$10</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$31</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$19</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2098</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$30</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$18</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2099</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$30</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$18</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r w:rsidR="00DC5754" w:rsidRPr="00DC5754" w:rsidTr="008C0EC3">
        <w:trPr>
          <w:trHeight w:val="352"/>
          <w:jc w:val="center"/>
        </w:trPr>
        <w:tc>
          <w:tcPr>
            <w:tcW w:w="69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2100</w:t>
            </w:r>
          </w:p>
        </w:tc>
        <w:tc>
          <w:tcPr>
            <w:tcW w:w="189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$9</w:t>
            </w:r>
          </w:p>
        </w:tc>
        <w:tc>
          <w:tcPr>
            <w:tcW w:w="198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$29</w:t>
            </w:r>
          </w:p>
        </w:tc>
        <w:tc>
          <w:tcPr>
            <w:tcW w:w="1800"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$18</w:t>
            </w:r>
          </w:p>
        </w:tc>
        <w:tc>
          <w:tcPr>
            <w:tcW w:w="1863" w:type="dxa"/>
            <w:shd w:val="clear" w:color="auto" w:fill="auto"/>
          </w:tcPr>
          <w:p w:rsidR="00DC5754" w:rsidRPr="00DC5754" w:rsidRDefault="00DC5754" w:rsidP="00DC5754">
            <w:pPr>
              <w:autoSpaceDE w:val="0"/>
              <w:autoSpaceDN w:val="0"/>
              <w:adjustRightInd w:val="0"/>
              <w:spacing w:after="120" w:line="240" w:lineRule="auto"/>
              <w:jc w:val="center"/>
              <w:rPr>
                <w:rFonts w:ascii="Times New Roman" w:eastAsia="Times New Roman" w:hAnsi="Times New Roman" w:cs="Times New Roman"/>
                <w:color w:val="000000"/>
                <w:sz w:val="20"/>
                <w:szCs w:val="20"/>
              </w:rPr>
            </w:pPr>
            <w:r w:rsidRPr="00DC5754">
              <w:rPr>
                <w:rFonts w:ascii="Times New Roman" w:eastAsia="Times New Roman" w:hAnsi="Times New Roman" w:cs="Times New Roman"/>
                <w:color w:val="000000"/>
                <w:sz w:val="20"/>
                <w:szCs w:val="20"/>
              </w:rPr>
              <w:t>$1</w:t>
            </w:r>
          </w:p>
        </w:tc>
      </w:tr>
    </w:tbl>
    <w:p w:rsidR="00DC5754" w:rsidRDefault="00DC5754" w:rsidP="005E0516">
      <w:pPr>
        <w:rPr>
          <w:b/>
        </w:rPr>
      </w:pPr>
    </w:p>
    <w:p w:rsidR="002D2215" w:rsidRPr="002D2215" w:rsidRDefault="002D2215" w:rsidP="00154D6F">
      <w:pPr>
        <w:keepNext/>
        <w:autoSpaceDE w:val="0"/>
        <w:autoSpaceDN w:val="0"/>
        <w:adjustRightInd w:val="0"/>
        <w:spacing w:after="240" w:line="240" w:lineRule="auto"/>
        <w:rPr>
          <w:rFonts w:ascii="Times New Roman" w:hAnsi="Times New Roman" w:cs="Times New Roman"/>
          <w:b/>
          <w:sz w:val="24"/>
          <w:szCs w:val="24"/>
        </w:rPr>
      </w:pPr>
      <w:r>
        <w:rPr>
          <w:rFonts w:ascii="Times New Roman" w:hAnsi="Times New Roman" w:cs="Times New Roman"/>
          <w:b/>
          <w:sz w:val="24"/>
          <w:szCs w:val="24"/>
        </w:rPr>
        <w:t>References</w:t>
      </w:r>
    </w:p>
    <w:p w:rsidR="00154D6F" w:rsidRPr="002F4542" w:rsidRDefault="00833190" w:rsidP="00154D6F">
      <w:pPr>
        <w:keepNext/>
        <w:spacing w:line="240" w:lineRule="auto"/>
        <w:rPr>
          <w:rFonts w:ascii="Times New Roman" w:hAnsi="Times New Roman" w:cs="Times New Roman"/>
          <w:sz w:val="20"/>
          <w:szCs w:val="20"/>
        </w:rPr>
      </w:pPr>
      <w:r w:rsidRPr="00833190">
        <w:rPr>
          <w:rFonts w:ascii="Times New Roman" w:hAnsi="Times New Roman" w:cs="Times New Roman"/>
          <w:sz w:val="20"/>
          <w:szCs w:val="20"/>
        </w:rPr>
        <w:t xml:space="preserve">Bachelet D, Neilson RP, Hickler T, Drapek RJ, Lenihan JM, Sykes MT, Smith B, Sitch S, Thonicke D </w:t>
      </w:r>
      <w:r w:rsidRPr="002F4542">
        <w:rPr>
          <w:rFonts w:ascii="Times New Roman" w:hAnsi="Times New Roman" w:cs="Times New Roman"/>
          <w:sz w:val="20"/>
          <w:szCs w:val="20"/>
        </w:rPr>
        <w:t>(2003) Simulating past and future dynamics of natural ecosystems in the United States. Glob Biogeochem Cycles 17(2):1045. doi:10.1029/2001GB001508</w:t>
      </w:r>
    </w:p>
    <w:p w:rsidR="00154D6F" w:rsidRPr="000A1AC2" w:rsidRDefault="00833190" w:rsidP="00154D6F">
      <w:pPr>
        <w:spacing w:line="240" w:lineRule="auto"/>
        <w:rPr>
          <w:rFonts w:ascii="Times New Roman" w:hAnsi="Times New Roman" w:cs="Times New Roman"/>
          <w:sz w:val="20"/>
          <w:szCs w:val="20"/>
        </w:rPr>
      </w:pPr>
      <w:r w:rsidRPr="002F4542">
        <w:rPr>
          <w:rFonts w:ascii="Times New Roman" w:hAnsi="Times New Roman" w:cs="Times New Roman"/>
          <w:sz w:val="20"/>
          <w:szCs w:val="20"/>
        </w:rPr>
        <w:t>GACC (Geographic Area Coordination Centers) (2011) National GACC portal. http://gacc.nifc.gov/index.php. Accessed 2 March 2011</w:t>
      </w:r>
    </w:p>
    <w:p w:rsidR="00154D6F" w:rsidRPr="000A1AC2" w:rsidRDefault="00833190" w:rsidP="00154D6F">
      <w:pPr>
        <w:spacing w:line="240" w:lineRule="auto"/>
        <w:rPr>
          <w:rFonts w:ascii="Times New Roman" w:hAnsi="Times New Roman" w:cs="Times New Roman"/>
          <w:sz w:val="20"/>
          <w:szCs w:val="20"/>
        </w:rPr>
      </w:pPr>
      <w:r w:rsidRPr="002F4542">
        <w:rPr>
          <w:rFonts w:ascii="Times New Roman" w:hAnsi="Times New Roman" w:cs="Times New Roman"/>
          <w:sz w:val="20"/>
          <w:szCs w:val="20"/>
        </w:rPr>
        <w:t>Marshall L (2009) Biofuels and the time value of carbon: Recommendations for GHG accounting protocols. WRI Working Paper. World Resources Institute, Washington, DC. http://www.wri.org/publications. Accessed 12 June 2012</w:t>
      </w:r>
    </w:p>
    <w:p w:rsidR="00154D6F" w:rsidRPr="000A1AC2" w:rsidRDefault="00833190" w:rsidP="00154D6F">
      <w:pPr>
        <w:spacing w:line="240" w:lineRule="auto"/>
        <w:rPr>
          <w:rFonts w:ascii="Times New Roman" w:hAnsi="Times New Roman" w:cs="Times New Roman"/>
          <w:sz w:val="20"/>
          <w:szCs w:val="20"/>
        </w:rPr>
      </w:pPr>
      <w:r w:rsidRPr="002F4542">
        <w:rPr>
          <w:rFonts w:ascii="Times New Roman" w:hAnsi="Times New Roman" w:cs="Times New Roman"/>
          <w:sz w:val="20"/>
          <w:szCs w:val="20"/>
        </w:rPr>
        <w:t>NWCG (National Wildfire Coordinating Group) (2011) Historical incident ICS-209 reports. http://fam.nwcg.gov/fam-web/hist_209/report_list_209. Accessed 1 April 2011</w:t>
      </w:r>
    </w:p>
    <w:p w:rsidR="00154D6F" w:rsidRPr="002F4542" w:rsidRDefault="00154D6F" w:rsidP="00154D6F">
      <w:pPr>
        <w:autoSpaceDE w:val="0"/>
        <w:autoSpaceDN w:val="0"/>
        <w:adjustRightInd w:val="0"/>
        <w:spacing w:line="240" w:lineRule="auto"/>
        <w:rPr>
          <w:rFonts w:ascii="Times New Roman" w:hAnsi="Times New Roman" w:cs="Times New Roman"/>
          <w:color w:val="000000"/>
          <w:sz w:val="20"/>
          <w:szCs w:val="20"/>
        </w:rPr>
      </w:pPr>
      <w:r w:rsidRPr="002F4542">
        <w:rPr>
          <w:rFonts w:ascii="Times New Roman" w:hAnsi="Times New Roman" w:cs="Times New Roman"/>
          <w:sz w:val="20"/>
          <w:szCs w:val="20"/>
        </w:rPr>
        <w:t xml:space="preserve">U.S. DOL (U.S. Department of Labor) (2011) Consumer Price Index, All Urban Consumers (CPI-U) – U.S. </w:t>
      </w:r>
      <w:r w:rsidR="002F4542">
        <w:rPr>
          <w:rFonts w:ascii="Times New Roman" w:hAnsi="Times New Roman" w:cs="Times New Roman"/>
          <w:sz w:val="20"/>
          <w:szCs w:val="20"/>
        </w:rPr>
        <w:t>C</w:t>
      </w:r>
      <w:r w:rsidRPr="002F4542">
        <w:rPr>
          <w:rFonts w:ascii="Times New Roman" w:hAnsi="Times New Roman" w:cs="Times New Roman"/>
          <w:sz w:val="20"/>
          <w:szCs w:val="20"/>
        </w:rPr>
        <w:t xml:space="preserve">ity </w:t>
      </w:r>
      <w:r w:rsidR="002F4542">
        <w:rPr>
          <w:rFonts w:ascii="Times New Roman" w:hAnsi="Times New Roman" w:cs="Times New Roman"/>
          <w:sz w:val="20"/>
          <w:szCs w:val="20"/>
        </w:rPr>
        <w:t>A</w:t>
      </w:r>
      <w:r w:rsidRPr="002F4542">
        <w:rPr>
          <w:rFonts w:ascii="Times New Roman" w:hAnsi="Times New Roman" w:cs="Times New Roman"/>
          <w:sz w:val="20"/>
          <w:szCs w:val="20"/>
        </w:rPr>
        <w:t xml:space="preserve">verage, </w:t>
      </w:r>
      <w:r w:rsidR="002F4542">
        <w:rPr>
          <w:rFonts w:ascii="Times New Roman" w:hAnsi="Times New Roman" w:cs="Times New Roman"/>
          <w:sz w:val="20"/>
          <w:szCs w:val="20"/>
        </w:rPr>
        <w:t>A</w:t>
      </w:r>
      <w:r w:rsidRPr="002F4542">
        <w:rPr>
          <w:rFonts w:ascii="Times New Roman" w:hAnsi="Times New Roman" w:cs="Times New Roman"/>
          <w:sz w:val="20"/>
          <w:szCs w:val="20"/>
        </w:rPr>
        <w:t xml:space="preserve">ll </w:t>
      </w:r>
      <w:r w:rsidR="002F4542">
        <w:rPr>
          <w:rFonts w:ascii="Times New Roman" w:hAnsi="Times New Roman" w:cs="Times New Roman"/>
          <w:sz w:val="20"/>
          <w:szCs w:val="20"/>
        </w:rPr>
        <w:t>I</w:t>
      </w:r>
      <w:r w:rsidRPr="002F4542">
        <w:rPr>
          <w:rFonts w:ascii="Times New Roman" w:hAnsi="Times New Roman" w:cs="Times New Roman"/>
          <w:sz w:val="20"/>
          <w:szCs w:val="20"/>
        </w:rPr>
        <w:t xml:space="preserve">tems, 1982-84 = 100. </w:t>
      </w:r>
      <w:r w:rsidRPr="002F4542">
        <w:rPr>
          <w:rFonts w:ascii="Times New Roman" w:eastAsiaTheme="majorEastAsia" w:hAnsi="Times New Roman" w:cs="Times New Roman"/>
          <w:sz w:val="20"/>
          <w:szCs w:val="20"/>
        </w:rPr>
        <w:t>ftp://ftp.bls.gov/pub/special.requests/cpi/cpiai.txt</w:t>
      </w:r>
      <w:r w:rsidRPr="002F4542">
        <w:rPr>
          <w:rFonts w:ascii="Times New Roman" w:hAnsi="Times New Roman" w:cs="Times New Roman"/>
          <w:sz w:val="20"/>
          <w:szCs w:val="20"/>
        </w:rPr>
        <w:t>. Accessed 1 April 2011</w:t>
      </w:r>
    </w:p>
    <w:p w:rsidR="00EC4091" w:rsidRDefault="00EC4091" w:rsidP="00F73C69">
      <w:pPr>
        <w:autoSpaceDE w:val="0"/>
        <w:autoSpaceDN w:val="0"/>
        <w:adjustRightInd w:val="0"/>
        <w:spacing w:line="240" w:lineRule="auto"/>
        <w:rPr>
          <w:rFonts w:ascii="Times New Roman" w:hAnsi="Times New Roman" w:cs="Times New Roman"/>
          <w:color w:val="000000"/>
          <w:sz w:val="20"/>
          <w:szCs w:val="20"/>
        </w:rPr>
      </w:pPr>
      <w:r w:rsidRPr="003B75B5">
        <w:rPr>
          <w:rFonts w:ascii="Times New Roman" w:hAnsi="Times New Roman" w:cs="Times New Roman"/>
          <w:color w:val="000000"/>
          <w:sz w:val="20"/>
          <w:szCs w:val="20"/>
        </w:rPr>
        <w:t>U.S. Interagency Working</w:t>
      </w:r>
      <w:r>
        <w:rPr>
          <w:rFonts w:ascii="Times New Roman" w:hAnsi="Times New Roman" w:cs="Times New Roman"/>
          <w:color w:val="000000"/>
          <w:sz w:val="20"/>
          <w:szCs w:val="20"/>
        </w:rPr>
        <w:t xml:space="preserve"> Group on Social Cost of Carbon</w:t>
      </w:r>
      <w:r w:rsidRPr="003B75B5">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3B75B5">
        <w:rPr>
          <w:rFonts w:ascii="Times New Roman" w:hAnsi="Times New Roman" w:cs="Times New Roman"/>
          <w:color w:val="000000"/>
          <w:sz w:val="20"/>
          <w:szCs w:val="20"/>
        </w:rPr>
        <w:t>201</w:t>
      </w:r>
      <w:r>
        <w:rPr>
          <w:rFonts w:ascii="Times New Roman" w:hAnsi="Times New Roman" w:cs="Times New Roman"/>
          <w:color w:val="000000"/>
          <w:sz w:val="20"/>
          <w:szCs w:val="20"/>
        </w:rPr>
        <w:t>0)</w:t>
      </w:r>
      <w:r w:rsidRPr="003B75B5">
        <w:rPr>
          <w:rFonts w:ascii="Times New Roman" w:hAnsi="Times New Roman" w:cs="Times New Roman"/>
          <w:color w:val="000000"/>
          <w:sz w:val="20"/>
          <w:szCs w:val="20"/>
        </w:rPr>
        <w:t xml:space="preserve"> Technical support document: </w:t>
      </w:r>
      <w:r w:rsidRPr="00EC4091">
        <w:rPr>
          <w:rFonts w:ascii="Times New Roman" w:hAnsi="Times New Roman" w:cs="Times New Roman"/>
          <w:color w:val="000000"/>
          <w:sz w:val="20"/>
          <w:szCs w:val="20"/>
        </w:rPr>
        <w:t xml:space="preserve">Social </w:t>
      </w:r>
      <w:r w:rsidR="00AB19C3" w:rsidRPr="00EC4091">
        <w:rPr>
          <w:rFonts w:ascii="Times New Roman" w:hAnsi="Times New Roman" w:cs="Times New Roman"/>
          <w:color w:val="000000"/>
          <w:sz w:val="20"/>
          <w:szCs w:val="20"/>
        </w:rPr>
        <w:t>cost of carbon for regulatory impact analysis under</w:t>
      </w:r>
      <w:r w:rsidRPr="00EC4091">
        <w:rPr>
          <w:rFonts w:ascii="Times New Roman" w:hAnsi="Times New Roman" w:cs="Times New Roman"/>
          <w:color w:val="000000"/>
          <w:sz w:val="20"/>
          <w:szCs w:val="20"/>
        </w:rPr>
        <w:t xml:space="preserve"> Executive Order 12866</w:t>
      </w:r>
      <w:r w:rsidR="00357791" w:rsidRPr="00EC4091">
        <w:rPr>
          <w:rFonts w:ascii="Times New Roman" w:hAnsi="Times New Roman" w:cs="Times New Roman"/>
          <w:color w:val="000000"/>
          <w:sz w:val="20"/>
          <w:szCs w:val="20"/>
        </w:rPr>
        <w:fldChar w:fldCharType="begin"/>
      </w:r>
      <w:r w:rsidRPr="00C012AC">
        <w:rPr>
          <w:rFonts w:ascii="Times New Roman" w:hAnsi="Times New Roman" w:cs="Times New Roman"/>
          <w:color w:val="000000"/>
          <w:sz w:val="20"/>
          <w:szCs w:val="20"/>
        </w:rPr>
        <w:instrText xml:space="preserve"> http://www.whitehouse.gov/sites/default/files/omb/inforeg/for-agencies/Social-Cost-of-Carbon-for-RIA.pdf</w:instrText>
      </w:r>
      <w:r w:rsidR="00357791" w:rsidRPr="00EC4091">
        <w:rPr>
          <w:rFonts w:ascii="Times New Roman" w:hAnsi="Times New Roman" w:cs="Times New Roman"/>
          <w:color w:val="000000"/>
          <w:sz w:val="20"/>
          <w:szCs w:val="20"/>
        </w:rPr>
        <w:fldChar w:fldCharType="separate"/>
      </w:r>
      <w:r w:rsidRPr="00EC4091">
        <w:rPr>
          <w:rFonts w:ascii="Times New Roman" w:hAnsi="Times New Roman" w:cs="Times New Roman"/>
          <w:color w:val="000000"/>
          <w:sz w:val="20"/>
          <w:szCs w:val="20"/>
        </w:rPr>
        <w:t>http://www.whitehouse.gov/sites/default/files/omb/inforeg/for-agencies/Social-Cost-of-Carbon-for-RIA.pdf</w:t>
      </w:r>
      <w:r w:rsidR="00357791" w:rsidRPr="00EC4091">
        <w:rPr>
          <w:rFonts w:ascii="Times New Roman" w:hAnsi="Times New Roman" w:cs="Times New Roman"/>
          <w:color w:val="000000"/>
          <w:sz w:val="20"/>
          <w:szCs w:val="20"/>
        </w:rPr>
        <w:fldChar w:fldCharType="end"/>
      </w:r>
    </w:p>
    <w:p w:rsidR="00211BFD" w:rsidRPr="00EC4091" w:rsidRDefault="00F73C69" w:rsidP="009F7335">
      <w:pPr>
        <w:keepLines/>
        <w:autoSpaceDE w:val="0"/>
        <w:autoSpaceDN w:val="0"/>
        <w:adjustRightInd w:val="0"/>
        <w:spacing w:line="240" w:lineRule="auto"/>
        <w:rPr>
          <w:rFonts w:ascii="Times New Roman" w:hAnsi="Times New Roman" w:cs="Times New Roman"/>
          <w:color w:val="000000"/>
          <w:sz w:val="20"/>
          <w:szCs w:val="20"/>
        </w:rPr>
      </w:pPr>
      <w:r w:rsidRPr="003B75B5">
        <w:rPr>
          <w:rFonts w:ascii="Times New Roman" w:hAnsi="Times New Roman" w:cs="Times New Roman"/>
          <w:color w:val="000000"/>
          <w:sz w:val="20"/>
          <w:szCs w:val="20"/>
        </w:rPr>
        <w:lastRenderedPageBreak/>
        <w:t>U.S. Interagency Working</w:t>
      </w:r>
      <w:r>
        <w:rPr>
          <w:rFonts w:ascii="Times New Roman" w:hAnsi="Times New Roman" w:cs="Times New Roman"/>
          <w:color w:val="000000"/>
          <w:sz w:val="20"/>
          <w:szCs w:val="20"/>
        </w:rPr>
        <w:t xml:space="preserve"> Group on Social Cost of Carbon</w:t>
      </w:r>
      <w:r w:rsidRPr="003B75B5">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Pr="003B75B5">
        <w:rPr>
          <w:rFonts w:ascii="Times New Roman" w:hAnsi="Times New Roman" w:cs="Times New Roman"/>
          <w:color w:val="000000"/>
          <w:sz w:val="20"/>
          <w:szCs w:val="20"/>
        </w:rPr>
        <w:t>201</w:t>
      </w:r>
      <w:r>
        <w:rPr>
          <w:rFonts w:ascii="Times New Roman" w:hAnsi="Times New Roman" w:cs="Times New Roman"/>
          <w:color w:val="000000"/>
          <w:sz w:val="20"/>
          <w:szCs w:val="20"/>
        </w:rPr>
        <w:t>3)</w:t>
      </w:r>
      <w:r w:rsidRPr="003B75B5">
        <w:rPr>
          <w:rFonts w:ascii="Times New Roman" w:hAnsi="Times New Roman" w:cs="Times New Roman"/>
          <w:color w:val="000000"/>
          <w:sz w:val="20"/>
          <w:szCs w:val="20"/>
        </w:rPr>
        <w:t xml:space="preserve"> Technical support document: </w:t>
      </w:r>
      <w:r>
        <w:rPr>
          <w:rFonts w:ascii="Times New Roman" w:hAnsi="Times New Roman" w:cs="Times New Roman"/>
          <w:color w:val="000000"/>
          <w:sz w:val="20"/>
          <w:szCs w:val="20"/>
        </w:rPr>
        <w:t>Technical update of the s</w:t>
      </w:r>
      <w:r w:rsidRPr="003B75B5">
        <w:rPr>
          <w:rFonts w:ascii="Times New Roman" w:hAnsi="Times New Roman" w:cs="Times New Roman"/>
          <w:color w:val="000000"/>
          <w:sz w:val="20"/>
          <w:szCs w:val="20"/>
        </w:rPr>
        <w:t>ocial cost of carbon for regulatory impact analys</w:t>
      </w:r>
      <w:r>
        <w:rPr>
          <w:rFonts w:ascii="Times New Roman" w:hAnsi="Times New Roman" w:cs="Times New Roman"/>
          <w:color w:val="000000"/>
          <w:sz w:val="20"/>
          <w:szCs w:val="20"/>
        </w:rPr>
        <w:t>is under Executive Order 1286</w:t>
      </w:r>
      <w:r w:rsidR="00833190" w:rsidRPr="002F4542">
        <w:rPr>
          <w:rFonts w:ascii="Times New Roman" w:hAnsi="Times New Roman" w:cs="Times New Roman"/>
          <w:color w:val="000000"/>
          <w:sz w:val="20"/>
          <w:szCs w:val="20"/>
        </w:rPr>
        <w:t>6</w:t>
      </w:r>
      <w:r w:rsidR="00D14CE8">
        <w:rPr>
          <w:rFonts w:ascii="Times New Roman" w:hAnsi="Times New Roman" w:cs="Times New Roman"/>
          <w:color w:val="000000"/>
          <w:sz w:val="20"/>
          <w:szCs w:val="20"/>
        </w:rPr>
        <w:t>.</w:t>
      </w:r>
      <w:r w:rsidR="00EC4091">
        <w:rPr>
          <w:rFonts w:ascii="Times New Roman" w:hAnsi="Times New Roman" w:cs="Times New Roman"/>
          <w:color w:val="000000"/>
          <w:sz w:val="20"/>
          <w:szCs w:val="20"/>
        </w:rPr>
        <w:t xml:space="preserve"> </w:t>
      </w:r>
      <w:hyperlink r:id="rId11" w:history="1">
        <w:r w:rsidR="00EC4091" w:rsidRPr="00EC4091">
          <w:rPr>
            <w:rFonts w:ascii="Times New Roman" w:hAnsi="Times New Roman" w:cs="Times New Roman"/>
            <w:color w:val="000000"/>
            <w:sz w:val="20"/>
            <w:szCs w:val="20"/>
          </w:rPr>
          <w:t>http://www.whitehouse.gov/sites/default/files/omb/inforeg/social_cost_of_carbon_for_ria_2013_update.pdf</w:t>
        </w:r>
      </w:hyperlink>
      <w:r w:rsidR="00AB19C3">
        <w:rPr>
          <w:rFonts w:ascii="Times New Roman" w:hAnsi="Times New Roman" w:cs="Times New Roman"/>
          <w:color w:val="000000"/>
          <w:sz w:val="20"/>
          <w:szCs w:val="20"/>
        </w:rPr>
        <w:t>.</w:t>
      </w:r>
      <w:r w:rsidR="00EC4091" w:rsidRPr="00EC4091">
        <w:rPr>
          <w:rFonts w:ascii="Times New Roman" w:hAnsi="Times New Roman" w:cs="Times New Roman"/>
          <w:color w:val="000000"/>
          <w:sz w:val="20"/>
          <w:szCs w:val="20"/>
        </w:rPr>
        <w:t xml:space="preserve"> Accessed 5 August 2013</w:t>
      </w:r>
    </w:p>
    <w:sectPr w:rsidR="00211BFD" w:rsidRPr="00EC4091" w:rsidSect="008C0EC3">
      <w:footerReference w:type="default" r:id="rId12"/>
      <w:pgSz w:w="12240" w:h="15840"/>
      <w:pgMar w:top="1411" w:right="1411" w:bottom="1138" w:left="254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CD2" w:rsidRDefault="00971CD2">
      <w:pPr>
        <w:spacing w:after="0"/>
      </w:pPr>
      <w:r>
        <w:separator/>
      </w:r>
    </w:p>
  </w:endnote>
  <w:endnote w:type="continuationSeparator" w:id="0">
    <w:p w:rsidR="00971CD2" w:rsidRDefault="00971C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45576634"/>
      <w:docPartObj>
        <w:docPartGallery w:val="Page Numbers (Bottom of Page)"/>
        <w:docPartUnique/>
      </w:docPartObj>
    </w:sdtPr>
    <w:sdtEndPr>
      <w:rPr>
        <w:noProof/>
      </w:rPr>
    </w:sdtEndPr>
    <w:sdtContent>
      <w:p w:rsidR="00971CD2" w:rsidRPr="00154D6F" w:rsidRDefault="00971CD2">
        <w:pPr>
          <w:pStyle w:val="Footer"/>
          <w:jc w:val="right"/>
          <w:rPr>
            <w:rFonts w:ascii="Times New Roman" w:hAnsi="Times New Roman" w:cs="Times New Roman"/>
            <w:sz w:val="24"/>
            <w:szCs w:val="24"/>
          </w:rPr>
        </w:pPr>
        <w:r w:rsidRPr="00154D6F">
          <w:rPr>
            <w:rFonts w:ascii="Times New Roman" w:hAnsi="Times New Roman" w:cs="Times New Roman"/>
            <w:sz w:val="24"/>
            <w:szCs w:val="24"/>
          </w:rPr>
          <w:fldChar w:fldCharType="begin"/>
        </w:r>
        <w:r w:rsidRPr="00154D6F">
          <w:rPr>
            <w:rFonts w:ascii="Times New Roman" w:hAnsi="Times New Roman" w:cs="Times New Roman"/>
            <w:sz w:val="24"/>
            <w:szCs w:val="24"/>
          </w:rPr>
          <w:instrText xml:space="preserve"> PAGE   \* MERGEFORMAT </w:instrText>
        </w:r>
        <w:r w:rsidRPr="00154D6F">
          <w:rPr>
            <w:rFonts w:ascii="Times New Roman" w:hAnsi="Times New Roman" w:cs="Times New Roman"/>
            <w:sz w:val="24"/>
            <w:szCs w:val="24"/>
          </w:rPr>
          <w:fldChar w:fldCharType="separate"/>
        </w:r>
        <w:r w:rsidR="00A62631">
          <w:rPr>
            <w:rFonts w:ascii="Times New Roman" w:hAnsi="Times New Roman" w:cs="Times New Roman"/>
            <w:noProof/>
            <w:sz w:val="24"/>
            <w:szCs w:val="24"/>
          </w:rPr>
          <w:t>1</w:t>
        </w:r>
        <w:r w:rsidRPr="00154D6F">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CD2" w:rsidRDefault="00971CD2">
      <w:pPr>
        <w:spacing w:after="60"/>
      </w:pPr>
      <w:r>
        <w:separator/>
      </w:r>
    </w:p>
  </w:footnote>
  <w:footnote w:type="continuationSeparator" w:id="0">
    <w:p w:rsidR="00971CD2" w:rsidRDefault="00971CD2">
      <w:pPr>
        <w:spacing w:after="0"/>
      </w:pPr>
      <w:r>
        <w:continuationSeparator/>
      </w:r>
    </w:p>
  </w:footnote>
  <w:footnote w:id="1">
    <w:p w:rsidR="00971CD2" w:rsidRPr="00803A6F" w:rsidRDefault="00971CD2" w:rsidP="00A804F8">
      <w:pPr>
        <w:pStyle w:val="FootnoteText"/>
        <w:numPr>
          <w:ilvl w:val="0"/>
          <w:numId w:val="0"/>
        </w:numPr>
        <w:spacing w:line="240" w:lineRule="auto"/>
        <w:rPr>
          <w:rFonts w:ascii="Times New Roman" w:hAnsi="Times New Roman" w:cs="Times New Roman"/>
        </w:rPr>
      </w:pPr>
      <w:r w:rsidRPr="00803A6F">
        <w:rPr>
          <w:rStyle w:val="FootnoteReference"/>
          <w:rFonts w:cs="Times New Roman"/>
        </w:rPr>
        <w:footnoteRef/>
      </w:r>
      <w:r>
        <w:rPr>
          <w:rFonts w:ascii="Times New Roman" w:hAnsi="Times New Roman" w:cs="Times New Roman"/>
        </w:rPr>
        <w:t>.</w:t>
      </w:r>
      <w:r w:rsidRPr="00803A6F">
        <w:rPr>
          <w:rFonts w:ascii="Times New Roman" w:hAnsi="Times New Roman" w:cs="Times New Roman"/>
        </w:rPr>
        <w:t xml:space="preserve"> The U.S. government has also used SCC to estimate </w:t>
      </w:r>
      <w:r>
        <w:rPr>
          <w:rFonts w:ascii="Times New Roman" w:hAnsi="Times New Roman" w:cs="Times New Roman"/>
        </w:rPr>
        <w:t>damages,</w:t>
      </w:r>
      <w:r w:rsidRPr="00803A6F">
        <w:rPr>
          <w:rFonts w:ascii="Times New Roman" w:hAnsi="Times New Roman" w:cs="Times New Roman"/>
        </w:rPr>
        <w:t xml:space="preserve"> i.e., costs associated with marginal increases in CO</w:t>
      </w:r>
      <w:r w:rsidRPr="00803A6F">
        <w:rPr>
          <w:rFonts w:ascii="Times New Roman" w:hAnsi="Times New Roman" w:cs="Times New Roman"/>
          <w:vertAlign w:val="subscript"/>
        </w:rPr>
        <w:t>2</w:t>
      </w:r>
      <w:r w:rsidRPr="00803A6F">
        <w:rPr>
          <w:rFonts w:ascii="Times New Roman" w:hAnsi="Times New Roman" w:cs="Times New Roman"/>
        </w:rPr>
        <w:t xml:space="preserve"> emissions.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B180A"/>
    <w:multiLevelType w:val="multilevel"/>
    <w:tmpl w:val="49E678F8"/>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1080"/>
        </w:tabs>
        <w:ind w:left="720" w:hanging="720"/>
      </w:pPr>
    </w:lvl>
    <w:lvl w:ilvl="3">
      <w:start w:val="1"/>
      <w:numFmt w:val="none"/>
      <w:pStyle w:val="Heading4"/>
      <w:suff w:val="nothing"/>
      <w:lvlText w:val=""/>
      <w:lvlJc w:val="left"/>
      <w:pPr>
        <w:ind w:left="0" w:firstLine="0"/>
      </w:pPr>
    </w:lvl>
    <w:lvl w:ilvl="4">
      <w:start w:val="1"/>
      <w:numFmt w:val="none"/>
      <w:suff w:val="nothing"/>
      <w:lvlText w:val=""/>
      <w:lvlJc w:val="left"/>
      <w:pPr>
        <w:ind w:left="720" w:hanging="720"/>
      </w:pPr>
    </w:lvl>
    <w:lvl w:ilvl="5">
      <w:start w:val="1"/>
      <w:numFmt w:val="none"/>
      <w:suff w:val="nothing"/>
      <w:lvlText w:val=""/>
      <w:lvlJc w:val="left"/>
      <w:pPr>
        <w:ind w:left="720" w:hanging="720"/>
      </w:pPr>
    </w:lvl>
    <w:lvl w:ilvl="6">
      <w:start w:val="1"/>
      <w:numFmt w:val="none"/>
      <w:suff w:val="nothing"/>
      <w:lvlText w:val=""/>
      <w:lvlJc w:val="left"/>
      <w:pPr>
        <w:ind w:left="720" w:hanging="720"/>
      </w:pPr>
    </w:lvl>
    <w:lvl w:ilvl="7">
      <w:start w:val="1"/>
      <w:numFmt w:val="none"/>
      <w:suff w:val="nothing"/>
      <w:lvlText w:val=""/>
      <w:lvlJc w:val="left"/>
      <w:pPr>
        <w:ind w:left="720" w:hanging="720"/>
      </w:pPr>
    </w:lvl>
    <w:lvl w:ilvl="8">
      <w:start w:val="1"/>
      <w:numFmt w:val="none"/>
      <w:suff w:val="nothing"/>
      <w:lvlText w:val=""/>
      <w:lvlJc w:val="left"/>
      <w:pPr>
        <w:ind w:left="720" w:hanging="720"/>
      </w:pPr>
    </w:lvl>
  </w:abstractNum>
  <w:abstractNum w:abstractNumId="1">
    <w:nsid w:val="212B2634"/>
    <w:multiLevelType w:val="singleLevel"/>
    <w:tmpl w:val="07745166"/>
    <w:lvl w:ilvl="0">
      <w:start w:val="1"/>
      <w:numFmt w:val="decimal"/>
      <w:pStyle w:val="FootnoteText"/>
      <w:lvlText w:val="%1."/>
      <w:lvlJc w:val="left"/>
      <w:pPr>
        <w:tabs>
          <w:tab w:val="num" w:pos="360"/>
        </w:tabs>
        <w:ind w:left="360" w:hanging="360"/>
      </w:pPr>
    </w:lvl>
  </w:abstractNum>
  <w:abstractNum w:abstractNumId="2">
    <w:nsid w:val="2DE2690F"/>
    <w:multiLevelType w:val="multilevel"/>
    <w:tmpl w:val="C694A5C8"/>
    <w:lvl w:ilvl="0">
      <w:start w:val="1"/>
      <w:numFmt w:val="none"/>
      <w:lvlRestart w:val="0"/>
      <w:lvlText w:val="}"/>
      <w:lvlJc w:val="left"/>
      <w:pPr>
        <w:ind w:left="720" w:hanging="720"/>
      </w:pPr>
      <w:rPr>
        <w:rFonts w:ascii="Wingdings 3" w:hAnsi="Wingdings 3" w:hint="default"/>
      </w:rPr>
    </w:lvl>
    <w:lvl w:ilvl="1">
      <w:start w:val="1"/>
      <w:numFmt w:val="none"/>
      <w:lvlText w:val=""/>
      <w:lvlJc w:val="left"/>
      <w:pPr>
        <w:ind w:left="1440" w:hanging="720"/>
      </w:pPr>
      <w:rPr>
        <w:rFonts w:ascii="Wingdings" w:hAnsi="Wingdings" w:hint="default"/>
      </w:rPr>
    </w:lvl>
    <w:lvl w:ilvl="2">
      <w:start w:val="1"/>
      <w:numFmt w:val="none"/>
      <w:lvlText w:val="—"/>
      <w:lvlJc w:val="left"/>
      <w:pPr>
        <w:ind w:left="2160" w:hanging="7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C415485"/>
    <w:multiLevelType w:val="singleLevel"/>
    <w:tmpl w:val="865285A4"/>
    <w:lvl w:ilvl="0">
      <w:start w:val="1"/>
      <w:numFmt w:val="decimal"/>
      <w:lvlText w:val="%1."/>
      <w:lvlJc w:val="left"/>
      <w:pPr>
        <w:tabs>
          <w:tab w:val="num" w:pos="720"/>
        </w:tabs>
        <w:ind w:left="720" w:hanging="720"/>
      </w:pPr>
    </w:lvl>
  </w:abstractNum>
  <w:abstractNum w:abstractNumId="4">
    <w:nsid w:val="580215BB"/>
    <w:multiLevelType w:val="multilevel"/>
    <w:tmpl w:val="67FA7728"/>
    <w:lvl w:ilvl="0">
      <w:start w:val="1"/>
      <w:numFmt w:val="decimal"/>
      <w:suff w:val="space"/>
      <w:lvlText w:val="%1."/>
      <w:lvlJc w:val="left"/>
      <w:pPr>
        <w:ind w:left="720" w:hanging="720"/>
      </w:pPr>
    </w:lvl>
    <w:lvl w:ilvl="1">
      <w:start w:val="1"/>
      <w:numFmt w:val="decimal"/>
      <w:suff w:val="nothing"/>
      <w:lvlText w:val="%2.%1"/>
      <w:lvlJc w:val="left"/>
      <w:pPr>
        <w:ind w:left="720" w:hanging="720"/>
      </w:pPr>
    </w:lvl>
    <w:lvl w:ilvl="2">
      <w:start w:val="1"/>
      <w:numFmt w:val="decimal"/>
      <w:suff w:val="nothing"/>
      <w:lvlText w:val="%1.%2.%3"/>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5BE060C2"/>
    <w:multiLevelType w:val="singleLevel"/>
    <w:tmpl w:val="865285A4"/>
    <w:lvl w:ilvl="0">
      <w:start w:val="1"/>
      <w:numFmt w:val="decimal"/>
      <w:lvlText w:val="%1."/>
      <w:lvlJc w:val="left"/>
      <w:pPr>
        <w:tabs>
          <w:tab w:val="num" w:pos="720"/>
        </w:tabs>
        <w:ind w:left="720" w:hanging="72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4"/>
  </w:num>
  <w:num w:numId="13">
    <w:abstractNumId w:val="5"/>
  </w:num>
  <w:num w:numId="14">
    <w:abstractNumId w:val="3"/>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215"/>
    <w:rsid w:val="00011FE1"/>
    <w:rsid w:val="000468E1"/>
    <w:rsid w:val="000A1AC2"/>
    <w:rsid w:val="000C585D"/>
    <w:rsid w:val="000D23F7"/>
    <w:rsid w:val="000D48E4"/>
    <w:rsid w:val="00146D6D"/>
    <w:rsid w:val="00154D6F"/>
    <w:rsid w:val="001654DA"/>
    <w:rsid w:val="001E3644"/>
    <w:rsid w:val="0020497F"/>
    <w:rsid w:val="00211BFD"/>
    <w:rsid w:val="00211EA7"/>
    <w:rsid w:val="00245F2D"/>
    <w:rsid w:val="002602FF"/>
    <w:rsid w:val="002678C9"/>
    <w:rsid w:val="00282CD4"/>
    <w:rsid w:val="002C4518"/>
    <w:rsid w:val="002D2215"/>
    <w:rsid w:val="002D3C7E"/>
    <w:rsid w:val="002D6E05"/>
    <w:rsid w:val="002D7D0F"/>
    <w:rsid w:val="002F4542"/>
    <w:rsid w:val="00317E90"/>
    <w:rsid w:val="00320244"/>
    <w:rsid w:val="00357791"/>
    <w:rsid w:val="003645D6"/>
    <w:rsid w:val="00371212"/>
    <w:rsid w:val="003C2B3C"/>
    <w:rsid w:val="003D55C3"/>
    <w:rsid w:val="003F142B"/>
    <w:rsid w:val="00420FD3"/>
    <w:rsid w:val="00485B88"/>
    <w:rsid w:val="004A536E"/>
    <w:rsid w:val="004C6985"/>
    <w:rsid w:val="00534B71"/>
    <w:rsid w:val="005731AF"/>
    <w:rsid w:val="005A15D2"/>
    <w:rsid w:val="005B23E9"/>
    <w:rsid w:val="005C52F6"/>
    <w:rsid w:val="005E0516"/>
    <w:rsid w:val="005E0D52"/>
    <w:rsid w:val="005E5FEF"/>
    <w:rsid w:val="006128B7"/>
    <w:rsid w:val="006141FB"/>
    <w:rsid w:val="0061714A"/>
    <w:rsid w:val="00624BB4"/>
    <w:rsid w:val="00634321"/>
    <w:rsid w:val="006856A8"/>
    <w:rsid w:val="006E6215"/>
    <w:rsid w:val="00712952"/>
    <w:rsid w:val="00713C28"/>
    <w:rsid w:val="0072297E"/>
    <w:rsid w:val="007B765C"/>
    <w:rsid w:val="007D35EC"/>
    <w:rsid w:val="007E4D8E"/>
    <w:rsid w:val="00803A6F"/>
    <w:rsid w:val="00821CD8"/>
    <w:rsid w:val="00833190"/>
    <w:rsid w:val="00854CA1"/>
    <w:rsid w:val="008A4065"/>
    <w:rsid w:val="008A6A4C"/>
    <w:rsid w:val="008B152C"/>
    <w:rsid w:val="008C0EC3"/>
    <w:rsid w:val="009042F6"/>
    <w:rsid w:val="0094193D"/>
    <w:rsid w:val="00956755"/>
    <w:rsid w:val="00965D54"/>
    <w:rsid w:val="00971CD2"/>
    <w:rsid w:val="009F7335"/>
    <w:rsid w:val="00A2499C"/>
    <w:rsid w:val="00A46352"/>
    <w:rsid w:val="00A52B5F"/>
    <w:rsid w:val="00A62631"/>
    <w:rsid w:val="00A715C0"/>
    <w:rsid w:val="00A804F8"/>
    <w:rsid w:val="00A909C5"/>
    <w:rsid w:val="00AB19C3"/>
    <w:rsid w:val="00AE2034"/>
    <w:rsid w:val="00AF3EB4"/>
    <w:rsid w:val="00B33F0A"/>
    <w:rsid w:val="00B95CAE"/>
    <w:rsid w:val="00BB77D6"/>
    <w:rsid w:val="00C012AC"/>
    <w:rsid w:val="00C570C9"/>
    <w:rsid w:val="00CA6149"/>
    <w:rsid w:val="00CB5F20"/>
    <w:rsid w:val="00CB6E57"/>
    <w:rsid w:val="00D14CE8"/>
    <w:rsid w:val="00D20702"/>
    <w:rsid w:val="00D21823"/>
    <w:rsid w:val="00D86C21"/>
    <w:rsid w:val="00D94270"/>
    <w:rsid w:val="00DC2692"/>
    <w:rsid w:val="00DC5754"/>
    <w:rsid w:val="00DF7A15"/>
    <w:rsid w:val="00E45459"/>
    <w:rsid w:val="00E74C9A"/>
    <w:rsid w:val="00E9600B"/>
    <w:rsid w:val="00EA1E83"/>
    <w:rsid w:val="00EC2AEA"/>
    <w:rsid w:val="00EC4091"/>
    <w:rsid w:val="00F0687D"/>
    <w:rsid w:val="00F07E3A"/>
    <w:rsid w:val="00F51B6D"/>
    <w:rsid w:val="00F66C4F"/>
    <w:rsid w:val="00F73C69"/>
    <w:rsid w:val="00F9308B"/>
    <w:rsid w:val="00FD6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215"/>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qFormat/>
    <w:rsid w:val="007B765C"/>
    <w:pPr>
      <w:keepNext/>
      <w:numPr>
        <w:numId w:val="11"/>
      </w:numPr>
      <w:tabs>
        <w:tab w:val="clear" w:pos="720"/>
      </w:tabs>
      <w:spacing w:before="480"/>
      <w:outlineLvl w:val="0"/>
    </w:pPr>
    <w:rPr>
      <w:b/>
      <w:kern w:val="28"/>
      <w:sz w:val="40"/>
    </w:rPr>
  </w:style>
  <w:style w:type="paragraph" w:styleId="Heading2">
    <w:name w:val="heading 2"/>
    <w:basedOn w:val="Normal"/>
    <w:next w:val="Normal"/>
    <w:qFormat/>
    <w:rsid w:val="007B765C"/>
    <w:pPr>
      <w:keepNext/>
      <w:numPr>
        <w:ilvl w:val="1"/>
        <w:numId w:val="11"/>
      </w:numPr>
      <w:tabs>
        <w:tab w:val="clear" w:pos="720"/>
      </w:tabs>
      <w:spacing w:before="480"/>
      <w:outlineLvl w:val="1"/>
    </w:pPr>
    <w:rPr>
      <w:b/>
      <w:sz w:val="32"/>
    </w:rPr>
  </w:style>
  <w:style w:type="paragraph" w:styleId="Heading3">
    <w:name w:val="heading 3"/>
    <w:basedOn w:val="Normal"/>
    <w:next w:val="Normal"/>
    <w:link w:val="Heading3Char"/>
    <w:qFormat/>
    <w:rsid w:val="007B765C"/>
    <w:pPr>
      <w:keepNext/>
      <w:numPr>
        <w:ilvl w:val="2"/>
        <w:numId w:val="11"/>
      </w:numPr>
      <w:tabs>
        <w:tab w:val="clear" w:pos="1080"/>
      </w:tabs>
      <w:spacing w:before="480"/>
      <w:outlineLvl w:val="2"/>
    </w:pPr>
    <w:rPr>
      <w:b/>
    </w:rPr>
  </w:style>
  <w:style w:type="paragraph" w:styleId="Heading4">
    <w:name w:val="heading 4"/>
    <w:basedOn w:val="Heading1"/>
    <w:next w:val="Normal"/>
    <w:qFormat/>
    <w:pPr>
      <w:numPr>
        <w:ilvl w:val="3"/>
      </w:numPr>
      <w:ind w:left="720"/>
      <w:outlineLvl w:val="3"/>
    </w:pPr>
    <w:rPr>
      <w:sz w:val="24"/>
    </w:rPr>
  </w:style>
  <w:style w:type="paragraph" w:styleId="Heading5">
    <w:name w:val="heading 5"/>
    <w:basedOn w:val="Heading4"/>
    <w:next w:val="Normal"/>
    <w:uiPriority w:val="9"/>
    <w:qFormat/>
    <w:pPr>
      <w:numPr>
        <w:ilvl w:val="0"/>
        <w:numId w:val="0"/>
      </w:numPr>
      <w:ind w:left="720"/>
      <w:outlineLvl w:val="4"/>
    </w:pPr>
    <w:rPr>
      <w:i/>
    </w:rPr>
  </w:style>
  <w:style w:type="paragraph" w:styleId="Heading6">
    <w:name w:val="heading 6"/>
    <w:basedOn w:val="Heading5"/>
    <w:next w:val="Normal"/>
    <w:uiPriority w:val="9"/>
    <w:qFormat/>
    <w:pPr>
      <w:outlineLvl w:val="5"/>
    </w:pPr>
    <w:rPr>
      <w:b w:val="0"/>
    </w:rPr>
  </w:style>
  <w:style w:type="paragraph" w:styleId="Heading7">
    <w:name w:val="heading 7"/>
    <w:basedOn w:val="Normal"/>
    <w:next w:val="Normal"/>
    <w:link w:val="Heading7Char"/>
    <w:uiPriority w:val="9"/>
    <w:unhideWhenUsed/>
    <w:qFormat/>
    <w:rsid w:val="002D2215"/>
    <w:pPr>
      <w:keepNext/>
      <w:keepLines/>
      <w:spacing w:before="200" w:after="0" w:line="240" w:lineRule="auto"/>
      <w:ind w:left="1296" w:hanging="288"/>
      <w:outlineLvl w:val="6"/>
    </w:pPr>
    <w:rPr>
      <w:rFonts w:asciiTheme="majorHAnsi" w:eastAsiaTheme="majorEastAsia" w:hAnsiTheme="majorHAnsi" w:cstheme="majorBidi"/>
      <w:i/>
      <w:iCs/>
      <w:color w:val="404040" w:themeColor="text1" w:themeTint="BF"/>
      <w:sz w:val="24"/>
      <w:szCs w:val="20"/>
    </w:rPr>
  </w:style>
  <w:style w:type="paragraph" w:styleId="Heading8">
    <w:name w:val="heading 8"/>
    <w:basedOn w:val="Normal"/>
    <w:next w:val="Normal"/>
    <w:link w:val="Heading8Char"/>
    <w:uiPriority w:val="9"/>
    <w:unhideWhenUsed/>
    <w:qFormat/>
    <w:rsid w:val="002D2215"/>
    <w:pPr>
      <w:keepNext/>
      <w:keepLines/>
      <w:spacing w:before="200" w:after="0" w:line="240" w:lineRule="auto"/>
      <w:ind w:left="1440" w:hanging="432"/>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D2215"/>
    <w:pPr>
      <w:keepNext/>
      <w:keepLines/>
      <w:spacing w:before="200" w:after="0" w:line="240" w:lineRule="auto"/>
      <w:ind w:left="1584" w:hanging="14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before="240" w:after="60"/>
      <w:outlineLvl w:val="0"/>
    </w:pPr>
    <w:rPr>
      <w:b/>
      <w:kern w:val="28"/>
      <w:sz w:val="48"/>
    </w:rPr>
  </w:style>
  <w:style w:type="paragraph" w:styleId="FootnoteText">
    <w:name w:val="footnote text"/>
    <w:basedOn w:val="Normal"/>
    <w:link w:val="FootnoteTextChar"/>
    <w:rsid w:val="00BB77D6"/>
    <w:pPr>
      <w:numPr>
        <w:numId w:val="15"/>
      </w:numPr>
      <w:spacing w:after="120"/>
    </w:pPr>
    <w:rPr>
      <w:sz w:val="21"/>
    </w:rPr>
  </w:style>
  <w:style w:type="paragraph" w:styleId="Caption">
    <w:name w:val="caption"/>
    <w:basedOn w:val="Normal"/>
    <w:next w:val="Normal"/>
    <w:qFormat/>
    <w:pPr>
      <w:keepNext/>
      <w:spacing w:before="120" w:after="120"/>
    </w:pPr>
    <w:rPr>
      <w:b/>
    </w:rPr>
  </w:style>
  <w:style w:type="character" w:styleId="FootnoteReference">
    <w:name w:val="footnote reference"/>
    <w:basedOn w:val="DefaultParagraphFont"/>
    <w:semiHidden/>
    <w:rsid w:val="00BB77D6"/>
    <w:rPr>
      <w:rFonts w:ascii="Times New Roman" w:hAnsi="Times New Roman"/>
      <w:caps w:val="0"/>
      <w:smallCaps/>
      <w:sz w:val="21"/>
      <w:vertAlign w:val="baseline"/>
    </w:rPr>
  </w:style>
  <w:style w:type="paragraph" w:customStyle="1" w:styleId="TableTitle">
    <w:name w:val="Table Title"/>
    <w:basedOn w:val="Normal"/>
    <w:pPr>
      <w:spacing w:after="0"/>
    </w:pPr>
    <w:rPr>
      <w:b/>
    </w:rPr>
  </w:style>
  <w:style w:type="paragraph" w:styleId="ListParagraph">
    <w:name w:val="List Paragraph"/>
    <w:basedOn w:val="Normal"/>
    <w:uiPriority w:val="34"/>
    <w:qFormat/>
    <w:rsid w:val="00CA6149"/>
    <w:pPr>
      <w:ind w:left="720"/>
    </w:pPr>
  </w:style>
  <w:style w:type="paragraph" w:customStyle="1" w:styleId="FigureTitle">
    <w:name w:val="Figure Title"/>
    <w:basedOn w:val="Normal"/>
    <w:rsid w:val="00A46352"/>
    <w:pPr>
      <w:spacing w:after="120"/>
    </w:pPr>
    <w:rPr>
      <w:b/>
    </w:rPr>
  </w:style>
  <w:style w:type="paragraph" w:customStyle="1" w:styleId="FigureSource">
    <w:name w:val="Figure Source"/>
    <w:basedOn w:val="FigureTitle"/>
    <w:rsid w:val="00A46352"/>
    <w:rPr>
      <w:b w:val="0"/>
      <w:sz w:val="21"/>
    </w:rPr>
  </w:style>
  <w:style w:type="character" w:customStyle="1" w:styleId="Heading7Char">
    <w:name w:val="Heading 7 Char"/>
    <w:basedOn w:val="DefaultParagraphFont"/>
    <w:link w:val="Heading7"/>
    <w:uiPriority w:val="9"/>
    <w:rsid w:val="002D2215"/>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rsid w:val="002D221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2D2215"/>
    <w:rPr>
      <w:rFonts w:asciiTheme="majorHAnsi" w:eastAsiaTheme="majorEastAsia" w:hAnsiTheme="majorHAnsi" w:cstheme="majorBidi"/>
      <w:i/>
      <w:iCs/>
      <w:color w:val="404040" w:themeColor="text1" w:themeTint="BF"/>
    </w:rPr>
  </w:style>
  <w:style w:type="paragraph" w:styleId="Header">
    <w:name w:val="header"/>
    <w:basedOn w:val="Normal"/>
    <w:link w:val="HeaderChar"/>
    <w:uiPriority w:val="99"/>
    <w:unhideWhenUsed/>
    <w:rsid w:val="002D2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215"/>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rsid w:val="002D2215"/>
    <w:rPr>
      <w:sz w:val="21"/>
    </w:rPr>
  </w:style>
  <w:style w:type="character" w:customStyle="1" w:styleId="Heading3Char">
    <w:name w:val="Heading 3 Char"/>
    <w:basedOn w:val="DefaultParagraphFont"/>
    <w:link w:val="Heading3"/>
    <w:rsid w:val="002D2215"/>
    <w:rPr>
      <w:b/>
      <w:sz w:val="24"/>
    </w:rPr>
  </w:style>
  <w:style w:type="paragraph" w:styleId="BalloonText">
    <w:name w:val="Balloon Text"/>
    <w:basedOn w:val="Normal"/>
    <w:link w:val="BalloonTextChar"/>
    <w:uiPriority w:val="99"/>
    <w:semiHidden/>
    <w:unhideWhenUsed/>
    <w:rsid w:val="00803A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A6F"/>
    <w:rPr>
      <w:rFonts w:ascii="Tahoma" w:eastAsiaTheme="minorHAnsi" w:hAnsi="Tahoma" w:cs="Tahoma"/>
      <w:sz w:val="16"/>
      <w:szCs w:val="16"/>
    </w:rPr>
  </w:style>
  <w:style w:type="paragraph" w:styleId="Footer">
    <w:name w:val="footer"/>
    <w:basedOn w:val="Normal"/>
    <w:link w:val="FooterChar"/>
    <w:uiPriority w:val="99"/>
    <w:unhideWhenUsed/>
    <w:rsid w:val="00154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D6F"/>
    <w:rPr>
      <w:rFonts w:asciiTheme="minorHAnsi" w:eastAsiaTheme="minorHAnsi" w:hAnsiTheme="minorHAnsi" w:cstheme="minorBidi"/>
      <w:sz w:val="22"/>
      <w:szCs w:val="22"/>
    </w:rPr>
  </w:style>
  <w:style w:type="character" w:styleId="Hyperlink">
    <w:name w:val="Hyperlink"/>
    <w:uiPriority w:val="99"/>
    <w:rsid w:val="00154D6F"/>
    <w:rPr>
      <w:color w:val="0000FF"/>
      <w:u w:val="single"/>
    </w:rPr>
  </w:style>
  <w:style w:type="paragraph" w:customStyle="1" w:styleId="email">
    <w:name w:val="email"/>
    <w:basedOn w:val="Normal"/>
    <w:next w:val="Normal"/>
    <w:rsid w:val="00154D6F"/>
    <w:pPr>
      <w:spacing w:before="120" w:after="240" w:line="240" w:lineRule="auto"/>
    </w:pPr>
    <w:rPr>
      <w:rFonts w:ascii="Times New Roman" w:eastAsia="Times New Roman" w:hAnsi="Times New Roman" w:cs="Times New Roman"/>
      <w:sz w:val="20"/>
      <w:szCs w:val="20"/>
    </w:rPr>
  </w:style>
  <w:style w:type="paragraph" w:customStyle="1" w:styleId="phone">
    <w:name w:val="phone"/>
    <w:basedOn w:val="email"/>
    <w:next w:val="fax"/>
    <w:rsid w:val="00154D6F"/>
  </w:style>
  <w:style w:type="paragraph" w:customStyle="1" w:styleId="fax">
    <w:name w:val="fax"/>
    <w:basedOn w:val="email"/>
    <w:next w:val="email"/>
    <w:rsid w:val="00154D6F"/>
  </w:style>
  <w:style w:type="character" w:styleId="CommentReference">
    <w:name w:val="annotation reference"/>
    <w:basedOn w:val="DefaultParagraphFont"/>
    <w:uiPriority w:val="99"/>
    <w:semiHidden/>
    <w:unhideWhenUsed/>
    <w:rsid w:val="00A2499C"/>
    <w:rPr>
      <w:sz w:val="16"/>
      <w:szCs w:val="16"/>
    </w:rPr>
  </w:style>
  <w:style w:type="paragraph" w:styleId="CommentText">
    <w:name w:val="annotation text"/>
    <w:basedOn w:val="Normal"/>
    <w:link w:val="CommentTextChar"/>
    <w:uiPriority w:val="99"/>
    <w:semiHidden/>
    <w:unhideWhenUsed/>
    <w:rsid w:val="00A2499C"/>
    <w:pPr>
      <w:spacing w:line="240" w:lineRule="auto"/>
    </w:pPr>
    <w:rPr>
      <w:sz w:val="20"/>
      <w:szCs w:val="20"/>
    </w:rPr>
  </w:style>
  <w:style w:type="character" w:customStyle="1" w:styleId="CommentTextChar">
    <w:name w:val="Comment Text Char"/>
    <w:basedOn w:val="DefaultParagraphFont"/>
    <w:link w:val="CommentText"/>
    <w:uiPriority w:val="99"/>
    <w:semiHidden/>
    <w:rsid w:val="00A2499C"/>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A2499C"/>
    <w:rPr>
      <w:b/>
      <w:bCs/>
    </w:rPr>
  </w:style>
  <w:style w:type="character" w:customStyle="1" w:styleId="CommentSubjectChar">
    <w:name w:val="Comment Subject Char"/>
    <w:basedOn w:val="CommentTextChar"/>
    <w:link w:val="CommentSubject"/>
    <w:uiPriority w:val="99"/>
    <w:semiHidden/>
    <w:rsid w:val="00A2499C"/>
    <w:rPr>
      <w:rFonts w:asciiTheme="minorHAnsi" w:eastAsiaTheme="minorHAnsi" w:hAnsiTheme="minorHAnsi" w:cstheme="minorBidi"/>
      <w:b/>
      <w:bCs/>
    </w:rPr>
  </w:style>
  <w:style w:type="table" w:styleId="TableGrid">
    <w:name w:val="Table Grid"/>
    <w:basedOn w:val="TableNormal"/>
    <w:uiPriority w:val="59"/>
    <w:rsid w:val="003645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C0EC3"/>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215"/>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qFormat/>
    <w:rsid w:val="007B765C"/>
    <w:pPr>
      <w:keepNext/>
      <w:numPr>
        <w:numId w:val="11"/>
      </w:numPr>
      <w:tabs>
        <w:tab w:val="clear" w:pos="720"/>
      </w:tabs>
      <w:spacing w:before="480"/>
      <w:outlineLvl w:val="0"/>
    </w:pPr>
    <w:rPr>
      <w:b/>
      <w:kern w:val="28"/>
      <w:sz w:val="40"/>
    </w:rPr>
  </w:style>
  <w:style w:type="paragraph" w:styleId="Heading2">
    <w:name w:val="heading 2"/>
    <w:basedOn w:val="Normal"/>
    <w:next w:val="Normal"/>
    <w:qFormat/>
    <w:rsid w:val="007B765C"/>
    <w:pPr>
      <w:keepNext/>
      <w:numPr>
        <w:ilvl w:val="1"/>
        <w:numId w:val="11"/>
      </w:numPr>
      <w:tabs>
        <w:tab w:val="clear" w:pos="720"/>
      </w:tabs>
      <w:spacing w:before="480"/>
      <w:outlineLvl w:val="1"/>
    </w:pPr>
    <w:rPr>
      <w:b/>
      <w:sz w:val="32"/>
    </w:rPr>
  </w:style>
  <w:style w:type="paragraph" w:styleId="Heading3">
    <w:name w:val="heading 3"/>
    <w:basedOn w:val="Normal"/>
    <w:next w:val="Normal"/>
    <w:link w:val="Heading3Char"/>
    <w:qFormat/>
    <w:rsid w:val="007B765C"/>
    <w:pPr>
      <w:keepNext/>
      <w:numPr>
        <w:ilvl w:val="2"/>
        <w:numId w:val="11"/>
      </w:numPr>
      <w:tabs>
        <w:tab w:val="clear" w:pos="1080"/>
      </w:tabs>
      <w:spacing w:before="480"/>
      <w:outlineLvl w:val="2"/>
    </w:pPr>
    <w:rPr>
      <w:b/>
    </w:rPr>
  </w:style>
  <w:style w:type="paragraph" w:styleId="Heading4">
    <w:name w:val="heading 4"/>
    <w:basedOn w:val="Heading1"/>
    <w:next w:val="Normal"/>
    <w:qFormat/>
    <w:pPr>
      <w:numPr>
        <w:ilvl w:val="3"/>
      </w:numPr>
      <w:ind w:left="720"/>
      <w:outlineLvl w:val="3"/>
    </w:pPr>
    <w:rPr>
      <w:sz w:val="24"/>
    </w:rPr>
  </w:style>
  <w:style w:type="paragraph" w:styleId="Heading5">
    <w:name w:val="heading 5"/>
    <w:basedOn w:val="Heading4"/>
    <w:next w:val="Normal"/>
    <w:uiPriority w:val="9"/>
    <w:qFormat/>
    <w:pPr>
      <w:numPr>
        <w:ilvl w:val="0"/>
        <w:numId w:val="0"/>
      </w:numPr>
      <w:ind w:left="720"/>
      <w:outlineLvl w:val="4"/>
    </w:pPr>
    <w:rPr>
      <w:i/>
    </w:rPr>
  </w:style>
  <w:style w:type="paragraph" w:styleId="Heading6">
    <w:name w:val="heading 6"/>
    <w:basedOn w:val="Heading5"/>
    <w:next w:val="Normal"/>
    <w:uiPriority w:val="9"/>
    <w:qFormat/>
    <w:pPr>
      <w:outlineLvl w:val="5"/>
    </w:pPr>
    <w:rPr>
      <w:b w:val="0"/>
    </w:rPr>
  </w:style>
  <w:style w:type="paragraph" w:styleId="Heading7">
    <w:name w:val="heading 7"/>
    <w:basedOn w:val="Normal"/>
    <w:next w:val="Normal"/>
    <w:link w:val="Heading7Char"/>
    <w:uiPriority w:val="9"/>
    <w:unhideWhenUsed/>
    <w:qFormat/>
    <w:rsid w:val="002D2215"/>
    <w:pPr>
      <w:keepNext/>
      <w:keepLines/>
      <w:spacing w:before="200" w:after="0" w:line="240" w:lineRule="auto"/>
      <w:ind w:left="1296" w:hanging="288"/>
      <w:outlineLvl w:val="6"/>
    </w:pPr>
    <w:rPr>
      <w:rFonts w:asciiTheme="majorHAnsi" w:eastAsiaTheme="majorEastAsia" w:hAnsiTheme="majorHAnsi" w:cstheme="majorBidi"/>
      <w:i/>
      <w:iCs/>
      <w:color w:val="404040" w:themeColor="text1" w:themeTint="BF"/>
      <w:sz w:val="24"/>
      <w:szCs w:val="20"/>
    </w:rPr>
  </w:style>
  <w:style w:type="paragraph" w:styleId="Heading8">
    <w:name w:val="heading 8"/>
    <w:basedOn w:val="Normal"/>
    <w:next w:val="Normal"/>
    <w:link w:val="Heading8Char"/>
    <w:uiPriority w:val="9"/>
    <w:unhideWhenUsed/>
    <w:qFormat/>
    <w:rsid w:val="002D2215"/>
    <w:pPr>
      <w:keepNext/>
      <w:keepLines/>
      <w:spacing w:before="200" w:after="0" w:line="240" w:lineRule="auto"/>
      <w:ind w:left="1440" w:hanging="432"/>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D2215"/>
    <w:pPr>
      <w:keepNext/>
      <w:keepLines/>
      <w:spacing w:before="200" w:after="0" w:line="240" w:lineRule="auto"/>
      <w:ind w:left="1584" w:hanging="14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before="240" w:after="60"/>
      <w:outlineLvl w:val="0"/>
    </w:pPr>
    <w:rPr>
      <w:b/>
      <w:kern w:val="28"/>
      <w:sz w:val="48"/>
    </w:rPr>
  </w:style>
  <w:style w:type="paragraph" w:styleId="FootnoteText">
    <w:name w:val="footnote text"/>
    <w:basedOn w:val="Normal"/>
    <w:link w:val="FootnoteTextChar"/>
    <w:rsid w:val="00BB77D6"/>
    <w:pPr>
      <w:numPr>
        <w:numId w:val="15"/>
      </w:numPr>
      <w:spacing w:after="120"/>
    </w:pPr>
    <w:rPr>
      <w:sz w:val="21"/>
    </w:rPr>
  </w:style>
  <w:style w:type="paragraph" w:styleId="Caption">
    <w:name w:val="caption"/>
    <w:basedOn w:val="Normal"/>
    <w:next w:val="Normal"/>
    <w:qFormat/>
    <w:pPr>
      <w:keepNext/>
      <w:spacing w:before="120" w:after="120"/>
    </w:pPr>
    <w:rPr>
      <w:b/>
    </w:rPr>
  </w:style>
  <w:style w:type="character" w:styleId="FootnoteReference">
    <w:name w:val="footnote reference"/>
    <w:basedOn w:val="DefaultParagraphFont"/>
    <w:semiHidden/>
    <w:rsid w:val="00BB77D6"/>
    <w:rPr>
      <w:rFonts w:ascii="Times New Roman" w:hAnsi="Times New Roman"/>
      <w:caps w:val="0"/>
      <w:smallCaps/>
      <w:sz w:val="21"/>
      <w:vertAlign w:val="baseline"/>
    </w:rPr>
  </w:style>
  <w:style w:type="paragraph" w:customStyle="1" w:styleId="TableTitle">
    <w:name w:val="Table Title"/>
    <w:basedOn w:val="Normal"/>
    <w:pPr>
      <w:spacing w:after="0"/>
    </w:pPr>
    <w:rPr>
      <w:b/>
    </w:rPr>
  </w:style>
  <w:style w:type="paragraph" w:styleId="ListParagraph">
    <w:name w:val="List Paragraph"/>
    <w:basedOn w:val="Normal"/>
    <w:uiPriority w:val="34"/>
    <w:qFormat/>
    <w:rsid w:val="00CA6149"/>
    <w:pPr>
      <w:ind w:left="720"/>
    </w:pPr>
  </w:style>
  <w:style w:type="paragraph" w:customStyle="1" w:styleId="FigureTitle">
    <w:name w:val="Figure Title"/>
    <w:basedOn w:val="Normal"/>
    <w:rsid w:val="00A46352"/>
    <w:pPr>
      <w:spacing w:after="120"/>
    </w:pPr>
    <w:rPr>
      <w:b/>
    </w:rPr>
  </w:style>
  <w:style w:type="paragraph" w:customStyle="1" w:styleId="FigureSource">
    <w:name w:val="Figure Source"/>
    <w:basedOn w:val="FigureTitle"/>
    <w:rsid w:val="00A46352"/>
    <w:rPr>
      <w:b w:val="0"/>
      <w:sz w:val="21"/>
    </w:rPr>
  </w:style>
  <w:style w:type="character" w:customStyle="1" w:styleId="Heading7Char">
    <w:name w:val="Heading 7 Char"/>
    <w:basedOn w:val="DefaultParagraphFont"/>
    <w:link w:val="Heading7"/>
    <w:uiPriority w:val="9"/>
    <w:rsid w:val="002D2215"/>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rsid w:val="002D221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2D2215"/>
    <w:rPr>
      <w:rFonts w:asciiTheme="majorHAnsi" w:eastAsiaTheme="majorEastAsia" w:hAnsiTheme="majorHAnsi" w:cstheme="majorBidi"/>
      <w:i/>
      <w:iCs/>
      <w:color w:val="404040" w:themeColor="text1" w:themeTint="BF"/>
    </w:rPr>
  </w:style>
  <w:style w:type="paragraph" w:styleId="Header">
    <w:name w:val="header"/>
    <w:basedOn w:val="Normal"/>
    <w:link w:val="HeaderChar"/>
    <w:uiPriority w:val="99"/>
    <w:unhideWhenUsed/>
    <w:rsid w:val="002D2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215"/>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rsid w:val="002D2215"/>
    <w:rPr>
      <w:sz w:val="21"/>
    </w:rPr>
  </w:style>
  <w:style w:type="character" w:customStyle="1" w:styleId="Heading3Char">
    <w:name w:val="Heading 3 Char"/>
    <w:basedOn w:val="DefaultParagraphFont"/>
    <w:link w:val="Heading3"/>
    <w:rsid w:val="002D2215"/>
    <w:rPr>
      <w:b/>
      <w:sz w:val="24"/>
    </w:rPr>
  </w:style>
  <w:style w:type="paragraph" w:styleId="BalloonText">
    <w:name w:val="Balloon Text"/>
    <w:basedOn w:val="Normal"/>
    <w:link w:val="BalloonTextChar"/>
    <w:uiPriority w:val="99"/>
    <w:semiHidden/>
    <w:unhideWhenUsed/>
    <w:rsid w:val="00803A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A6F"/>
    <w:rPr>
      <w:rFonts w:ascii="Tahoma" w:eastAsiaTheme="minorHAnsi" w:hAnsi="Tahoma" w:cs="Tahoma"/>
      <w:sz w:val="16"/>
      <w:szCs w:val="16"/>
    </w:rPr>
  </w:style>
  <w:style w:type="paragraph" w:styleId="Footer">
    <w:name w:val="footer"/>
    <w:basedOn w:val="Normal"/>
    <w:link w:val="FooterChar"/>
    <w:uiPriority w:val="99"/>
    <w:unhideWhenUsed/>
    <w:rsid w:val="00154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D6F"/>
    <w:rPr>
      <w:rFonts w:asciiTheme="minorHAnsi" w:eastAsiaTheme="minorHAnsi" w:hAnsiTheme="minorHAnsi" w:cstheme="minorBidi"/>
      <w:sz w:val="22"/>
      <w:szCs w:val="22"/>
    </w:rPr>
  </w:style>
  <w:style w:type="character" w:styleId="Hyperlink">
    <w:name w:val="Hyperlink"/>
    <w:uiPriority w:val="99"/>
    <w:rsid w:val="00154D6F"/>
    <w:rPr>
      <w:color w:val="0000FF"/>
      <w:u w:val="single"/>
    </w:rPr>
  </w:style>
  <w:style w:type="paragraph" w:customStyle="1" w:styleId="email">
    <w:name w:val="email"/>
    <w:basedOn w:val="Normal"/>
    <w:next w:val="Normal"/>
    <w:rsid w:val="00154D6F"/>
    <w:pPr>
      <w:spacing w:before="120" w:after="240" w:line="240" w:lineRule="auto"/>
    </w:pPr>
    <w:rPr>
      <w:rFonts w:ascii="Times New Roman" w:eastAsia="Times New Roman" w:hAnsi="Times New Roman" w:cs="Times New Roman"/>
      <w:sz w:val="20"/>
      <w:szCs w:val="20"/>
    </w:rPr>
  </w:style>
  <w:style w:type="paragraph" w:customStyle="1" w:styleId="phone">
    <w:name w:val="phone"/>
    <w:basedOn w:val="email"/>
    <w:next w:val="fax"/>
    <w:rsid w:val="00154D6F"/>
  </w:style>
  <w:style w:type="paragraph" w:customStyle="1" w:styleId="fax">
    <w:name w:val="fax"/>
    <w:basedOn w:val="email"/>
    <w:next w:val="email"/>
    <w:rsid w:val="00154D6F"/>
  </w:style>
  <w:style w:type="character" w:styleId="CommentReference">
    <w:name w:val="annotation reference"/>
    <w:basedOn w:val="DefaultParagraphFont"/>
    <w:uiPriority w:val="99"/>
    <w:semiHidden/>
    <w:unhideWhenUsed/>
    <w:rsid w:val="00A2499C"/>
    <w:rPr>
      <w:sz w:val="16"/>
      <w:szCs w:val="16"/>
    </w:rPr>
  </w:style>
  <w:style w:type="paragraph" w:styleId="CommentText">
    <w:name w:val="annotation text"/>
    <w:basedOn w:val="Normal"/>
    <w:link w:val="CommentTextChar"/>
    <w:uiPriority w:val="99"/>
    <w:semiHidden/>
    <w:unhideWhenUsed/>
    <w:rsid w:val="00A2499C"/>
    <w:pPr>
      <w:spacing w:line="240" w:lineRule="auto"/>
    </w:pPr>
    <w:rPr>
      <w:sz w:val="20"/>
      <w:szCs w:val="20"/>
    </w:rPr>
  </w:style>
  <w:style w:type="character" w:customStyle="1" w:styleId="CommentTextChar">
    <w:name w:val="Comment Text Char"/>
    <w:basedOn w:val="DefaultParagraphFont"/>
    <w:link w:val="CommentText"/>
    <w:uiPriority w:val="99"/>
    <w:semiHidden/>
    <w:rsid w:val="00A2499C"/>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A2499C"/>
    <w:rPr>
      <w:b/>
      <w:bCs/>
    </w:rPr>
  </w:style>
  <w:style w:type="character" w:customStyle="1" w:styleId="CommentSubjectChar">
    <w:name w:val="Comment Subject Char"/>
    <w:basedOn w:val="CommentTextChar"/>
    <w:link w:val="CommentSubject"/>
    <w:uiPriority w:val="99"/>
    <w:semiHidden/>
    <w:rsid w:val="00A2499C"/>
    <w:rPr>
      <w:rFonts w:asciiTheme="minorHAnsi" w:eastAsiaTheme="minorHAnsi" w:hAnsiTheme="minorHAnsi" w:cstheme="minorBidi"/>
      <w:b/>
      <w:bCs/>
    </w:rPr>
  </w:style>
  <w:style w:type="table" w:styleId="TableGrid">
    <w:name w:val="Table Grid"/>
    <w:basedOn w:val="TableNormal"/>
    <w:uiPriority w:val="59"/>
    <w:rsid w:val="003645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C0EC3"/>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235185">
      <w:bodyDiv w:val="1"/>
      <w:marLeft w:val="0"/>
      <w:marRight w:val="0"/>
      <w:marTop w:val="0"/>
      <w:marBottom w:val="0"/>
      <w:divBdr>
        <w:top w:val="none" w:sz="0" w:space="0" w:color="auto"/>
        <w:left w:val="none" w:sz="0" w:space="0" w:color="auto"/>
        <w:bottom w:val="none" w:sz="0" w:space="0" w:color="auto"/>
        <w:right w:val="none" w:sz="0" w:space="0" w:color="auto"/>
      </w:divBdr>
    </w:div>
    <w:div w:id="418454425">
      <w:bodyDiv w:val="1"/>
      <w:marLeft w:val="0"/>
      <w:marRight w:val="0"/>
      <w:marTop w:val="0"/>
      <w:marBottom w:val="0"/>
      <w:divBdr>
        <w:top w:val="none" w:sz="0" w:space="0" w:color="auto"/>
        <w:left w:val="none" w:sz="0" w:space="0" w:color="auto"/>
        <w:bottom w:val="none" w:sz="0" w:space="0" w:color="auto"/>
        <w:right w:val="none" w:sz="0" w:space="0" w:color="auto"/>
      </w:divBdr>
    </w:div>
    <w:div w:id="13759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hitehouse.gov/sites/default/files/omb/inforeg/social_cost_of_carbon_for_ria_2013_update.pdf" TargetMode="Externa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DMills@stratusconsulting.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BA7BB-E463-4B2A-A4E9-CEA8445E8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2275</Words>
  <Characters>12323</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MS Word Default Normal Template</vt:lpstr>
    </vt:vector>
  </TitlesOfParts>
  <Company/>
  <LinksUpToDate>false</LinksUpToDate>
  <CharactersWithSpaces>14569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 Word Default Normal Template</dc:title>
  <dc:creator>Dave Mills</dc:creator>
  <cp:lastModifiedBy>Dave Mills</cp:lastModifiedBy>
  <cp:revision>6</cp:revision>
  <cp:lastPrinted>2013-08-27T16:11:00Z</cp:lastPrinted>
  <dcterms:created xsi:type="dcterms:W3CDTF">2013-08-27T18:25:00Z</dcterms:created>
  <dcterms:modified xsi:type="dcterms:W3CDTF">2014-01-15T06:30:00Z</dcterms:modified>
</cp:coreProperties>
</file>