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199" w:rsidRPr="00E86B0D" w:rsidRDefault="00BC4199" w:rsidP="00E86B0D">
      <w:pPr>
        <w:pStyle w:val="Caption"/>
        <w:pageBreakBefore/>
        <w:spacing w:before="120" w:after="240"/>
        <w:rPr>
          <w:rFonts w:ascii="Arial" w:hAnsi="Arial" w:cs="Arial"/>
          <w:color w:val="auto"/>
          <w:sz w:val="36"/>
          <w:szCs w:val="36"/>
        </w:rPr>
      </w:pPr>
      <w:bookmarkStart w:id="0" w:name="_GoBack"/>
      <w:bookmarkEnd w:id="0"/>
      <w:r w:rsidRPr="00E86B0D">
        <w:rPr>
          <w:rFonts w:ascii="Arial" w:hAnsi="Arial" w:cs="Arial"/>
          <w:color w:val="auto"/>
          <w:sz w:val="36"/>
        </w:rPr>
        <w:t xml:space="preserve">Online </w:t>
      </w:r>
      <w:r w:rsidRPr="00E86B0D">
        <w:rPr>
          <w:rFonts w:ascii="Arial" w:hAnsi="Arial" w:cs="Arial"/>
          <w:color w:val="auto"/>
          <w:sz w:val="36"/>
          <w:szCs w:val="36"/>
        </w:rPr>
        <w:t xml:space="preserve">Resource </w:t>
      </w:r>
      <w:r w:rsidR="00FB0BDF" w:rsidRPr="00E86B0D">
        <w:rPr>
          <w:rFonts w:ascii="Arial" w:hAnsi="Arial" w:cs="Arial"/>
          <w:color w:val="auto"/>
          <w:sz w:val="36"/>
          <w:szCs w:val="36"/>
        </w:rPr>
        <w:t>7</w:t>
      </w:r>
      <w:r w:rsidRPr="00E86B0D">
        <w:rPr>
          <w:rFonts w:ascii="Arial" w:hAnsi="Arial" w:cs="Arial"/>
          <w:color w:val="auto"/>
          <w:sz w:val="36"/>
          <w:szCs w:val="36"/>
        </w:rPr>
        <w:t xml:space="preserve">. </w:t>
      </w:r>
      <w:r w:rsidR="00A75531" w:rsidRPr="00E86B0D">
        <w:rPr>
          <w:rFonts w:ascii="Arial" w:hAnsi="Arial" w:cs="Arial"/>
          <w:color w:val="auto"/>
          <w:sz w:val="36"/>
          <w:szCs w:val="36"/>
        </w:rPr>
        <w:t xml:space="preserve">Historical </w:t>
      </w:r>
      <w:r w:rsidR="00E86B0D" w:rsidRPr="00E86B0D">
        <w:rPr>
          <w:rFonts w:ascii="Arial" w:hAnsi="Arial" w:cs="Arial"/>
          <w:color w:val="auto"/>
          <w:sz w:val="36"/>
          <w:szCs w:val="36"/>
        </w:rPr>
        <w:t>Vegetation, Carbon</w:t>
      </w:r>
      <w:r w:rsidR="0012251D">
        <w:rPr>
          <w:rFonts w:ascii="Arial" w:hAnsi="Arial" w:cs="Arial"/>
          <w:color w:val="auto"/>
          <w:sz w:val="36"/>
          <w:szCs w:val="36"/>
        </w:rPr>
        <w:t>,</w:t>
      </w:r>
      <w:r w:rsidR="00A75531" w:rsidRPr="00E86B0D">
        <w:rPr>
          <w:rFonts w:ascii="Arial" w:hAnsi="Arial" w:cs="Arial"/>
          <w:color w:val="auto"/>
          <w:sz w:val="36"/>
          <w:szCs w:val="36"/>
        </w:rPr>
        <w:t xml:space="preserve"> and </w:t>
      </w:r>
      <w:r w:rsidR="00E86B0D" w:rsidRPr="00E86B0D">
        <w:rPr>
          <w:rFonts w:ascii="Arial" w:hAnsi="Arial" w:cs="Arial"/>
          <w:color w:val="auto"/>
          <w:sz w:val="36"/>
          <w:szCs w:val="36"/>
        </w:rPr>
        <w:t>Wildfire</w:t>
      </w:r>
      <w:r w:rsidR="00E86B0D" w:rsidRPr="00E86B0D">
        <w:rPr>
          <w:rFonts w:ascii="Arial" w:hAnsi="Arial" w:cs="Arial"/>
          <w:sz w:val="24"/>
          <w:szCs w:val="24"/>
        </w:rPr>
        <w:t xml:space="preserve"> </w:t>
      </w:r>
      <w:r w:rsidR="00E86B0D" w:rsidRPr="00E86B0D">
        <w:rPr>
          <w:rFonts w:ascii="Arial" w:hAnsi="Arial" w:cs="Arial"/>
          <w:color w:val="auto"/>
          <w:sz w:val="36"/>
          <w:szCs w:val="36"/>
        </w:rPr>
        <w:t>Dynamics</w:t>
      </w:r>
    </w:p>
    <w:p w:rsidR="00E86B0D" w:rsidRPr="00FA6A7D" w:rsidRDefault="00E86B0D" w:rsidP="00E86B0D">
      <w:pPr>
        <w:spacing w:before="120"/>
        <w:rPr>
          <w:szCs w:val="24"/>
        </w:rPr>
      </w:pPr>
      <w:r w:rsidRPr="00FA6A7D">
        <w:rPr>
          <w:b/>
          <w:i/>
          <w:szCs w:val="24"/>
        </w:rPr>
        <w:t xml:space="preserve">Climatic Change </w:t>
      </w:r>
      <w:r w:rsidRPr="00FA6A7D">
        <w:rPr>
          <w:b/>
          <w:szCs w:val="24"/>
        </w:rPr>
        <w:t xml:space="preserve">Article: </w:t>
      </w:r>
      <w:r w:rsidRPr="00FA6A7D">
        <w:rPr>
          <w:szCs w:val="24"/>
        </w:rPr>
        <w:t>Quantifying and Monetizing Potential Climate Change Policy Impacts on Terrestrial Ecosystem Carbon Stor</w:t>
      </w:r>
      <w:r>
        <w:rPr>
          <w:szCs w:val="24"/>
        </w:rPr>
        <w:t>age and Wildfires in the United </w:t>
      </w:r>
      <w:r w:rsidRPr="00FA6A7D">
        <w:rPr>
          <w:szCs w:val="24"/>
        </w:rPr>
        <w:t>States</w:t>
      </w:r>
    </w:p>
    <w:p w:rsidR="003F0F7A" w:rsidRPr="00680C46" w:rsidRDefault="003F0F7A" w:rsidP="003F0F7A">
      <w:pPr>
        <w:spacing w:before="120"/>
        <w:rPr>
          <w:szCs w:val="24"/>
        </w:rPr>
      </w:pPr>
      <w:r w:rsidRPr="00FA6A7D">
        <w:rPr>
          <w:b/>
          <w:bCs/>
          <w:szCs w:val="24"/>
        </w:rPr>
        <w:t xml:space="preserve">Authors: </w:t>
      </w:r>
      <w:r w:rsidRPr="00FA6A7D">
        <w:rPr>
          <w:szCs w:val="24"/>
        </w:rPr>
        <w:t>David Mills, Russell Jones, Karen Carney, Alexis St. Juliana, Richard Ready, Allison Crimmins, Jeremy Martinich,</w:t>
      </w:r>
      <w:r w:rsidRPr="00FA6A7D">
        <w:rPr>
          <w:szCs w:val="24"/>
          <w:vertAlign w:val="superscript"/>
        </w:rPr>
        <w:t xml:space="preserve"> </w:t>
      </w:r>
      <w:r w:rsidRPr="00FA6A7D">
        <w:rPr>
          <w:szCs w:val="24"/>
        </w:rPr>
        <w:t>Kate Shouse, Benjamin DeAngelo,</w:t>
      </w:r>
      <w:r w:rsidRPr="00FA6A7D">
        <w:rPr>
          <w:szCs w:val="24"/>
          <w:vertAlign w:val="superscript"/>
        </w:rPr>
        <w:t xml:space="preserve"> </w:t>
      </w:r>
      <w:r w:rsidRPr="00FA6A7D">
        <w:rPr>
          <w:szCs w:val="24"/>
        </w:rPr>
        <w:t xml:space="preserve">and </w:t>
      </w:r>
      <w:r w:rsidRPr="00680C46">
        <w:rPr>
          <w:szCs w:val="24"/>
        </w:rPr>
        <w:t>Erwan Monier</w:t>
      </w:r>
    </w:p>
    <w:p w:rsidR="00E86B0D" w:rsidRPr="00FA6A7D" w:rsidRDefault="00E86B0D" w:rsidP="00E86B0D">
      <w:pPr>
        <w:spacing w:before="120"/>
        <w:rPr>
          <w:szCs w:val="24"/>
        </w:rPr>
      </w:pPr>
      <w:r w:rsidRPr="00FA6A7D">
        <w:rPr>
          <w:b/>
          <w:szCs w:val="24"/>
        </w:rPr>
        <w:t>Corresponding author:</w:t>
      </w:r>
      <w:r w:rsidRPr="00FA6A7D">
        <w:rPr>
          <w:szCs w:val="24"/>
        </w:rPr>
        <w:t xml:space="preserve"> David Mills, Stratus Consulting Inc.</w:t>
      </w:r>
      <w:r>
        <w:rPr>
          <w:szCs w:val="24"/>
        </w:rPr>
        <w:t xml:space="preserve">, </w:t>
      </w:r>
      <w:hyperlink r:id="rId9" w:history="1">
        <w:r w:rsidR="00FB3211" w:rsidRPr="009E4948">
          <w:rPr>
            <w:rStyle w:val="Hyperlink"/>
            <w:i/>
            <w:szCs w:val="24"/>
          </w:rPr>
          <w:t>DMills@stratusconsulting.com</w:t>
        </w:r>
      </w:hyperlink>
      <w:r w:rsidR="00FB3211" w:rsidRPr="009E4948" w:rsidDel="00493EB1">
        <w:rPr>
          <w:szCs w:val="24"/>
        </w:rPr>
        <w:t xml:space="preserve"> </w:t>
      </w:r>
    </w:p>
    <w:p w:rsidR="00921346" w:rsidRPr="008225E8" w:rsidRDefault="00921346" w:rsidP="00AB38B9">
      <w:pPr>
        <w:rPr>
          <w:b/>
          <w:szCs w:val="24"/>
        </w:rPr>
      </w:pPr>
      <w:r w:rsidRPr="008225E8">
        <w:rPr>
          <w:b/>
          <w:szCs w:val="24"/>
        </w:rPr>
        <w:t xml:space="preserve">Potential Natural Vegetation </w:t>
      </w:r>
    </w:p>
    <w:p w:rsidR="003C11D7" w:rsidRDefault="003C11D7" w:rsidP="00AB38B9">
      <w:pPr>
        <w:rPr>
          <w:szCs w:val="24"/>
        </w:rPr>
      </w:pPr>
      <w:r w:rsidRPr="008225E8">
        <w:rPr>
          <w:szCs w:val="24"/>
        </w:rPr>
        <w:t>To allow comparison to other studies, the v</w:t>
      </w:r>
      <w:r w:rsidR="00AB38B9" w:rsidRPr="008225E8">
        <w:rPr>
          <w:szCs w:val="24"/>
        </w:rPr>
        <w:t xml:space="preserve">egetation types output by MC1 </w:t>
      </w:r>
      <w:r w:rsidR="0012251D" w:rsidRPr="008225E8">
        <w:rPr>
          <w:szCs w:val="24"/>
        </w:rPr>
        <w:t xml:space="preserve">(a dynamic global vegetation model) </w:t>
      </w:r>
      <w:r w:rsidRPr="008225E8">
        <w:rPr>
          <w:szCs w:val="24"/>
        </w:rPr>
        <w:t>in the historical period</w:t>
      </w:r>
      <w:r w:rsidR="001D4B53" w:rsidRPr="008225E8">
        <w:rPr>
          <w:szCs w:val="24"/>
        </w:rPr>
        <w:t xml:space="preserve"> (i.e., prior to 2000) </w:t>
      </w:r>
      <w:r w:rsidR="00AB38B9" w:rsidRPr="008225E8">
        <w:rPr>
          <w:szCs w:val="24"/>
        </w:rPr>
        <w:t xml:space="preserve">were first grouped into seven aggregate vegetation types </w:t>
      </w:r>
      <w:r w:rsidRPr="008225E8">
        <w:rPr>
          <w:szCs w:val="24"/>
        </w:rPr>
        <w:t>as per a</w:t>
      </w:r>
      <w:r w:rsidR="00AB38B9" w:rsidRPr="008225E8">
        <w:rPr>
          <w:szCs w:val="24"/>
        </w:rPr>
        <w:t xml:space="preserve"> 1964 summary of </w:t>
      </w:r>
      <w:r w:rsidR="0012251D" w:rsidRPr="008225E8">
        <w:rPr>
          <w:szCs w:val="24"/>
        </w:rPr>
        <w:t>United States (</w:t>
      </w:r>
      <w:r w:rsidR="00AB38B9" w:rsidRPr="008225E8">
        <w:rPr>
          <w:szCs w:val="24"/>
        </w:rPr>
        <w:t>U.S.</w:t>
      </w:r>
      <w:r w:rsidR="0012251D" w:rsidRPr="008225E8">
        <w:rPr>
          <w:szCs w:val="24"/>
        </w:rPr>
        <w:t>)</w:t>
      </w:r>
      <w:r w:rsidR="00AB38B9" w:rsidRPr="008225E8">
        <w:rPr>
          <w:szCs w:val="24"/>
        </w:rPr>
        <w:t xml:space="preserve"> vegetation (Kuchler 1964</w:t>
      </w:r>
      <w:r w:rsidR="0031498E" w:rsidRPr="008225E8">
        <w:rPr>
          <w:szCs w:val="24"/>
        </w:rPr>
        <w:t>).</w:t>
      </w:r>
      <w:r w:rsidR="00532302" w:rsidRPr="008225E8">
        <w:t xml:space="preserve"> The Kuchler map represents the best estimate of the potential vegetation of the U</w:t>
      </w:r>
      <w:r w:rsidR="0012251D" w:rsidRPr="008225E8">
        <w:t>.S.</w:t>
      </w:r>
      <w:r w:rsidR="00532302" w:rsidRPr="008225E8">
        <w:t>, absent the impact of human</w:t>
      </w:r>
      <w:r w:rsidR="00532302">
        <w:t xml:space="preserve"> management and urbanization. Because MC1 does not address land use change and other impacts on vegetation, comparisons with satellite imagery or ground-truthed land use maps would not be appropriate (Bachelet et al. 2003). </w:t>
      </w:r>
      <w:r w:rsidR="00826926">
        <w:rPr>
          <w:szCs w:val="24"/>
        </w:rPr>
        <w:t>The simulated vegetation distribution produced by M</w:t>
      </w:r>
      <w:r w:rsidR="00532302">
        <w:rPr>
          <w:szCs w:val="24"/>
        </w:rPr>
        <w:t xml:space="preserve">C1 was generally accurate when </w:t>
      </w:r>
      <w:r w:rsidR="00826926">
        <w:rPr>
          <w:szCs w:val="24"/>
        </w:rPr>
        <w:t xml:space="preserve">compared to Kuchler (1964), however there were some </w:t>
      </w:r>
      <w:r w:rsidR="00F14C69">
        <w:rPr>
          <w:szCs w:val="24"/>
        </w:rPr>
        <w:t xml:space="preserve">exceptions </w:t>
      </w:r>
      <w:r w:rsidR="00826926">
        <w:rPr>
          <w:szCs w:val="24"/>
        </w:rPr>
        <w:t>(Fig</w:t>
      </w:r>
      <w:r w:rsidR="00A70F47">
        <w:rPr>
          <w:szCs w:val="24"/>
        </w:rPr>
        <w:t>ure</w:t>
      </w:r>
      <w:r w:rsidR="00826926">
        <w:rPr>
          <w:szCs w:val="24"/>
        </w:rPr>
        <w:t xml:space="preserve"> </w:t>
      </w:r>
      <w:r w:rsidR="00883DF2">
        <w:rPr>
          <w:szCs w:val="24"/>
        </w:rPr>
        <w:t>7.</w:t>
      </w:r>
      <w:r w:rsidR="00826926">
        <w:rPr>
          <w:szCs w:val="24"/>
        </w:rPr>
        <w:t>1).</w:t>
      </w:r>
      <w:r w:rsidR="0061619C">
        <w:rPr>
          <w:rStyle w:val="FootnoteReference"/>
          <w:szCs w:val="24"/>
        </w:rPr>
        <w:footnoteReference w:id="1"/>
      </w:r>
      <w:r w:rsidR="00826926">
        <w:rPr>
          <w:szCs w:val="24"/>
        </w:rPr>
        <w:t xml:space="preserve"> Coniferous forest cover is lower for MC1 in the </w:t>
      </w:r>
      <w:r w:rsidR="0012251D">
        <w:rPr>
          <w:szCs w:val="24"/>
        </w:rPr>
        <w:t>N</w:t>
      </w:r>
      <w:r w:rsidR="00826926">
        <w:rPr>
          <w:szCs w:val="24"/>
        </w:rPr>
        <w:t>orthwest</w:t>
      </w:r>
      <w:r w:rsidR="00A75531">
        <w:rPr>
          <w:szCs w:val="24"/>
        </w:rPr>
        <w:t>,</w:t>
      </w:r>
      <w:r w:rsidR="00826926">
        <w:rPr>
          <w:szCs w:val="24"/>
        </w:rPr>
        <w:t xml:space="preserve"> northern California</w:t>
      </w:r>
      <w:r w:rsidR="00A75531">
        <w:rPr>
          <w:szCs w:val="24"/>
        </w:rPr>
        <w:t>, Rocky Mountains, and Great Lakes region</w:t>
      </w:r>
      <w:r w:rsidR="00826926">
        <w:rPr>
          <w:szCs w:val="24"/>
        </w:rPr>
        <w:t xml:space="preserve"> than Kuchler, as is desert cover in the </w:t>
      </w:r>
      <w:r w:rsidR="0012251D">
        <w:rPr>
          <w:szCs w:val="24"/>
        </w:rPr>
        <w:t>S</w:t>
      </w:r>
      <w:r w:rsidR="00826926">
        <w:rPr>
          <w:szCs w:val="24"/>
        </w:rPr>
        <w:t>outhwest.</w:t>
      </w:r>
      <w:r w:rsidR="00F14C69">
        <w:rPr>
          <w:szCs w:val="24"/>
        </w:rPr>
        <w:t xml:space="preserve"> In addition, areas in the Midwest portrayed as woodland/savannah in Kuchler are simulated as for</w:t>
      </w:r>
      <w:r w:rsidR="00FB0BDF">
        <w:rPr>
          <w:szCs w:val="24"/>
        </w:rPr>
        <w:t>est in MC1.</w:t>
      </w:r>
      <w:r w:rsidR="00AE06CC">
        <w:rPr>
          <w:szCs w:val="24"/>
        </w:rPr>
        <w:t xml:space="preserve"> MC1 also simulated</w:t>
      </w:r>
      <w:r w:rsidR="00F14C69">
        <w:rPr>
          <w:szCs w:val="24"/>
        </w:rPr>
        <w:t xml:space="preserve"> grassland in Texas where Kuchler portray</w:t>
      </w:r>
      <w:r w:rsidR="00AE06CC">
        <w:rPr>
          <w:szCs w:val="24"/>
        </w:rPr>
        <w:t>s</w:t>
      </w:r>
      <w:r w:rsidR="00F14C69">
        <w:rPr>
          <w:szCs w:val="24"/>
        </w:rPr>
        <w:t xml:space="preserve"> woodland/savannah. </w:t>
      </w:r>
    </w:p>
    <w:p w:rsidR="00C36558" w:rsidRPr="00E86B0D" w:rsidRDefault="00C36558" w:rsidP="00C36558">
      <w:pPr>
        <w:rPr>
          <w:b/>
          <w:szCs w:val="24"/>
        </w:rPr>
      </w:pPr>
      <w:r w:rsidRPr="00E86B0D">
        <w:rPr>
          <w:b/>
          <w:szCs w:val="24"/>
        </w:rPr>
        <w:t>Carbon</w:t>
      </w:r>
    </w:p>
    <w:p w:rsidR="00C36558" w:rsidRDefault="00C36558" w:rsidP="00AB38B9">
      <w:pPr>
        <w:rPr>
          <w:szCs w:val="24"/>
        </w:rPr>
      </w:pPr>
      <w:r>
        <w:rPr>
          <w:szCs w:val="24"/>
        </w:rPr>
        <w:t>W</w:t>
      </w:r>
      <w:r w:rsidRPr="00003638">
        <w:rPr>
          <w:szCs w:val="24"/>
        </w:rPr>
        <w:t>e used MC1 to calculate the average annual total carbon (above- and below-ground carbon) over a 10-year period, centered on 1989 (average of 1985</w:t>
      </w:r>
      <w:r w:rsidRPr="00003638">
        <w:rPr>
          <w:szCs w:val="24"/>
        </w:rPr>
        <w:sym w:font="Symbol" w:char="F02D"/>
      </w:r>
      <w:r w:rsidRPr="00003638">
        <w:rPr>
          <w:szCs w:val="24"/>
        </w:rPr>
        <w:t xml:space="preserve">1994). Our </w:t>
      </w:r>
      <w:r w:rsidRPr="0012251D">
        <w:rPr>
          <w:szCs w:val="24"/>
        </w:rPr>
        <w:t xml:space="preserve">modeled result of 131.9 Pg of carbon for the contiguous </w:t>
      </w:r>
      <w:r w:rsidR="008225E8">
        <w:rPr>
          <w:szCs w:val="24"/>
        </w:rPr>
        <w:t>U.S.</w:t>
      </w:r>
      <w:r w:rsidRPr="0012251D">
        <w:rPr>
          <w:szCs w:val="24"/>
        </w:rPr>
        <w:t xml:space="preserve"> was within 5%</w:t>
      </w:r>
      <w:r w:rsidRPr="00003638">
        <w:rPr>
          <w:szCs w:val="24"/>
        </w:rPr>
        <w:t xml:space="preserve"> of </w:t>
      </w:r>
      <w:r>
        <w:rPr>
          <w:szCs w:val="24"/>
        </w:rPr>
        <w:t xml:space="preserve">approximately 135 and </w:t>
      </w:r>
      <w:r w:rsidRPr="00003638">
        <w:rPr>
          <w:szCs w:val="24"/>
        </w:rPr>
        <w:t xml:space="preserve">138 Pg of carbon </w:t>
      </w:r>
      <w:r>
        <w:rPr>
          <w:szCs w:val="24"/>
        </w:rPr>
        <w:t xml:space="preserve">for Bachelet et al. </w:t>
      </w:r>
      <w:r w:rsidR="00883DF2">
        <w:rPr>
          <w:szCs w:val="24"/>
        </w:rPr>
        <w:t>(</w:t>
      </w:r>
      <w:r>
        <w:rPr>
          <w:szCs w:val="24"/>
        </w:rPr>
        <w:t>2001</w:t>
      </w:r>
      <w:r w:rsidR="00883DF2">
        <w:rPr>
          <w:szCs w:val="24"/>
        </w:rPr>
        <w:t>)</w:t>
      </w:r>
      <w:r>
        <w:rPr>
          <w:szCs w:val="24"/>
        </w:rPr>
        <w:t xml:space="preserve"> and </w:t>
      </w:r>
      <w:r w:rsidR="00E86B0D">
        <w:rPr>
          <w:szCs w:val="24"/>
        </w:rPr>
        <w:t>Bachelet et al.</w:t>
      </w:r>
      <w:r w:rsidRPr="00003638">
        <w:rPr>
          <w:szCs w:val="24"/>
        </w:rPr>
        <w:t xml:space="preserve"> </w:t>
      </w:r>
      <w:r w:rsidR="00883DF2">
        <w:rPr>
          <w:szCs w:val="24"/>
        </w:rPr>
        <w:t>(</w:t>
      </w:r>
      <w:r w:rsidRPr="00003638">
        <w:rPr>
          <w:szCs w:val="24"/>
        </w:rPr>
        <w:t>2003</w:t>
      </w:r>
      <w:r w:rsidR="00883DF2">
        <w:rPr>
          <w:szCs w:val="24"/>
        </w:rPr>
        <w:t>)</w:t>
      </w:r>
      <w:r>
        <w:rPr>
          <w:szCs w:val="24"/>
        </w:rPr>
        <w:t>, respectively</w:t>
      </w:r>
      <w:r w:rsidRPr="00003638">
        <w:rPr>
          <w:szCs w:val="24"/>
        </w:rPr>
        <w:t xml:space="preserve">. </w:t>
      </w:r>
    </w:p>
    <w:p w:rsidR="00A70F47" w:rsidRDefault="00A70F47" w:rsidP="00A70F47">
      <w:pPr>
        <w:keepNext/>
      </w:pPr>
      <w:r>
        <w:rPr>
          <w:noProof/>
        </w:rPr>
        <w:lastRenderedPageBreak/>
        <w:drawing>
          <wp:inline distT="0" distB="0" distL="0" distR="0" wp14:anchorId="7BD0A9AF" wp14:editId="0F0A9BA2">
            <wp:extent cx="5157216" cy="6784848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chler_MC1_1964_VegCorrespondence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8" t="651" r="1520" b="1256"/>
                    <a:stretch/>
                  </pic:blipFill>
                  <pic:spPr bwMode="auto">
                    <a:xfrm>
                      <a:off x="0" y="0"/>
                      <a:ext cx="5157216" cy="6784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0F47" w:rsidRPr="00E86B0D" w:rsidRDefault="00A70F47" w:rsidP="00A70F47">
      <w:pPr>
        <w:pStyle w:val="Caption"/>
        <w:rPr>
          <w:color w:val="auto"/>
          <w:sz w:val="20"/>
          <w:szCs w:val="20"/>
        </w:rPr>
      </w:pPr>
      <w:r w:rsidRPr="00E86B0D">
        <w:rPr>
          <w:color w:val="auto"/>
          <w:sz w:val="20"/>
          <w:szCs w:val="20"/>
        </w:rPr>
        <w:t xml:space="preserve">Fig. </w:t>
      </w:r>
      <w:r w:rsidR="00B026A3">
        <w:rPr>
          <w:color w:val="auto"/>
          <w:sz w:val="20"/>
          <w:szCs w:val="20"/>
        </w:rPr>
        <w:t>7.</w:t>
      </w:r>
      <w:r w:rsidRPr="00E86B0D">
        <w:rPr>
          <w:color w:val="auto"/>
          <w:sz w:val="20"/>
          <w:szCs w:val="20"/>
        </w:rPr>
        <w:fldChar w:fldCharType="begin"/>
      </w:r>
      <w:r w:rsidRPr="00E86B0D">
        <w:rPr>
          <w:color w:val="auto"/>
          <w:sz w:val="20"/>
          <w:szCs w:val="20"/>
        </w:rPr>
        <w:instrText xml:space="preserve"> SEQ Figure \* ARABIC </w:instrText>
      </w:r>
      <w:r w:rsidRPr="00E86B0D">
        <w:rPr>
          <w:color w:val="auto"/>
          <w:sz w:val="20"/>
          <w:szCs w:val="20"/>
        </w:rPr>
        <w:fldChar w:fldCharType="separate"/>
      </w:r>
      <w:r w:rsidR="00883DF2">
        <w:rPr>
          <w:noProof/>
          <w:color w:val="auto"/>
          <w:sz w:val="20"/>
          <w:szCs w:val="20"/>
        </w:rPr>
        <w:t>1</w:t>
      </w:r>
      <w:r w:rsidRPr="00E86B0D">
        <w:rPr>
          <w:noProof/>
          <w:color w:val="auto"/>
          <w:sz w:val="20"/>
          <w:szCs w:val="20"/>
        </w:rPr>
        <w:fldChar w:fldCharType="end"/>
      </w:r>
      <w:r w:rsidRPr="00E86B0D">
        <w:rPr>
          <w:color w:val="auto"/>
          <w:sz w:val="20"/>
          <w:szCs w:val="20"/>
        </w:rPr>
        <w:t xml:space="preserve"> Comparison of potential natural vegetation simulated by MC1 with that portrayed by Kuchler </w:t>
      </w:r>
      <w:r>
        <w:rPr>
          <w:color w:val="auto"/>
          <w:sz w:val="20"/>
          <w:szCs w:val="20"/>
        </w:rPr>
        <w:t>(</w:t>
      </w:r>
      <w:r w:rsidRPr="00E86B0D">
        <w:rPr>
          <w:color w:val="auto"/>
          <w:sz w:val="20"/>
          <w:szCs w:val="20"/>
        </w:rPr>
        <w:t>1964</w:t>
      </w:r>
      <w:r>
        <w:rPr>
          <w:color w:val="auto"/>
          <w:sz w:val="20"/>
          <w:szCs w:val="20"/>
        </w:rPr>
        <w:t>)</w:t>
      </w:r>
    </w:p>
    <w:p w:rsidR="00A70F47" w:rsidRPr="00BC4199" w:rsidRDefault="00A70F47" w:rsidP="00AB38B9">
      <w:pPr>
        <w:rPr>
          <w:szCs w:val="24"/>
        </w:rPr>
      </w:pPr>
    </w:p>
    <w:p w:rsidR="003C11D7" w:rsidRPr="00E86B0D" w:rsidRDefault="003C11D7" w:rsidP="00A70F47">
      <w:pPr>
        <w:keepNext/>
        <w:keepLines/>
        <w:rPr>
          <w:b/>
          <w:szCs w:val="24"/>
        </w:rPr>
      </w:pPr>
      <w:r w:rsidRPr="00E86B0D">
        <w:rPr>
          <w:b/>
          <w:szCs w:val="24"/>
        </w:rPr>
        <w:lastRenderedPageBreak/>
        <w:t>Wildfire</w:t>
      </w:r>
    </w:p>
    <w:p w:rsidR="003C11D7" w:rsidRDefault="00F262FD" w:rsidP="00A70F47">
      <w:pPr>
        <w:keepNext/>
        <w:keepLines/>
      </w:pPr>
      <w:r>
        <w:rPr>
          <w:szCs w:val="24"/>
        </w:rPr>
        <w:t xml:space="preserve">While vegetation </w:t>
      </w:r>
      <w:r w:rsidR="007C194A">
        <w:rPr>
          <w:szCs w:val="24"/>
        </w:rPr>
        <w:t xml:space="preserve">and carbon </w:t>
      </w:r>
      <w:r>
        <w:rPr>
          <w:szCs w:val="24"/>
        </w:rPr>
        <w:t>patterns were similar between ours and other studies, historical wildfire extent in our study tend</w:t>
      </w:r>
      <w:r w:rsidR="00A921C1">
        <w:rPr>
          <w:szCs w:val="24"/>
        </w:rPr>
        <w:t>ed to be a bit lower than other national studies.</w:t>
      </w:r>
      <w:r>
        <w:rPr>
          <w:szCs w:val="24"/>
        </w:rPr>
        <w:t xml:space="preserve"> </w:t>
      </w:r>
      <w:r w:rsidR="003C11D7">
        <w:rPr>
          <w:szCs w:val="24"/>
        </w:rPr>
        <w:t xml:space="preserve">Leenhouts </w:t>
      </w:r>
      <w:r>
        <w:rPr>
          <w:szCs w:val="24"/>
        </w:rPr>
        <w:t xml:space="preserve">(1998) </w:t>
      </w:r>
      <w:r w:rsidR="003C11D7">
        <w:rPr>
          <w:szCs w:val="24"/>
        </w:rPr>
        <w:t>provided ranges for minimum and maximum area burned per year for contemporary and pre-industrial (~</w:t>
      </w:r>
      <w:r w:rsidR="00A70F47">
        <w:rPr>
          <w:szCs w:val="24"/>
        </w:rPr>
        <w:t xml:space="preserve"> </w:t>
      </w:r>
      <w:r w:rsidR="003C11D7">
        <w:rPr>
          <w:szCs w:val="24"/>
        </w:rPr>
        <w:t>200–500 BP) time period</w:t>
      </w:r>
      <w:r w:rsidR="0012251D">
        <w:rPr>
          <w:szCs w:val="24"/>
        </w:rPr>
        <w:t>s</w:t>
      </w:r>
      <w:r w:rsidR="003C11D7">
        <w:rPr>
          <w:szCs w:val="24"/>
        </w:rPr>
        <w:t xml:space="preserve"> </w:t>
      </w:r>
      <w:r>
        <w:rPr>
          <w:szCs w:val="24"/>
        </w:rPr>
        <w:t xml:space="preserve">for different </w:t>
      </w:r>
      <w:r w:rsidR="003C11D7">
        <w:rPr>
          <w:szCs w:val="24"/>
        </w:rPr>
        <w:t>Kuchler physiognomic type</w:t>
      </w:r>
      <w:r>
        <w:rPr>
          <w:szCs w:val="24"/>
        </w:rPr>
        <w:t>s. We compared our pre-fire suppression data with Leenhouts</w:t>
      </w:r>
      <w:r w:rsidR="00552ECC">
        <w:rPr>
          <w:szCs w:val="24"/>
        </w:rPr>
        <w:t>’</w:t>
      </w:r>
      <w:r>
        <w:rPr>
          <w:szCs w:val="24"/>
        </w:rPr>
        <w:t xml:space="preserve"> pre-industrial range, and our post-fire suppression data with Leenhouts</w:t>
      </w:r>
      <w:r w:rsidR="00552ECC">
        <w:rPr>
          <w:szCs w:val="24"/>
        </w:rPr>
        <w:t>’</w:t>
      </w:r>
      <w:r>
        <w:rPr>
          <w:szCs w:val="24"/>
        </w:rPr>
        <w:t xml:space="preserve"> contemporary range</w:t>
      </w:r>
      <w:r w:rsidR="003C11D7">
        <w:rPr>
          <w:szCs w:val="24"/>
        </w:rPr>
        <w:t xml:space="preserve"> (Table </w:t>
      </w:r>
      <w:r w:rsidR="00E86B0D">
        <w:rPr>
          <w:szCs w:val="24"/>
        </w:rPr>
        <w:t>7.</w:t>
      </w:r>
      <w:r w:rsidR="003C11D7">
        <w:rPr>
          <w:szCs w:val="24"/>
        </w:rPr>
        <w:t>1)</w:t>
      </w:r>
      <w:r>
        <w:rPr>
          <w:szCs w:val="24"/>
        </w:rPr>
        <w:t xml:space="preserve">. </w:t>
      </w:r>
      <w:r w:rsidR="00C36558">
        <w:rPr>
          <w:szCs w:val="24"/>
        </w:rPr>
        <w:t>Our ranges matched those of Leenhouts well for winter deciduous forests</w:t>
      </w:r>
      <w:r w:rsidR="006F6C9D">
        <w:rPr>
          <w:szCs w:val="24"/>
        </w:rPr>
        <w:t xml:space="preserve"> and</w:t>
      </w:r>
      <w:r w:rsidR="00C36558">
        <w:rPr>
          <w:szCs w:val="24"/>
        </w:rPr>
        <w:t xml:space="preserve"> savannahs and woodlands</w:t>
      </w:r>
      <w:r w:rsidR="00A70F47">
        <w:rPr>
          <w:szCs w:val="24"/>
        </w:rPr>
        <w:t xml:space="preserve">. </w:t>
      </w:r>
      <w:r w:rsidR="00C36558">
        <w:rPr>
          <w:szCs w:val="24"/>
        </w:rPr>
        <w:t>However, our ranges were low (while overlapping at times) for coniferous forests, mixed forests, grasslands and shrublands</w:t>
      </w:r>
      <w:r w:rsidR="006F6C9D">
        <w:rPr>
          <w:szCs w:val="24"/>
        </w:rPr>
        <w:t>, and deserts</w:t>
      </w:r>
      <w:r w:rsidR="00C36558">
        <w:rPr>
          <w:szCs w:val="24"/>
        </w:rPr>
        <w:t xml:space="preserve">. </w:t>
      </w:r>
      <w:r>
        <w:rPr>
          <w:szCs w:val="24"/>
        </w:rPr>
        <w:t xml:space="preserve">Similarly, prior to fire suppression initiation, MC1 </w:t>
      </w:r>
      <w:r w:rsidR="00A921C1">
        <w:rPr>
          <w:szCs w:val="24"/>
        </w:rPr>
        <w:t xml:space="preserve">produced an average historical burned area of approximately 13 </w:t>
      </w:r>
      <w:r w:rsidR="00E86B0D">
        <w:rPr>
          <w:szCs w:val="24"/>
        </w:rPr>
        <w:t>×</w:t>
      </w:r>
      <w:r w:rsidR="00A921C1">
        <w:rPr>
          <w:szCs w:val="24"/>
        </w:rPr>
        <w:t xml:space="preserve"> 10</w:t>
      </w:r>
      <w:r w:rsidR="00A921C1" w:rsidRPr="00BC4199">
        <w:rPr>
          <w:szCs w:val="24"/>
          <w:vertAlign w:val="superscript"/>
        </w:rPr>
        <w:t>6</w:t>
      </w:r>
      <w:r w:rsidR="00A921C1">
        <w:rPr>
          <w:szCs w:val="24"/>
        </w:rPr>
        <w:t xml:space="preserve"> hectares per year as compared to 33 </w:t>
      </w:r>
      <w:r w:rsidR="00E86B0D">
        <w:rPr>
          <w:szCs w:val="24"/>
        </w:rPr>
        <w:t>×</w:t>
      </w:r>
      <w:r w:rsidR="00A921C1">
        <w:rPr>
          <w:szCs w:val="24"/>
        </w:rPr>
        <w:t xml:space="preserve"> 10</w:t>
      </w:r>
      <w:r w:rsidR="00A921C1" w:rsidRPr="00BC4199">
        <w:rPr>
          <w:szCs w:val="24"/>
          <w:vertAlign w:val="superscript"/>
        </w:rPr>
        <w:t>6</w:t>
      </w:r>
      <w:r w:rsidR="00A921C1">
        <w:rPr>
          <w:szCs w:val="24"/>
        </w:rPr>
        <w:t xml:space="preserve"> in Bachelet et al. </w:t>
      </w:r>
      <w:r w:rsidR="00883DF2">
        <w:rPr>
          <w:szCs w:val="24"/>
        </w:rPr>
        <w:t>(</w:t>
      </w:r>
      <w:r w:rsidR="00A921C1">
        <w:rPr>
          <w:szCs w:val="24"/>
        </w:rPr>
        <w:t>2003</w:t>
      </w:r>
      <w:r w:rsidR="00883DF2">
        <w:rPr>
          <w:szCs w:val="24"/>
        </w:rPr>
        <w:t>)</w:t>
      </w:r>
      <w:r w:rsidR="00A921C1">
        <w:rPr>
          <w:szCs w:val="24"/>
        </w:rPr>
        <w:t>. In California, our his</w:t>
      </w:r>
      <w:r w:rsidR="00A70F47">
        <w:rPr>
          <w:szCs w:val="24"/>
        </w:rPr>
        <w:t>torical burned area range (0.2–</w:t>
      </w:r>
      <w:r w:rsidR="00A921C1">
        <w:rPr>
          <w:szCs w:val="24"/>
        </w:rPr>
        <w:t xml:space="preserve">5.5%) was </w:t>
      </w:r>
      <w:r w:rsidR="00C36558">
        <w:rPr>
          <w:szCs w:val="24"/>
        </w:rPr>
        <w:t xml:space="preserve">again </w:t>
      </w:r>
      <w:r w:rsidR="00A921C1">
        <w:rPr>
          <w:szCs w:val="24"/>
        </w:rPr>
        <w:t xml:space="preserve">lower than </w:t>
      </w:r>
      <w:r w:rsidR="008B3F3A">
        <w:rPr>
          <w:szCs w:val="24"/>
        </w:rPr>
        <w:t>Lenih</w:t>
      </w:r>
      <w:r w:rsidR="00E86B0D">
        <w:rPr>
          <w:szCs w:val="24"/>
        </w:rPr>
        <w:t xml:space="preserve">an et al. </w:t>
      </w:r>
      <w:r w:rsidR="00883DF2">
        <w:rPr>
          <w:szCs w:val="24"/>
        </w:rPr>
        <w:t>(</w:t>
      </w:r>
      <w:r w:rsidR="00E86B0D">
        <w:rPr>
          <w:szCs w:val="24"/>
        </w:rPr>
        <w:t>2003</w:t>
      </w:r>
      <w:r w:rsidR="00883DF2">
        <w:rPr>
          <w:szCs w:val="24"/>
        </w:rPr>
        <w:t>)</w:t>
      </w:r>
      <w:r w:rsidR="00E86B0D">
        <w:rPr>
          <w:szCs w:val="24"/>
        </w:rPr>
        <w:t xml:space="preserve"> (approximately 5–</w:t>
      </w:r>
      <w:r w:rsidR="008B3F3A">
        <w:rPr>
          <w:szCs w:val="24"/>
        </w:rPr>
        <w:t>15%)</w:t>
      </w:r>
      <w:r w:rsidR="00656D5D">
        <w:rPr>
          <w:szCs w:val="24"/>
        </w:rPr>
        <w:t>.</w:t>
      </w:r>
      <w:r w:rsidR="00A70F47">
        <w:rPr>
          <w:szCs w:val="24"/>
        </w:rPr>
        <w:t xml:space="preserve"> </w:t>
      </w:r>
      <w:r w:rsidR="00C36558">
        <w:rPr>
          <w:szCs w:val="24"/>
        </w:rPr>
        <w:t xml:space="preserve">In </w:t>
      </w:r>
      <w:r w:rsidR="00A921C1">
        <w:t xml:space="preserve">the </w:t>
      </w:r>
      <w:r w:rsidR="003C11D7">
        <w:t xml:space="preserve">Northwest </w:t>
      </w:r>
      <w:r w:rsidR="00656D5D">
        <w:t>f</w:t>
      </w:r>
      <w:r w:rsidR="003C11D7">
        <w:t xml:space="preserve">ire </w:t>
      </w:r>
      <w:r w:rsidR="00656D5D">
        <w:t>r</w:t>
      </w:r>
      <w:r w:rsidR="003C11D7">
        <w:t>egion</w:t>
      </w:r>
      <w:r w:rsidR="00A921C1">
        <w:t xml:space="preserve">, </w:t>
      </w:r>
      <w:r w:rsidR="00C36558">
        <w:t>our</w:t>
      </w:r>
      <w:r w:rsidR="003C11D7">
        <w:t xml:space="preserve"> average of 0.643 was higher than that calculated by Rogers et al. (2011) for the Pacific Northwest (0.326). However, Rogers et al. </w:t>
      </w:r>
      <w:r w:rsidR="0097755E">
        <w:t>(</w:t>
      </w:r>
      <w:r w:rsidR="003C11D7">
        <w:t>2011) excluded areas in eastern Washington and Oregon that are included in the Northwest fire region; these areas encapsulate grass</w:t>
      </w:r>
      <w:r w:rsidR="00BE17B0">
        <w:t>-</w:t>
      </w:r>
      <w:r w:rsidR="003C11D7">
        <w:t xml:space="preserve"> and shrublands that burn more frequently than the ecosystems f</w:t>
      </w:r>
      <w:r w:rsidR="00656D5D">
        <w:t>a</w:t>
      </w:r>
      <w:r w:rsidR="003C11D7">
        <w:t>rther to the west.</w:t>
      </w:r>
      <w:r w:rsidR="00A921C1">
        <w:t xml:space="preserve"> </w:t>
      </w:r>
    </w:p>
    <w:tbl>
      <w:tblPr>
        <w:tblW w:w="8203" w:type="dxa"/>
        <w:jc w:val="center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2365"/>
        <w:gridCol w:w="1518"/>
        <w:gridCol w:w="1530"/>
        <w:gridCol w:w="1350"/>
        <w:gridCol w:w="1440"/>
      </w:tblGrid>
      <w:tr w:rsidR="00E86B0D" w:rsidRPr="00E86B0D" w:rsidTr="00E86B0D">
        <w:trPr>
          <w:jc w:val="center"/>
        </w:trPr>
        <w:tc>
          <w:tcPr>
            <w:tcW w:w="8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86B0D" w:rsidRPr="00E86B0D" w:rsidRDefault="00E86B0D" w:rsidP="00EE367D">
            <w:pPr>
              <w:spacing w:before="120"/>
              <w:rPr>
                <w:bCs/>
                <w:color w:val="000000"/>
                <w:sz w:val="21"/>
                <w:szCs w:val="21"/>
              </w:rPr>
            </w:pPr>
            <w:r w:rsidRPr="00E86B0D">
              <w:rPr>
                <w:bCs/>
                <w:color w:val="000000"/>
                <w:sz w:val="21"/>
                <w:szCs w:val="21"/>
              </w:rPr>
              <w:t xml:space="preserve">Table </w:t>
            </w:r>
            <w:r>
              <w:rPr>
                <w:bCs/>
                <w:color w:val="000000"/>
                <w:sz w:val="21"/>
                <w:szCs w:val="21"/>
              </w:rPr>
              <w:t>7.</w:t>
            </w:r>
            <w:r w:rsidRPr="00E86B0D">
              <w:rPr>
                <w:bCs/>
                <w:color w:val="000000"/>
                <w:sz w:val="21"/>
                <w:szCs w:val="21"/>
              </w:rPr>
              <w:t>1 Comparison of percent area burned across habitat types between thi</w:t>
            </w:r>
            <w:r>
              <w:rPr>
                <w:bCs/>
                <w:color w:val="000000"/>
                <w:sz w:val="21"/>
                <w:szCs w:val="21"/>
              </w:rPr>
              <w:t>s study and Leenhouts (</w:t>
            </w:r>
            <w:r w:rsidR="00656D5D">
              <w:rPr>
                <w:bCs/>
                <w:color w:val="000000"/>
                <w:sz w:val="21"/>
                <w:szCs w:val="21"/>
              </w:rPr>
              <w:t xml:space="preserve">1998, </w:t>
            </w:r>
            <w:r>
              <w:rPr>
                <w:bCs/>
                <w:color w:val="000000"/>
                <w:sz w:val="21"/>
                <w:szCs w:val="21"/>
              </w:rPr>
              <w:t>min</w:t>
            </w:r>
            <w:r w:rsidR="00656D5D">
              <w:rPr>
                <w:bCs/>
                <w:color w:val="000000"/>
                <w:sz w:val="21"/>
                <w:szCs w:val="21"/>
              </w:rPr>
              <w:t>imum</w:t>
            </w:r>
            <w:r>
              <w:rPr>
                <w:bCs/>
                <w:color w:val="000000"/>
                <w:sz w:val="21"/>
                <w:szCs w:val="21"/>
              </w:rPr>
              <w:t>-max</w:t>
            </w:r>
            <w:r w:rsidR="00656D5D">
              <w:rPr>
                <w:bCs/>
                <w:color w:val="000000"/>
                <w:sz w:val="21"/>
                <w:szCs w:val="21"/>
              </w:rPr>
              <w:t>imum</w:t>
            </w:r>
            <w:r>
              <w:rPr>
                <w:bCs/>
                <w:color w:val="000000"/>
                <w:sz w:val="21"/>
                <w:szCs w:val="21"/>
              </w:rPr>
              <w:t>)</w:t>
            </w:r>
          </w:p>
        </w:tc>
      </w:tr>
      <w:tr w:rsidR="003C11D7" w:rsidRPr="00E86B0D" w:rsidTr="00E86B0D">
        <w:trPr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E86B0D" w:rsidRDefault="003C11D7" w:rsidP="00E86B0D">
            <w:pPr>
              <w:spacing w:after="120"/>
              <w:rPr>
                <w:bCs/>
                <w:color w:val="000000"/>
                <w:sz w:val="21"/>
                <w:szCs w:val="21"/>
              </w:rPr>
            </w:pPr>
            <w:r w:rsidRPr="00E86B0D">
              <w:rPr>
                <w:bCs/>
                <w:color w:val="000000"/>
                <w:sz w:val="21"/>
                <w:szCs w:val="21"/>
              </w:rPr>
              <w:t xml:space="preserve">Vegetation </w:t>
            </w:r>
            <w:r w:rsidR="00E86B0D">
              <w:rPr>
                <w:bCs/>
                <w:color w:val="000000"/>
                <w:sz w:val="21"/>
                <w:szCs w:val="21"/>
              </w:rPr>
              <w:t>t</w:t>
            </w:r>
            <w:r w:rsidRPr="00E86B0D">
              <w:rPr>
                <w:bCs/>
                <w:color w:val="000000"/>
                <w:sz w:val="21"/>
                <w:szCs w:val="21"/>
              </w:rPr>
              <w:t>ype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C11D7" w:rsidRPr="00E86B0D" w:rsidRDefault="003C11D7" w:rsidP="00E86B0D">
            <w:pPr>
              <w:spacing w:after="120"/>
              <w:jc w:val="center"/>
              <w:rPr>
                <w:bCs/>
                <w:color w:val="000000"/>
                <w:sz w:val="21"/>
                <w:szCs w:val="21"/>
              </w:rPr>
            </w:pPr>
            <w:r w:rsidRPr="00E86B0D">
              <w:rPr>
                <w:bCs/>
                <w:color w:val="000000"/>
                <w:sz w:val="21"/>
                <w:szCs w:val="21"/>
              </w:rPr>
              <w:t xml:space="preserve">MC1 </w:t>
            </w:r>
            <w:r w:rsidR="00E86B0D" w:rsidRPr="00E86B0D">
              <w:rPr>
                <w:bCs/>
                <w:color w:val="000000"/>
                <w:sz w:val="21"/>
                <w:szCs w:val="21"/>
              </w:rPr>
              <w:t>pre-fire suppression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C11D7" w:rsidRPr="00E86B0D" w:rsidRDefault="003C11D7" w:rsidP="00E86B0D">
            <w:pPr>
              <w:spacing w:after="120"/>
              <w:jc w:val="center"/>
              <w:rPr>
                <w:bCs/>
                <w:color w:val="000000"/>
                <w:sz w:val="21"/>
                <w:szCs w:val="21"/>
              </w:rPr>
            </w:pPr>
            <w:r w:rsidRPr="00E86B0D">
              <w:rPr>
                <w:bCs/>
                <w:color w:val="000000"/>
                <w:sz w:val="21"/>
                <w:szCs w:val="21"/>
              </w:rPr>
              <w:t xml:space="preserve">Leenhouts </w:t>
            </w:r>
            <w:r w:rsidR="00E86B0D">
              <w:rPr>
                <w:bCs/>
                <w:color w:val="000000"/>
                <w:sz w:val="21"/>
                <w:szCs w:val="21"/>
              </w:rPr>
              <w:br/>
            </w:r>
            <w:r w:rsidR="00E86B0D" w:rsidRPr="00E86B0D">
              <w:rPr>
                <w:bCs/>
                <w:color w:val="000000"/>
                <w:sz w:val="21"/>
                <w:szCs w:val="21"/>
              </w:rPr>
              <w:t>pre-industrial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C11D7" w:rsidRPr="00E86B0D" w:rsidRDefault="003C11D7" w:rsidP="00E86B0D">
            <w:pPr>
              <w:spacing w:after="120"/>
              <w:jc w:val="center"/>
              <w:rPr>
                <w:bCs/>
                <w:color w:val="000000"/>
                <w:sz w:val="21"/>
                <w:szCs w:val="21"/>
              </w:rPr>
            </w:pPr>
            <w:r w:rsidRPr="00E86B0D">
              <w:rPr>
                <w:bCs/>
                <w:color w:val="000000"/>
                <w:sz w:val="21"/>
                <w:szCs w:val="21"/>
              </w:rPr>
              <w:t xml:space="preserve">MC1 </w:t>
            </w:r>
            <w:r w:rsidR="00E86B0D">
              <w:rPr>
                <w:bCs/>
                <w:color w:val="000000"/>
                <w:sz w:val="21"/>
                <w:szCs w:val="21"/>
              </w:rPr>
              <w:t>post-fire suppression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C11D7" w:rsidRPr="00E86B0D" w:rsidRDefault="003C11D7" w:rsidP="00E86B0D">
            <w:pPr>
              <w:spacing w:after="120"/>
              <w:jc w:val="center"/>
              <w:rPr>
                <w:bCs/>
                <w:color w:val="000000"/>
                <w:sz w:val="21"/>
                <w:szCs w:val="21"/>
              </w:rPr>
            </w:pPr>
            <w:r w:rsidRPr="00E86B0D">
              <w:rPr>
                <w:bCs/>
                <w:color w:val="000000"/>
                <w:sz w:val="21"/>
                <w:szCs w:val="21"/>
              </w:rPr>
              <w:t xml:space="preserve">Leenhouts </w:t>
            </w:r>
            <w:r w:rsidR="00E86B0D" w:rsidRPr="00E86B0D">
              <w:rPr>
                <w:bCs/>
                <w:color w:val="000000"/>
                <w:sz w:val="21"/>
                <w:szCs w:val="21"/>
              </w:rPr>
              <w:t>contemporary</w:t>
            </w:r>
          </w:p>
        </w:tc>
      </w:tr>
      <w:tr w:rsidR="003C11D7" w:rsidRPr="00463B87" w:rsidTr="00E86B0D">
        <w:trPr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Coniferous forests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0.01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1.21%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2.98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7.64%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2.92%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2.58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6.69%</w:t>
            </w:r>
          </w:p>
        </w:tc>
      </w:tr>
      <w:tr w:rsidR="003C11D7" w:rsidRPr="00463B87" w:rsidTr="00E86B0D">
        <w:trPr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Winter deciduous forests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2.44%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0.88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1.47%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0.25%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0.41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0.71%</w:t>
            </w:r>
          </w:p>
        </w:tc>
      </w:tr>
      <w:tr w:rsidR="003C11D7" w:rsidRPr="00463B87" w:rsidTr="00E86B0D">
        <w:trPr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Mixed forests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2.54%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7.09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14.94%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="00EB0749" w:rsidRPr="00FB0BDF">
              <w:rPr>
                <w:color w:val="000000"/>
                <w:sz w:val="21"/>
                <w:szCs w:val="21"/>
              </w:rPr>
              <w:t>0.23</w:t>
            </w:r>
            <w:r w:rsidRPr="00FB0BDF">
              <w:rPr>
                <w:color w:val="000000"/>
                <w:sz w:val="21"/>
                <w:szCs w:val="21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2.47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6.05%</w:t>
            </w:r>
          </w:p>
        </w:tc>
      </w:tr>
      <w:tr w:rsidR="003C11D7" w:rsidRPr="00463B87" w:rsidTr="00E86B0D">
        <w:trPr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Savannas and woodlands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0.23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10.53%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3.75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10.22%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0.01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4.71%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2.29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5.67%</w:t>
            </w:r>
          </w:p>
        </w:tc>
      </w:tr>
      <w:tr w:rsidR="003C11D7" w:rsidRPr="00463B87" w:rsidTr="00E86B0D">
        <w:trPr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Grasslands and shrublands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0.94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8.95%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8.22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17.58%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0.09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="00EB0749" w:rsidRPr="00FB0BDF">
              <w:rPr>
                <w:color w:val="000000"/>
                <w:sz w:val="21"/>
                <w:szCs w:val="21"/>
              </w:rPr>
              <w:t>2.19</w:t>
            </w:r>
            <w:r w:rsidRPr="00FB0BDF">
              <w:rPr>
                <w:color w:val="000000"/>
                <w:sz w:val="21"/>
                <w:szCs w:val="21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3.37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6.10%</w:t>
            </w:r>
          </w:p>
        </w:tc>
      </w:tr>
      <w:tr w:rsidR="003C11D7" w:rsidRPr="00463B87" w:rsidTr="00E86B0D">
        <w:trPr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Deserts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0.47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3.45%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1.30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3.26%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0.04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="00EB0749" w:rsidRPr="00FB0BDF">
              <w:rPr>
                <w:color w:val="000000"/>
                <w:sz w:val="21"/>
                <w:szCs w:val="21"/>
              </w:rPr>
              <w:t>0.13</w:t>
            </w:r>
            <w:r w:rsidRPr="00FB0BDF">
              <w:rPr>
                <w:color w:val="000000"/>
                <w:sz w:val="21"/>
                <w:szCs w:val="21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11D7" w:rsidRPr="00FB0BDF" w:rsidRDefault="003C11D7" w:rsidP="00E86B0D">
            <w:pPr>
              <w:keepNext/>
              <w:spacing w:after="120"/>
              <w:jc w:val="center"/>
              <w:rPr>
                <w:color w:val="000000"/>
                <w:sz w:val="21"/>
                <w:szCs w:val="21"/>
              </w:rPr>
            </w:pPr>
            <w:r w:rsidRPr="00FB0BDF">
              <w:rPr>
                <w:color w:val="000000"/>
                <w:sz w:val="21"/>
                <w:szCs w:val="21"/>
              </w:rPr>
              <w:t>1.29</w:t>
            </w:r>
            <w:r w:rsidR="00E86B0D">
              <w:rPr>
                <w:color w:val="000000"/>
                <w:sz w:val="21"/>
                <w:szCs w:val="21"/>
              </w:rPr>
              <w:t>–</w:t>
            </w:r>
            <w:r w:rsidRPr="00FB0BDF">
              <w:rPr>
                <w:color w:val="000000"/>
                <w:sz w:val="21"/>
                <w:szCs w:val="21"/>
              </w:rPr>
              <w:t>3.22%</w:t>
            </w:r>
          </w:p>
        </w:tc>
      </w:tr>
    </w:tbl>
    <w:p w:rsidR="003C11D7" w:rsidRDefault="003C11D7" w:rsidP="00AB38B9">
      <w:pPr>
        <w:rPr>
          <w:szCs w:val="24"/>
        </w:rPr>
      </w:pPr>
    </w:p>
    <w:p w:rsidR="0061619C" w:rsidRPr="007530DD" w:rsidRDefault="007530DD" w:rsidP="00E86B0D">
      <w:pPr>
        <w:rPr>
          <w:b/>
          <w:szCs w:val="24"/>
        </w:rPr>
      </w:pPr>
      <w:r w:rsidRPr="007530DD">
        <w:rPr>
          <w:b/>
          <w:szCs w:val="24"/>
        </w:rPr>
        <w:t>References</w:t>
      </w:r>
    </w:p>
    <w:p w:rsidR="008225E8" w:rsidRPr="00295964" w:rsidRDefault="008225E8" w:rsidP="008225E8">
      <w:pPr>
        <w:rPr>
          <w:sz w:val="20"/>
        </w:rPr>
      </w:pPr>
      <w:r w:rsidRPr="00295964">
        <w:rPr>
          <w:sz w:val="20"/>
        </w:rPr>
        <w:t xml:space="preserve">Bachelet D, </w:t>
      </w:r>
      <w:r>
        <w:rPr>
          <w:sz w:val="20"/>
        </w:rPr>
        <w:t>Lenihan</w:t>
      </w:r>
      <w:r w:rsidRPr="00295964">
        <w:rPr>
          <w:sz w:val="20"/>
        </w:rPr>
        <w:t xml:space="preserve"> J</w:t>
      </w:r>
      <w:r>
        <w:rPr>
          <w:sz w:val="20"/>
        </w:rPr>
        <w:t>M</w:t>
      </w:r>
      <w:r w:rsidRPr="00295964">
        <w:rPr>
          <w:sz w:val="20"/>
        </w:rPr>
        <w:t xml:space="preserve">, Daly C, Neilson RP, Ojima DS, Parton WJ </w:t>
      </w:r>
      <w:r>
        <w:rPr>
          <w:sz w:val="20"/>
        </w:rPr>
        <w:t>(</w:t>
      </w:r>
      <w:r w:rsidRPr="00295964">
        <w:rPr>
          <w:sz w:val="20"/>
        </w:rPr>
        <w:t>2001</w:t>
      </w:r>
      <w:r>
        <w:rPr>
          <w:sz w:val="20"/>
        </w:rPr>
        <w:t>)</w:t>
      </w:r>
      <w:r w:rsidRPr="00295964">
        <w:rPr>
          <w:sz w:val="20"/>
        </w:rPr>
        <w:t xml:space="preserve"> </w:t>
      </w:r>
      <w:r w:rsidRPr="00295964">
        <w:rPr>
          <w:bCs/>
          <w:sz w:val="20"/>
        </w:rPr>
        <w:t xml:space="preserve">MC1: </w:t>
      </w:r>
      <w:r>
        <w:rPr>
          <w:bCs/>
          <w:sz w:val="20"/>
        </w:rPr>
        <w:t>A</w:t>
      </w:r>
      <w:r w:rsidRPr="00295964">
        <w:rPr>
          <w:bCs/>
          <w:sz w:val="20"/>
        </w:rPr>
        <w:t xml:space="preserve"> dynamic vegetation model</w:t>
      </w:r>
      <w:r w:rsidRPr="00295964">
        <w:rPr>
          <w:sz w:val="20"/>
        </w:rPr>
        <w:t xml:space="preserve"> </w:t>
      </w:r>
      <w:r w:rsidRPr="00295964">
        <w:rPr>
          <w:bCs/>
          <w:sz w:val="20"/>
        </w:rPr>
        <w:t>for estimating the distribution of</w:t>
      </w:r>
      <w:r w:rsidRPr="00295964">
        <w:rPr>
          <w:sz w:val="20"/>
        </w:rPr>
        <w:t xml:space="preserve"> </w:t>
      </w:r>
      <w:r w:rsidRPr="00295964">
        <w:rPr>
          <w:bCs/>
          <w:sz w:val="20"/>
        </w:rPr>
        <w:t>vegetation and associated ecosystem</w:t>
      </w:r>
      <w:r w:rsidRPr="00295964">
        <w:rPr>
          <w:sz w:val="20"/>
        </w:rPr>
        <w:t xml:space="preserve"> </w:t>
      </w:r>
      <w:r w:rsidRPr="00295964">
        <w:rPr>
          <w:bCs/>
          <w:sz w:val="20"/>
        </w:rPr>
        <w:t>fluxes of carbon, nutrients, and water</w:t>
      </w:r>
      <w:r w:rsidRPr="00295964">
        <w:rPr>
          <w:sz w:val="20"/>
        </w:rPr>
        <w:t xml:space="preserve">, </w:t>
      </w:r>
      <w:r w:rsidRPr="00295964">
        <w:rPr>
          <w:bCs/>
          <w:sz w:val="20"/>
        </w:rPr>
        <w:t xml:space="preserve">technical documentation. Version 1.0. </w:t>
      </w:r>
      <w:r w:rsidRPr="00295964">
        <w:rPr>
          <w:sz w:val="20"/>
        </w:rPr>
        <w:t>General Tec</w:t>
      </w:r>
      <w:r>
        <w:rPr>
          <w:sz w:val="20"/>
        </w:rPr>
        <w:t>hnical Report PNW-GTR-508. June</w:t>
      </w:r>
    </w:p>
    <w:p w:rsidR="00A70F47" w:rsidRPr="00A70F47" w:rsidRDefault="00A70F47" w:rsidP="007530DD">
      <w:pPr>
        <w:rPr>
          <w:sz w:val="20"/>
        </w:rPr>
      </w:pPr>
      <w:r w:rsidRPr="00A70F47">
        <w:rPr>
          <w:sz w:val="20"/>
        </w:rPr>
        <w:t xml:space="preserve">Bachelet D, Neilson RP, Hickler T, Drapek RJ, Lenihan JM, Sykes MT, Smith B, Sitch S, Thonicke K (2003) Simulating past and future dynamics of natural ecosystems in the United States. </w:t>
      </w:r>
      <w:r w:rsidR="00E43E8D" w:rsidRPr="003B75B5">
        <w:rPr>
          <w:sz w:val="20"/>
        </w:rPr>
        <w:t>Glob</w:t>
      </w:r>
      <w:r w:rsidR="00E43E8D">
        <w:rPr>
          <w:sz w:val="20"/>
        </w:rPr>
        <w:t xml:space="preserve"> Biogeochem</w:t>
      </w:r>
      <w:r w:rsidR="00E43E8D" w:rsidRPr="003B75B5">
        <w:rPr>
          <w:sz w:val="20"/>
        </w:rPr>
        <w:t xml:space="preserve"> Cycles </w:t>
      </w:r>
      <w:r w:rsidRPr="00A70F47">
        <w:rPr>
          <w:sz w:val="20"/>
        </w:rPr>
        <w:t>17(2):1045. doi:10.1029/2001GB001508</w:t>
      </w:r>
    </w:p>
    <w:p w:rsidR="00A70F47" w:rsidRPr="00A70F47" w:rsidRDefault="00A70F47" w:rsidP="007530DD">
      <w:pPr>
        <w:autoSpaceDE w:val="0"/>
        <w:autoSpaceDN w:val="0"/>
        <w:adjustRightInd w:val="0"/>
        <w:rPr>
          <w:sz w:val="20"/>
        </w:rPr>
      </w:pPr>
      <w:r w:rsidRPr="00656D5D">
        <w:rPr>
          <w:sz w:val="20"/>
        </w:rPr>
        <w:t>Kuchler AW (1964) Potential natural vegetation of the conterminous United States. American</w:t>
      </w:r>
      <w:r w:rsidRPr="00A70F47">
        <w:rPr>
          <w:sz w:val="20"/>
        </w:rPr>
        <w:t xml:space="preserve"> Geographical Society, Special Publication No. 36</w:t>
      </w:r>
    </w:p>
    <w:p w:rsidR="00A70F47" w:rsidRDefault="00A70F47" w:rsidP="007530DD">
      <w:pPr>
        <w:autoSpaceDE w:val="0"/>
        <w:autoSpaceDN w:val="0"/>
        <w:adjustRightInd w:val="0"/>
        <w:rPr>
          <w:sz w:val="20"/>
        </w:rPr>
      </w:pPr>
      <w:r w:rsidRPr="00A70F47">
        <w:rPr>
          <w:sz w:val="20"/>
        </w:rPr>
        <w:lastRenderedPageBreak/>
        <w:t>Leenhouts B (1998) Assessment of biomass burning in the conterminous United States. Conservation Ecology (online) 2(1)</w:t>
      </w:r>
      <w:r w:rsidR="00345C0C">
        <w:rPr>
          <w:sz w:val="20"/>
        </w:rPr>
        <w:t>:</w:t>
      </w:r>
      <w:r w:rsidRPr="00A70F47">
        <w:rPr>
          <w:sz w:val="20"/>
        </w:rPr>
        <w:t>1. http://www.consecol.org/vol2/iss1/art1/. Accessed 16 May 2012</w:t>
      </w:r>
    </w:p>
    <w:p w:rsidR="008225E8" w:rsidRDefault="00D3262B" w:rsidP="00A70F47">
      <w:pPr>
        <w:autoSpaceDE w:val="0"/>
        <w:autoSpaceDN w:val="0"/>
        <w:adjustRightInd w:val="0"/>
        <w:rPr>
          <w:sz w:val="20"/>
        </w:rPr>
      </w:pPr>
      <w:r w:rsidRPr="008225E8">
        <w:rPr>
          <w:sz w:val="20"/>
        </w:rPr>
        <w:t>Lenihan, JM, Drapek R, B</w:t>
      </w:r>
      <w:r w:rsidRPr="00D3262B">
        <w:rPr>
          <w:sz w:val="20"/>
        </w:rPr>
        <w:t>achelet D, Neilson RP</w:t>
      </w:r>
      <w:r w:rsidRPr="008225E8">
        <w:rPr>
          <w:sz w:val="20"/>
        </w:rPr>
        <w:t xml:space="preserve"> </w:t>
      </w:r>
      <w:r>
        <w:rPr>
          <w:sz w:val="20"/>
        </w:rPr>
        <w:t>(</w:t>
      </w:r>
      <w:r w:rsidRPr="008225E8">
        <w:rPr>
          <w:sz w:val="20"/>
        </w:rPr>
        <w:t>2003</w:t>
      </w:r>
      <w:r>
        <w:rPr>
          <w:sz w:val="20"/>
        </w:rPr>
        <w:t>)</w:t>
      </w:r>
      <w:r w:rsidR="008225E8">
        <w:rPr>
          <w:sz w:val="20"/>
        </w:rPr>
        <w:t xml:space="preserve"> Climate c</w:t>
      </w:r>
      <w:r w:rsidRPr="008225E8">
        <w:rPr>
          <w:sz w:val="20"/>
        </w:rPr>
        <w:t>hange effects on vegetation distribution, carbon and fire</w:t>
      </w:r>
      <w:r w:rsidR="008225E8">
        <w:rPr>
          <w:sz w:val="20"/>
        </w:rPr>
        <w:t xml:space="preserve"> in California. Ecol Appl 13(6):</w:t>
      </w:r>
      <w:r w:rsidRPr="008225E8">
        <w:rPr>
          <w:sz w:val="20"/>
        </w:rPr>
        <w:t>1667</w:t>
      </w:r>
      <w:r w:rsidR="008225E8">
        <w:rPr>
          <w:sz w:val="20"/>
        </w:rPr>
        <w:t>–1681</w:t>
      </w:r>
    </w:p>
    <w:p w:rsidR="001D4B53" w:rsidRDefault="001D4B53" w:rsidP="001D4B53">
      <w:pPr>
        <w:rPr>
          <w:sz w:val="20"/>
        </w:rPr>
      </w:pPr>
      <w:r w:rsidRPr="0045699D">
        <w:rPr>
          <w:sz w:val="20"/>
        </w:rPr>
        <w:t>Rogers B, Neilson R, Drapek R, Lenihan J, Wells</w:t>
      </w:r>
      <w:r>
        <w:rPr>
          <w:sz w:val="20"/>
        </w:rPr>
        <w:t xml:space="preserve"> J, Bachelet</w:t>
      </w:r>
      <w:r w:rsidRPr="0045699D">
        <w:rPr>
          <w:sz w:val="20"/>
        </w:rPr>
        <w:t xml:space="preserve"> D, Law B (2011) Impacts of climate change on fire regimes and carbon stocks of the U.S. Pacific Northwest. J Geophys Res-Biogeo</w:t>
      </w:r>
      <w:r>
        <w:rPr>
          <w:sz w:val="20"/>
        </w:rPr>
        <w:t xml:space="preserve"> 116:G03037</w:t>
      </w:r>
    </w:p>
    <w:p w:rsidR="001D4B53" w:rsidRPr="00A70F47" w:rsidRDefault="001D4B53" w:rsidP="00A70F47">
      <w:pPr>
        <w:autoSpaceDE w:val="0"/>
        <w:autoSpaceDN w:val="0"/>
        <w:adjustRightInd w:val="0"/>
        <w:rPr>
          <w:sz w:val="20"/>
        </w:rPr>
      </w:pPr>
    </w:p>
    <w:sectPr w:rsidR="001D4B53" w:rsidRPr="00A70F47" w:rsidSect="00552ECC">
      <w:footerReference w:type="default" r:id="rId11"/>
      <w:pgSz w:w="12240" w:h="15840" w:code="1"/>
      <w:pgMar w:top="1411" w:right="1411" w:bottom="1138" w:left="25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531" w:rsidRDefault="00A75531" w:rsidP="0061619C">
      <w:pPr>
        <w:spacing w:after="0"/>
      </w:pPr>
      <w:r>
        <w:separator/>
      </w:r>
    </w:p>
  </w:endnote>
  <w:endnote w:type="continuationSeparator" w:id="0">
    <w:p w:rsidR="00A75531" w:rsidRDefault="00A75531" w:rsidP="006161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09833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5E73" w:rsidRDefault="008C5E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05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531" w:rsidRDefault="00A75531" w:rsidP="0061619C">
      <w:pPr>
        <w:spacing w:after="0"/>
      </w:pPr>
      <w:r>
        <w:separator/>
      </w:r>
    </w:p>
  </w:footnote>
  <w:footnote w:type="continuationSeparator" w:id="0">
    <w:p w:rsidR="00A75531" w:rsidRDefault="00A75531" w:rsidP="0061619C">
      <w:pPr>
        <w:spacing w:after="0"/>
      </w:pPr>
      <w:r>
        <w:continuationSeparator/>
      </w:r>
    </w:p>
  </w:footnote>
  <w:footnote w:id="1">
    <w:p w:rsidR="00A75531" w:rsidRDefault="00A75531">
      <w:pPr>
        <w:pStyle w:val="FootnoteText"/>
      </w:pPr>
      <w:r w:rsidRPr="008C5E73">
        <w:rPr>
          <w:rStyle w:val="FootnoteReference"/>
          <w:vertAlign w:val="baseline"/>
        </w:rPr>
        <w:footnoteRef/>
      </w:r>
      <w:r w:rsidR="00552ECC">
        <w:t>.</w:t>
      </w:r>
      <w:r>
        <w:t xml:space="preserve"> We modified the biogeography rules within the MC1 </w:t>
      </w:r>
      <w:r w:rsidR="0012251D">
        <w:t>model</w:t>
      </w:r>
      <w:r>
        <w:t xml:space="preserve"> to better classify the southeastern forests by adjusting the temperate-subtropical boundary. </w:t>
      </w:r>
      <w:r w:rsidR="0012251D">
        <w:t>We c</w:t>
      </w:r>
      <w:r>
        <w:t>hanged the minimum monthly temperature value of the tropical zone temperature threshold from 7.75</w:t>
      </w:r>
      <w:r w:rsidR="002737C9">
        <w:t>°</w:t>
      </w:r>
      <w:r>
        <w:t>C to 12.5</w:t>
      </w:r>
      <w:r w:rsidR="002737C9">
        <w:t>°</w:t>
      </w:r>
      <w:r>
        <w:t>C</w:t>
      </w:r>
      <w:r w:rsidR="0012251D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80A"/>
    <w:multiLevelType w:val="multilevel"/>
    <w:tmpl w:val="57AA895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8B9"/>
    <w:rsid w:val="00012D2F"/>
    <w:rsid w:val="000434B6"/>
    <w:rsid w:val="000C734E"/>
    <w:rsid w:val="000E4600"/>
    <w:rsid w:val="000F0BB5"/>
    <w:rsid w:val="0012251D"/>
    <w:rsid w:val="001A5EF8"/>
    <w:rsid w:val="001D4B53"/>
    <w:rsid w:val="002737C9"/>
    <w:rsid w:val="002C187A"/>
    <w:rsid w:val="0031498E"/>
    <w:rsid w:val="00345C0C"/>
    <w:rsid w:val="00385182"/>
    <w:rsid w:val="003C11D7"/>
    <w:rsid w:val="003E4722"/>
    <w:rsid w:val="003F0F7A"/>
    <w:rsid w:val="00404DA8"/>
    <w:rsid w:val="00434492"/>
    <w:rsid w:val="00463B87"/>
    <w:rsid w:val="004677FB"/>
    <w:rsid w:val="004A319C"/>
    <w:rsid w:val="00510DC3"/>
    <w:rsid w:val="00532302"/>
    <w:rsid w:val="00552ECC"/>
    <w:rsid w:val="005828A5"/>
    <w:rsid w:val="005F1922"/>
    <w:rsid w:val="005F574C"/>
    <w:rsid w:val="00600003"/>
    <w:rsid w:val="0061619C"/>
    <w:rsid w:val="00632E99"/>
    <w:rsid w:val="00656D5D"/>
    <w:rsid w:val="0066233D"/>
    <w:rsid w:val="006F6C9D"/>
    <w:rsid w:val="00752638"/>
    <w:rsid w:val="007530DD"/>
    <w:rsid w:val="0076370D"/>
    <w:rsid w:val="00796067"/>
    <w:rsid w:val="007C194A"/>
    <w:rsid w:val="007D7A5D"/>
    <w:rsid w:val="00817A73"/>
    <w:rsid w:val="008225E8"/>
    <w:rsid w:val="00826926"/>
    <w:rsid w:val="00854584"/>
    <w:rsid w:val="0086440C"/>
    <w:rsid w:val="00883DF2"/>
    <w:rsid w:val="008B3F3A"/>
    <w:rsid w:val="008C5E73"/>
    <w:rsid w:val="008D07D6"/>
    <w:rsid w:val="00921346"/>
    <w:rsid w:val="00961655"/>
    <w:rsid w:val="00971FDC"/>
    <w:rsid w:val="0097755E"/>
    <w:rsid w:val="00997C1B"/>
    <w:rsid w:val="009A0863"/>
    <w:rsid w:val="009D5C2B"/>
    <w:rsid w:val="009F60E5"/>
    <w:rsid w:val="00A36EA3"/>
    <w:rsid w:val="00A57304"/>
    <w:rsid w:val="00A70F47"/>
    <w:rsid w:val="00A75531"/>
    <w:rsid w:val="00A86E04"/>
    <w:rsid w:val="00A921C1"/>
    <w:rsid w:val="00AB38B9"/>
    <w:rsid w:val="00AE06CC"/>
    <w:rsid w:val="00AF076E"/>
    <w:rsid w:val="00B026A3"/>
    <w:rsid w:val="00B06C7A"/>
    <w:rsid w:val="00B77C00"/>
    <w:rsid w:val="00BB57AA"/>
    <w:rsid w:val="00BC4199"/>
    <w:rsid w:val="00BE17B0"/>
    <w:rsid w:val="00C017E9"/>
    <w:rsid w:val="00C30AE5"/>
    <w:rsid w:val="00C36558"/>
    <w:rsid w:val="00C857FD"/>
    <w:rsid w:val="00CA562D"/>
    <w:rsid w:val="00CC0559"/>
    <w:rsid w:val="00CE2A5D"/>
    <w:rsid w:val="00CF08B5"/>
    <w:rsid w:val="00CF7419"/>
    <w:rsid w:val="00D3262B"/>
    <w:rsid w:val="00D43812"/>
    <w:rsid w:val="00D648DF"/>
    <w:rsid w:val="00D70E53"/>
    <w:rsid w:val="00D7438D"/>
    <w:rsid w:val="00DF0A6F"/>
    <w:rsid w:val="00E224D7"/>
    <w:rsid w:val="00E43E8D"/>
    <w:rsid w:val="00E71640"/>
    <w:rsid w:val="00E86B0D"/>
    <w:rsid w:val="00EA581B"/>
    <w:rsid w:val="00EB0749"/>
    <w:rsid w:val="00ED037A"/>
    <w:rsid w:val="00EE367D"/>
    <w:rsid w:val="00F14C69"/>
    <w:rsid w:val="00F262FD"/>
    <w:rsid w:val="00F37036"/>
    <w:rsid w:val="00F974EA"/>
    <w:rsid w:val="00FB0BDF"/>
    <w:rsid w:val="00FB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8B9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AB38B9"/>
    <w:pPr>
      <w:keepNext/>
      <w:numPr>
        <w:numId w:val="1"/>
      </w:numPr>
      <w:spacing w:before="480"/>
      <w:outlineLvl w:val="0"/>
    </w:pPr>
    <w:rPr>
      <w:b/>
      <w:kern w:val="28"/>
      <w:sz w:val="40"/>
    </w:rPr>
  </w:style>
  <w:style w:type="paragraph" w:styleId="Heading2">
    <w:name w:val="heading 2"/>
    <w:basedOn w:val="Normal"/>
    <w:next w:val="Normal"/>
    <w:link w:val="Heading2Char"/>
    <w:qFormat/>
    <w:rsid w:val="00AB38B9"/>
    <w:pPr>
      <w:keepNext/>
      <w:numPr>
        <w:ilvl w:val="1"/>
        <w:numId w:val="1"/>
      </w:numPr>
      <w:spacing w:before="480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qFormat/>
    <w:rsid w:val="00AB38B9"/>
    <w:pPr>
      <w:keepNext/>
      <w:numPr>
        <w:ilvl w:val="2"/>
        <w:numId w:val="1"/>
      </w:numPr>
      <w:spacing w:before="480"/>
      <w:outlineLvl w:val="2"/>
    </w:pPr>
    <w:rPr>
      <w:b/>
    </w:rPr>
  </w:style>
  <w:style w:type="paragraph" w:styleId="Heading4">
    <w:name w:val="heading 4"/>
    <w:basedOn w:val="Heading1"/>
    <w:next w:val="Normal"/>
    <w:link w:val="Heading4Char"/>
    <w:qFormat/>
    <w:rsid w:val="00AB38B9"/>
    <w:pPr>
      <w:numPr>
        <w:ilvl w:val="3"/>
      </w:numPr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38B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B38B9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B38B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B38B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B38B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38B9"/>
    <w:rPr>
      <w:rFonts w:ascii="Times New Roman" w:eastAsia="Times New Roman" w:hAnsi="Times New Roman" w:cs="Times New Roman"/>
      <w:b/>
      <w:kern w:val="28"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B38B9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3Char">
    <w:name w:val="Heading 3 Char"/>
    <w:basedOn w:val="DefaultParagraphFont"/>
    <w:link w:val="Heading3"/>
    <w:rsid w:val="00AB38B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AB38B9"/>
    <w:rPr>
      <w:rFonts w:ascii="Times New Roman" w:eastAsia="Times New Roman" w:hAnsi="Times New Roman" w:cs="Times New Roman"/>
      <w:b/>
      <w:kern w:val="28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AB38B9"/>
    <w:rPr>
      <w:rFonts w:asciiTheme="majorHAnsi" w:eastAsiaTheme="majorEastAsia" w:hAnsiTheme="majorHAnsi" w:cstheme="majorBidi"/>
      <w:color w:val="243F60" w:themeColor="accent1" w:themeShade="7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AB38B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AB38B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AB38B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B38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9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98E"/>
    <w:rPr>
      <w:rFonts w:ascii="Tahoma" w:eastAsia="Times New Roman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31498E"/>
    <w:pPr>
      <w:spacing w:after="200"/>
    </w:pPr>
    <w:rPr>
      <w:b/>
      <w:bCs/>
      <w:color w:val="4F81BD" w:themeColor="accent1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619C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619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1619C"/>
    <w:rPr>
      <w:vertAlign w:val="superscript"/>
    </w:rPr>
  </w:style>
  <w:style w:type="table" w:styleId="TableGrid">
    <w:name w:val="Table Grid"/>
    <w:basedOn w:val="TableNormal"/>
    <w:uiPriority w:val="59"/>
    <w:rsid w:val="00404D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7530D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46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60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60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6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60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851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10">
    <w:name w:val="heading1"/>
    <w:basedOn w:val="Normal"/>
    <w:next w:val="Normal"/>
    <w:rsid w:val="00BC4199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rFonts w:ascii="Arial" w:hAnsi="Arial"/>
      <w:b/>
      <w:sz w:val="32"/>
      <w:lang w:eastAsia="de-DE"/>
    </w:rPr>
  </w:style>
  <w:style w:type="paragraph" w:customStyle="1" w:styleId="email">
    <w:name w:val="email"/>
    <w:basedOn w:val="Normal"/>
    <w:next w:val="Normal"/>
    <w:rsid w:val="00BC4199"/>
    <w:pPr>
      <w:overflowPunct w:val="0"/>
      <w:autoSpaceDE w:val="0"/>
      <w:autoSpaceDN w:val="0"/>
      <w:adjustRightInd w:val="0"/>
      <w:spacing w:before="120" w:after="0"/>
      <w:textAlignment w:val="baseline"/>
    </w:pPr>
    <w:rPr>
      <w:sz w:val="20"/>
      <w:lang w:eastAsia="de-DE"/>
    </w:rPr>
  </w:style>
  <w:style w:type="paragraph" w:customStyle="1" w:styleId="phone">
    <w:name w:val="phone"/>
    <w:basedOn w:val="email"/>
    <w:next w:val="fax"/>
    <w:rsid w:val="00BC4199"/>
  </w:style>
  <w:style w:type="paragraph" w:customStyle="1" w:styleId="fax">
    <w:name w:val="fax"/>
    <w:basedOn w:val="email"/>
    <w:next w:val="email"/>
    <w:rsid w:val="00BC4199"/>
  </w:style>
  <w:style w:type="paragraph" w:styleId="Header">
    <w:name w:val="header"/>
    <w:basedOn w:val="Normal"/>
    <w:link w:val="HeaderChar"/>
    <w:uiPriority w:val="99"/>
    <w:unhideWhenUsed/>
    <w:rsid w:val="008C5E7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C5E7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C5E7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C5E73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8B9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AB38B9"/>
    <w:pPr>
      <w:keepNext/>
      <w:numPr>
        <w:numId w:val="1"/>
      </w:numPr>
      <w:spacing w:before="480"/>
      <w:outlineLvl w:val="0"/>
    </w:pPr>
    <w:rPr>
      <w:b/>
      <w:kern w:val="28"/>
      <w:sz w:val="40"/>
    </w:rPr>
  </w:style>
  <w:style w:type="paragraph" w:styleId="Heading2">
    <w:name w:val="heading 2"/>
    <w:basedOn w:val="Normal"/>
    <w:next w:val="Normal"/>
    <w:link w:val="Heading2Char"/>
    <w:qFormat/>
    <w:rsid w:val="00AB38B9"/>
    <w:pPr>
      <w:keepNext/>
      <w:numPr>
        <w:ilvl w:val="1"/>
        <w:numId w:val="1"/>
      </w:numPr>
      <w:spacing w:before="480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qFormat/>
    <w:rsid w:val="00AB38B9"/>
    <w:pPr>
      <w:keepNext/>
      <w:numPr>
        <w:ilvl w:val="2"/>
        <w:numId w:val="1"/>
      </w:numPr>
      <w:spacing w:before="480"/>
      <w:outlineLvl w:val="2"/>
    </w:pPr>
    <w:rPr>
      <w:b/>
    </w:rPr>
  </w:style>
  <w:style w:type="paragraph" w:styleId="Heading4">
    <w:name w:val="heading 4"/>
    <w:basedOn w:val="Heading1"/>
    <w:next w:val="Normal"/>
    <w:link w:val="Heading4Char"/>
    <w:qFormat/>
    <w:rsid w:val="00AB38B9"/>
    <w:pPr>
      <w:numPr>
        <w:ilvl w:val="3"/>
      </w:numPr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38B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B38B9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B38B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B38B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B38B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B38B9"/>
    <w:rPr>
      <w:rFonts w:ascii="Times New Roman" w:eastAsia="Times New Roman" w:hAnsi="Times New Roman" w:cs="Times New Roman"/>
      <w:b/>
      <w:kern w:val="28"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B38B9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3Char">
    <w:name w:val="Heading 3 Char"/>
    <w:basedOn w:val="DefaultParagraphFont"/>
    <w:link w:val="Heading3"/>
    <w:rsid w:val="00AB38B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AB38B9"/>
    <w:rPr>
      <w:rFonts w:ascii="Times New Roman" w:eastAsia="Times New Roman" w:hAnsi="Times New Roman" w:cs="Times New Roman"/>
      <w:b/>
      <w:kern w:val="28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AB38B9"/>
    <w:rPr>
      <w:rFonts w:asciiTheme="majorHAnsi" w:eastAsiaTheme="majorEastAsia" w:hAnsiTheme="majorHAnsi" w:cstheme="majorBidi"/>
      <w:color w:val="243F60" w:themeColor="accent1" w:themeShade="7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AB38B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AB38B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AB38B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B38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9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98E"/>
    <w:rPr>
      <w:rFonts w:ascii="Tahoma" w:eastAsia="Times New Roman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31498E"/>
    <w:pPr>
      <w:spacing w:after="200"/>
    </w:pPr>
    <w:rPr>
      <w:b/>
      <w:bCs/>
      <w:color w:val="4F81BD" w:themeColor="accent1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619C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619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1619C"/>
    <w:rPr>
      <w:vertAlign w:val="superscript"/>
    </w:rPr>
  </w:style>
  <w:style w:type="table" w:styleId="TableGrid">
    <w:name w:val="Table Grid"/>
    <w:basedOn w:val="TableNormal"/>
    <w:uiPriority w:val="59"/>
    <w:rsid w:val="00404D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7530D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46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60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60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6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60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851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10">
    <w:name w:val="heading1"/>
    <w:basedOn w:val="Normal"/>
    <w:next w:val="Normal"/>
    <w:rsid w:val="00BC4199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rFonts w:ascii="Arial" w:hAnsi="Arial"/>
      <w:b/>
      <w:sz w:val="32"/>
      <w:lang w:eastAsia="de-DE"/>
    </w:rPr>
  </w:style>
  <w:style w:type="paragraph" w:customStyle="1" w:styleId="email">
    <w:name w:val="email"/>
    <w:basedOn w:val="Normal"/>
    <w:next w:val="Normal"/>
    <w:rsid w:val="00BC4199"/>
    <w:pPr>
      <w:overflowPunct w:val="0"/>
      <w:autoSpaceDE w:val="0"/>
      <w:autoSpaceDN w:val="0"/>
      <w:adjustRightInd w:val="0"/>
      <w:spacing w:before="120" w:after="0"/>
      <w:textAlignment w:val="baseline"/>
    </w:pPr>
    <w:rPr>
      <w:sz w:val="20"/>
      <w:lang w:eastAsia="de-DE"/>
    </w:rPr>
  </w:style>
  <w:style w:type="paragraph" w:customStyle="1" w:styleId="phone">
    <w:name w:val="phone"/>
    <w:basedOn w:val="email"/>
    <w:next w:val="fax"/>
    <w:rsid w:val="00BC4199"/>
  </w:style>
  <w:style w:type="paragraph" w:customStyle="1" w:styleId="fax">
    <w:name w:val="fax"/>
    <w:basedOn w:val="email"/>
    <w:next w:val="email"/>
    <w:rsid w:val="00BC4199"/>
  </w:style>
  <w:style w:type="paragraph" w:styleId="Header">
    <w:name w:val="header"/>
    <w:basedOn w:val="Normal"/>
    <w:link w:val="HeaderChar"/>
    <w:uiPriority w:val="99"/>
    <w:unhideWhenUsed/>
    <w:rsid w:val="008C5E7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C5E7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C5E7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C5E73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DMills@stratusconsult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BCC76-B7C1-4706-9B88-105F2D0F2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Jones</dc:creator>
  <cp:lastModifiedBy>Dave Mills</cp:lastModifiedBy>
  <cp:revision>2</cp:revision>
  <cp:lastPrinted>2013-08-26T20:08:00Z</cp:lastPrinted>
  <dcterms:created xsi:type="dcterms:W3CDTF">2014-01-14T23:53:00Z</dcterms:created>
  <dcterms:modified xsi:type="dcterms:W3CDTF">2014-01-14T23:53:00Z</dcterms:modified>
</cp:coreProperties>
</file>