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95E" w:rsidRDefault="0053295E" w:rsidP="0053295E">
      <w:pPr>
        <w:pStyle w:val="heading1"/>
      </w:pPr>
      <w:r>
        <w:t>Online Resource 1</w:t>
      </w:r>
    </w:p>
    <w:p w:rsidR="0053295E" w:rsidRPr="005842D0" w:rsidRDefault="0053295E" w:rsidP="0053295E">
      <w:pPr>
        <w:pStyle w:val="Title1"/>
        <w:rPr>
          <w:sz w:val="32"/>
        </w:rPr>
      </w:pPr>
      <w:r w:rsidRPr="005842D0">
        <w:rPr>
          <w:sz w:val="32"/>
        </w:rPr>
        <w:t>Joint Effects of Storm Surge and Sea-level Rise on US Coasts: New economic estimates of impacts, adaptation, and benefits of mitigation policy</w:t>
      </w:r>
    </w:p>
    <w:p w:rsidR="0053295E" w:rsidRDefault="0053295E" w:rsidP="0053295E"/>
    <w:p w:rsidR="0053295E" w:rsidRDefault="0053295E" w:rsidP="0053295E">
      <w:pPr>
        <w:pStyle w:val="author"/>
        <w:rPr>
          <w:vertAlign w:val="subscript"/>
        </w:rPr>
      </w:pPr>
      <w:r w:rsidRPr="00502145">
        <w:t xml:space="preserve">James </w:t>
      </w:r>
      <w:r>
        <w:t xml:space="preserve">E. </w:t>
      </w:r>
      <w:r w:rsidRPr="00502145">
        <w:t>Neumann</w:t>
      </w:r>
      <w:r w:rsidRPr="00502145">
        <w:rPr>
          <w:vertAlign w:val="subscript"/>
        </w:rPr>
        <w:t>1</w:t>
      </w:r>
      <w:r w:rsidRPr="00502145">
        <w:t xml:space="preserve">, </w:t>
      </w:r>
      <w:r>
        <w:t>Kerry Emanuel</w:t>
      </w:r>
      <w:r w:rsidRPr="00A35BB3">
        <w:rPr>
          <w:vertAlign w:val="subscript"/>
        </w:rPr>
        <w:t>2</w:t>
      </w:r>
      <w:r>
        <w:t>, Sai Ravela</w:t>
      </w:r>
      <w:r w:rsidRPr="00A35BB3">
        <w:rPr>
          <w:vertAlign w:val="subscript"/>
        </w:rPr>
        <w:t>2</w:t>
      </w:r>
      <w:r>
        <w:t xml:space="preserve">, </w:t>
      </w:r>
      <w:r w:rsidRPr="00502145">
        <w:t>Lindsay Ludwig</w:t>
      </w:r>
      <w:r w:rsidRPr="00502145">
        <w:rPr>
          <w:vertAlign w:val="subscript"/>
        </w:rPr>
        <w:t>1</w:t>
      </w:r>
      <w:r w:rsidRPr="00502145">
        <w:t>,</w:t>
      </w:r>
      <w:r>
        <w:t xml:space="preserve"> Paul Kirshen</w:t>
      </w:r>
      <w:r w:rsidRPr="00A35BB3">
        <w:rPr>
          <w:vertAlign w:val="subscript"/>
        </w:rPr>
        <w:t>3</w:t>
      </w:r>
      <w:r>
        <w:t>, Kirk Bosma</w:t>
      </w:r>
      <w:r w:rsidRPr="00A35BB3">
        <w:rPr>
          <w:vertAlign w:val="subscript"/>
        </w:rPr>
        <w:t>4</w:t>
      </w:r>
      <w:r>
        <w:t xml:space="preserve">, and </w:t>
      </w:r>
      <w:r w:rsidRPr="00502145">
        <w:t>Jeremy Martinich</w:t>
      </w:r>
      <w:r w:rsidRPr="00A35BB3">
        <w:rPr>
          <w:vertAlign w:val="subscript"/>
        </w:rPr>
        <w:t>5</w:t>
      </w:r>
    </w:p>
    <w:p w:rsidR="0053295E" w:rsidRPr="00502145" w:rsidRDefault="0053295E" w:rsidP="0053295E"/>
    <w:p w:rsidR="0053295E" w:rsidRDefault="0053295E" w:rsidP="0053295E">
      <w:pPr>
        <w:pStyle w:val="affiliation"/>
      </w:pPr>
      <w:r w:rsidRPr="00502145">
        <w:t xml:space="preserve">Affiliations: </w:t>
      </w:r>
    </w:p>
    <w:p w:rsidR="0053295E" w:rsidRDefault="0053295E" w:rsidP="0053295E">
      <w:pPr>
        <w:pStyle w:val="affiliation"/>
      </w:pPr>
      <w:r w:rsidRPr="00502145">
        <w:t>Industrial Economics, 2067 Massachusetts Avenue, Cambridge, MA 02140</w:t>
      </w:r>
    </w:p>
    <w:p w:rsidR="0053295E" w:rsidRDefault="0053295E" w:rsidP="0053295E">
      <w:pPr>
        <w:pStyle w:val="affiliation"/>
      </w:pPr>
      <w:r>
        <w:t>WindRiskTech, L.L.C., and Massachusetts Institute of Technology, Cambridge, MA</w:t>
      </w:r>
      <w:r w:rsidRPr="00502145">
        <w:t xml:space="preserve"> </w:t>
      </w:r>
    </w:p>
    <w:p w:rsidR="0053295E" w:rsidRPr="001B34C6" w:rsidRDefault="0053295E" w:rsidP="0053295E">
      <w:pPr>
        <w:pStyle w:val="affiliation"/>
      </w:pPr>
      <w:r w:rsidRPr="00502145">
        <w:t xml:space="preserve">University of </w:t>
      </w:r>
      <w:r>
        <w:t>New Hampshire, Durham, NH</w:t>
      </w:r>
    </w:p>
    <w:p w:rsidR="0053295E" w:rsidRDefault="0053295E" w:rsidP="0053295E">
      <w:pPr>
        <w:pStyle w:val="affiliation"/>
      </w:pPr>
      <w:r>
        <w:t>Woods Hole Group, Falmouth, MA</w:t>
      </w:r>
    </w:p>
    <w:p w:rsidR="0053295E" w:rsidRDefault="0053295E" w:rsidP="0053295E">
      <w:r w:rsidRPr="00502145">
        <w:t>USEPA, Climate Change Division</w:t>
      </w:r>
      <w:r>
        <w:t>, Washington, DC</w:t>
      </w:r>
    </w:p>
    <w:p w:rsidR="0053295E" w:rsidRDefault="0053295E" w:rsidP="0053295E">
      <w:pPr>
        <w:overflowPunct/>
        <w:autoSpaceDE/>
        <w:autoSpaceDN/>
        <w:adjustRightInd/>
        <w:spacing w:line="240" w:lineRule="auto"/>
        <w:textAlignment w:val="auto"/>
      </w:pPr>
      <w:r>
        <w:br w:type="page"/>
      </w:r>
    </w:p>
    <w:p w:rsidR="0053295E" w:rsidRDefault="0053295E" w:rsidP="0053295E">
      <w:r w:rsidRPr="00066F71">
        <w:lastRenderedPageBreak/>
        <w:t>Fig</w:t>
      </w:r>
      <w:r>
        <w:t>. 1</w:t>
      </w:r>
      <w:r w:rsidRPr="00066F71">
        <w:t xml:space="preserve"> </w:t>
      </w:r>
      <w:r>
        <w:t>Sea-level rise with dynamic ice sheet melting</w:t>
      </w:r>
    </w:p>
    <w:p w:rsidR="0053295E" w:rsidRDefault="0053295E" w:rsidP="0053295E">
      <w:pPr>
        <w:pStyle w:val="figlegend"/>
      </w:pPr>
      <w:r>
        <w:rPr>
          <w:noProof/>
          <w:lang w:val="en-PH" w:eastAsia="en-PH"/>
        </w:rPr>
        <w:drawing>
          <wp:inline distT="0" distB="0" distL="0" distR="0">
            <wp:extent cx="5114925" cy="38217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15919" cy="3822524"/>
                    </a:xfrm>
                    <a:prstGeom prst="rect">
                      <a:avLst/>
                    </a:prstGeom>
                    <a:noFill/>
                  </pic:spPr>
                </pic:pic>
              </a:graphicData>
            </a:graphic>
          </wp:inline>
        </w:drawing>
      </w:r>
    </w:p>
    <w:p w:rsidR="0053295E" w:rsidRDefault="0053295E" w:rsidP="0053295E"/>
    <w:p w:rsidR="0053295E" w:rsidRDefault="0053295E" w:rsidP="0053295E">
      <w:pPr>
        <w:overflowPunct/>
        <w:autoSpaceDE/>
        <w:autoSpaceDN/>
        <w:adjustRightInd/>
        <w:spacing w:line="240" w:lineRule="auto"/>
        <w:textAlignment w:val="auto"/>
      </w:pPr>
      <w:r>
        <w:br w:type="page"/>
      </w:r>
    </w:p>
    <w:p w:rsidR="0053295E" w:rsidRDefault="0053295E" w:rsidP="0053295E">
      <w:r>
        <w:lastRenderedPageBreak/>
        <w:t>Fig. 2 Cumulative total costs of adaptation by 2100 in the contiguous US for sea-level rise with dynamic ice sheet melting, discounted at 3% ($ million)</w:t>
      </w:r>
    </w:p>
    <w:p w:rsidR="0053295E" w:rsidRDefault="0053295E" w:rsidP="0053295E">
      <w:r>
        <w:rPr>
          <w:noProof/>
          <w:lang w:val="en-PH" w:eastAsia="en-PH"/>
        </w:rPr>
        <w:drawing>
          <wp:inline distT="0" distB="0" distL="0" distR="0">
            <wp:extent cx="4559940" cy="339242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59940" cy="3392424"/>
                    </a:xfrm>
                    <a:prstGeom prst="rect">
                      <a:avLst/>
                    </a:prstGeom>
                    <a:noFill/>
                  </pic:spPr>
                </pic:pic>
              </a:graphicData>
            </a:graphic>
          </wp:inline>
        </w:drawing>
      </w:r>
    </w:p>
    <w:p w:rsidR="0053295E" w:rsidRDefault="0053295E" w:rsidP="0053295E"/>
    <w:p w:rsidR="0053295E" w:rsidRDefault="0053295E" w:rsidP="0053295E">
      <w:r>
        <w:t>Fig. 3 Cumulative total costs of adaptation by 2100 for sea-level rise with dynamic ice sheet melting and storm surge for the 17 modeled sites only, discounted at 3% ($ million)</w:t>
      </w:r>
    </w:p>
    <w:p w:rsidR="0053295E" w:rsidRDefault="0053295E" w:rsidP="0053295E">
      <w:pPr>
        <w:pStyle w:val="reference"/>
      </w:pPr>
      <w:r>
        <w:rPr>
          <w:noProof/>
          <w:lang w:val="en-PH" w:eastAsia="en-PH"/>
        </w:rPr>
        <w:drawing>
          <wp:inline distT="0" distB="0" distL="0" distR="0">
            <wp:extent cx="4526280" cy="343088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26280" cy="3430886"/>
                    </a:xfrm>
                    <a:prstGeom prst="rect">
                      <a:avLst/>
                    </a:prstGeom>
                    <a:noFill/>
                  </pic:spPr>
                </pic:pic>
              </a:graphicData>
            </a:graphic>
          </wp:inline>
        </w:drawing>
      </w:r>
    </w:p>
    <w:p w:rsidR="0053295E" w:rsidRDefault="0053295E" w:rsidP="0053295E">
      <w:pPr>
        <w:pStyle w:val="reference"/>
        <w:sectPr w:rsidR="0053295E" w:rsidSect="0096243B">
          <w:headerReference w:type="even" r:id="rId9"/>
          <w:headerReference w:type="default" r:id="rId10"/>
          <w:headerReference w:type="first" r:id="rId11"/>
          <w:pgSz w:w="12240" w:h="15840"/>
          <w:pgMar w:top="1440" w:right="1440" w:bottom="1440" w:left="1440" w:header="720" w:footer="720" w:gutter="0"/>
          <w:cols w:space="720"/>
          <w:docGrid w:linePitch="360"/>
        </w:sectPr>
      </w:pPr>
    </w:p>
    <w:p w:rsidR="0053295E" w:rsidRDefault="0053295E" w:rsidP="0053295E">
      <w:pPr>
        <w:jc w:val="center"/>
      </w:pPr>
      <w:r w:rsidRPr="005F4DE7">
        <w:lastRenderedPageBreak/>
        <w:t>Fig. 4 Total costs of adaptation by 2100 under reference 3</w:t>
      </w:r>
      <w:r w:rsidRPr="005F4DE7">
        <w:rPr>
          <w:vertAlign w:val="superscript"/>
        </w:rPr>
        <w:t>o</w:t>
      </w:r>
      <w:r w:rsidRPr="005F4DE7">
        <w:t xml:space="preserve"> scenario with dynamic ice sheet melting, discounted at 3% ($ million)</w:t>
      </w:r>
    </w:p>
    <w:p w:rsidR="0053295E" w:rsidRDefault="0053295E" w:rsidP="0053295E">
      <w:pPr>
        <w:jc w:val="center"/>
      </w:pPr>
      <w:r>
        <w:rPr>
          <w:noProof/>
          <w:lang w:val="en-PH" w:eastAsia="en-PH"/>
        </w:rPr>
        <w:drawing>
          <wp:inline distT="0" distB="0" distL="0" distR="0">
            <wp:extent cx="7522464" cy="564184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_byStudyArea_AllUS_Discounted_2005$.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22464" cy="5641848"/>
                    </a:xfrm>
                    <a:prstGeom prst="rect">
                      <a:avLst/>
                    </a:prstGeom>
                  </pic:spPr>
                </pic:pic>
              </a:graphicData>
            </a:graphic>
          </wp:inline>
        </w:drawing>
      </w:r>
    </w:p>
    <w:p w:rsidR="0053295E" w:rsidRDefault="0053295E" w:rsidP="0053295E">
      <w:pPr>
        <w:jc w:val="center"/>
        <w:sectPr w:rsidR="0053295E" w:rsidSect="00E1251A">
          <w:pgSz w:w="15840" w:h="12240" w:orient="landscape"/>
          <w:pgMar w:top="1440" w:right="1440" w:bottom="1440" w:left="1440" w:header="720" w:footer="720" w:gutter="0"/>
          <w:cols w:space="720"/>
          <w:docGrid w:linePitch="360"/>
        </w:sectPr>
      </w:pPr>
    </w:p>
    <w:p w:rsidR="0053295E" w:rsidRDefault="0053295E" w:rsidP="0053295E">
      <w:r>
        <w:lastRenderedPageBreak/>
        <w:t>Fig. 5 Comparison of cumulative total costs of adaptation by 2100 in the contiguous US for sea-level rise with dynamic ice sheet melting with and without storm surge, discounted at 3% ($ million)</w:t>
      </w:r>
    </w:p>
    <w:p w:rsidR="0053295E" w:rsidRDefault="0053295E" w:rsidP="0053295E">
      <w:r>
        <w:rPr>
          <w:noProof/>
          <w:lang w:val="en-PH" w:eastAsia="en-PH"/>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4559935" cy="339217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59935" cy="3392170"/>
                    </a:xfrm>
                    <a:prstGeom prst="rect">
                      <a:avLst/>
                    </a:prstGeom>
                    <a:noFill/>
                  </pic:spPr>
                </pic:pic>
              </a:graphicData>
            </a:graphic>
          </wp:anchor>
        </w:drawing>
      </w:r>
      <w:r>
        <w:br w:type="textWrapping" w:clear="all"/>
      </w:r>
    </w:p>
    <w:p w:rsidR="0053295E" w:rsidRDefault="0053295E" w:rsidP="0053295E">
      <w:pPr>
        <w:overflowPunct/>
        <w:autoSpaceDE/>
        <w:adjustRightInd/>
        <w:spacing w:line="240" w:lineRule="auto"/>
        <w:textAlignment w:val="auto"/>
      </w:pPr>
    </w:p>
    <w:p w:rsidR="0053295E" w:rsidRDefault="0053295E" w:rsidP="0053295E">
      <w:r w:rsidRPr="001E0B23">
        <w:t>Fig. 6 Cumulative benefits in the contiguous US for sea-level rise with dynamic ice sheet melting with (dashed line) and without (solid line) storm surge, discounted at 3% ($ millions)</w:t>
      </w:r>
    </w:p>
    <w:p w:rsidR="0053295E" w:rsidRDefault="0053295E" w:rsidP="0053295E">
      <w:pPr>
        <w:overflowPunct/>
        <w:autoSpaceDE/>
        <w:adjustRightInd/>
        <w:spacing w:line="240" w:lineRule="auto"/>
        <w:textAlignment w:val="auto"/>
      </w:pPr>
      <w:r>
        <w:rPr>
          <w:noProof/>
          <w:lang w:val="en-PH" w:eastAsia="en-PH"/>
        </w:rPr>
        <w:lastRenderedPageBreak/>
        <w:drawing>
          <wp:inline distT="0" distB="0" distL="0" distR="0">
            <wp:extent cx="5123816" cy="339242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23816" cy="3392424"/>
                    </a:xfrm>
                    <a:prstGeom prst="rect">
                      <a:avLst/>
                    </a:prstGeom>
                    <a:noFill/>
                  </pic:spPr>
                </pic:pic>
              </a:graphicData>
            </a:graphic>
          </wp:inline>
        </w:drawing>
      </w:r>
    </w:p>
    <w:p w:rsidR="0053295E" w:rsidRDefault="0053295E" w:rsidP="0053295E">
      <w:pPr>
        <w:pStyle w:val="author"/>
      </w:pPr>
      <w:r>
        <w:br w:type="page"/>
      </w:r>
    </w:p>
    <w:p w:rsidR="0053295E" w:rsidRDefault="0053295E" w:rsidP="0053295E">
      <w:pPr>
        <w:pStyle w:val="heading1"/>
      </w:pPr>
      <w:r>
        <w:lastRenderedPageBreak/>
        <w:t>Additional Information on Climate Projections</w:t>
      </w:r>
    </w:p>
    <w:p w:rsidR="0053295E" w:rsidRDefault="0053295E" w:rsidP="0053295E">
      <w:pPr>
        <w:pStyle w:val="tablelegend"/>
        <w:rPr>
          <w:sz w:val="24"/>
          <w:szCs w:val="24"/>
        </w:rPr>
      </w:pPr>
      <w:r>
        <w:rPr>
          <w:sz w:val="24"/>
          <w:szCs w:val="24"/>
        </w:rPr>
        <w:t>Three</w:t>
      </w:r>
      <w:r w:rsidRPr="004E1C2A">
        <w:rPr>
          <w:sz w:val="24"/>
          <w:szCs w:val="24"/>
        </w:rPr>
        <w:t xml:space="preserve"> emissions scenarios are used: a reference (REF) or business as usual</w:t>
      </w:r>
      <w:r w:rsidRPr="004E1C2A" w:rsidDel="00F93CC8">
        <w:rPr>
          <w:sz w:val="24"/>
          <w:szCs w:val="24"/>
        </w:rPr>
        <w:t xml:space="preserve"> </w:t>
      </w:r>
      <w:r w:rsidRPr="004E1C2A">
        <w:rPr>
          <w:sz w:val="24"/>
          <w:szCs w:val="24"/>
        </w:rPr>
        <w:t xml:space="preserve">scenario, corresponding to a radiative forcing of </w:t>
      </w:r>
      <w:r>
        <w:rPr>
          <w:sz w:val="24"/>
          <w:szCs w:val="24"/>
        </w:rPr>
        <w:t>10.0</w:t>
      </w:r>
      <w:r w:rsidRPr="004E1C2A">
        <w:rPr>
          <w:sz w:val="24"/>
          <w:szCs w:val="24"/>
        </w:rPr>
        <w:t> W/m</w:t>
      </w:r>
      <w:r w:rsidRPr="004E1C2A">
        <w:rPr>
          <w:sz w:val="24"/>
          <w:szCs w:val="24"/>
          <w:vertAlign w:val="superscript"/>
        </w:rPr>
        <w:t>2</w:t>
      </w:r>
      <w:r w:rsidRPr="004E1C2A">
        <w:rPr>
          <w:sz w:val="24"/>
          <w:szCs w:val="24"/>
        </w:rPr>
        <w:t xml:space="preserve"> by 2100, and </w:t>
      </w:r>
      <w:r>
        <w:rPr>
          <w:sz w:val="24"/>
          <w:szCs w:val="24"/>
        </w:rPr>
        <w:t>two</w:t>
      </w:r>
      <w:r w:rsidRPr="004E1C2A">
        <w:rPr>
          <w:sz w:val="24"/>
          <w:szCs w:val="24"/>
        </w:rPr>
        <w:t xml:space="preserve"> future scenario</w:t>
      </w:r>
      <w:r>
        <w:rPr>
          <w:sz w:val="24"/>
          <w:szCs w:val="24"/>
        </w:rPr>
        <w:t>s that limit</w:t>
      </w:r>
      <w:r w:rsidRPr="004E1C2A">
        <w:rPr>
          <w:sz w:val="24"/>
          <w:szCs w:val="24"/>
        </w:rPr>
        <w:t xml:space="preserve"> global GHG emissions such that the global radiative forcing level</w:t>
      </w:r>
      <w:r>
        <w:rPr>
          <w:sz w:val="24"/>
          <w:szCs w:val="24"/>
        </w:rPr>
        <w:t>s</w:t>
      </w:r>
      <w:r w:rsidRPr="004E1C2A">
        <w:rPr>
          <w:sz w:val="24"/>
          <w:szCs w:val="24"/>
        </w:rPr>
        <w:t xml:space="preserve"> in 2100 </w:t>
      </w:r>
      <w:r>
        <w:rPr>
          <w:sz w:val="24"/>
          <w:szCs w:val="24"/>
        </w:rPr>
        <w:t>are</w:t>
      </w:r>
      <w:r w:rsidRPr="004E1C2A">
        <w:rPr>
          <w:sz w:val="24"/>
          <w:szCs w:val="24"/>
        </w:rPr>
        <w:t xml:space="preserve"> stabilized at 3.7 W/m</w:t>
      </w:r>
      <w:r w:rsidRPr="004E1C2A">
        <w:rPr>
          <w:sz w:val="24"/>
          <w:szCs w:val="24"/>
          <w:vertAlign w:val="superscript"/>
        </w:rPr>
        <w:t>2</w:t>
      </w:r>
      <w:r w:rsidRPr="004E1C2A">
        <w:rPr>
          <w:sz w:val="24"/>
          <w:szCs w:val="24"/>
        </w:rPr>
        <w:t xml:space="preserve"> (P</w:t>
      </w:r>
      <w:r>
        <w:rPr>
          <w:sz w:val="24"/>
          <w:szCs w:val="24"/>
        </w:rPr>
        <w:t xml:space="preserve">olicy </w:t>
      </w:r>
      <w:r w:rsidRPr="004E1C2A">
        <w:rPr>
          <w:sz w:val="24"/>
          <w:szCs w:val="24"/>
        </w:rPr>
        <w:t>3.7)</w:t>
      </w:r>
      <w:r>
        <w:rPr>
          <w:sz w:val="24"/>
          <w:szCs w:val="24"/>
        </w:rPr>
        <w:t xml:space="preserve"> and 4.5 W/m</w:t>
      </w:r>
      <w:r w:rsidRPr="00B22FAB">
        <w:rPr>
          <w:sz w:val="24"/>
          <w:szCs w:val="24"/>
          <w:vertAlign w:val="superscript"/>
        </w:rPr>
        <w:t>2</w:t>
      </w:r>
      <w:r>
        <w:rPr>
          <w:sz w:val="24"/>
          <w:szCs w:val="24"/>
        </w:rPr>
        <w:t xml:space="preserve"> (Policy 4.5)</w:t>
      </w:r>
      <w:r w:rsidRPr="004E1C2A">
        <w:rPr>
          <w:sz w:val="24"/>
          <w:szCs w:val="24"/>
        </w:rPr>
        <w:t xml:space="preserve">. </w:t>
      </w:r>
      <w:r>
        <w:rPr>
          <w:sz w:val="24"/>
          <w:szCs w:val="24"/>
        </w:rPr>
        <w:t xml:space="preserve"> In addition, three alternative climate sensitivity values are applied in the analyses of this paper:  2</w:t>
      </w:r>
      <w:r w:rsidRPr="004E1C2A">
        <w:rPr>
          <w:sz w:val="24"/>
          <w:szCs w:val="24"/>
        </w:rPr>
        <w:sym w:font="Symbol" w:char="F0B0"/>
      </w:r>
      <w:r w:rsidRPr="004E1C2A">
        <w:rPr>
          <w:sz w:val="24"/>
          <w:szCs w:val="24"/>
        </w:rPr>
        <w:t>C</w:t>
      </w:r>
      <w:r>
        <w:rPr>
          <w:sz w:val="24"/>
          <w:szCs w:val="24"/>
        </w:rPr>
        <w:t xml:space="preserve">, </w:t>
      </w:r>
      <w:r w:rsidRPr="004E1C2A">
        <w:rPr>
          <w:sz w:val="24"/>
          <w:szCs w:val="24"/>
        </w:rPr>
        <w:t>3</w:t>
      </w:r>
      <w:r w:rsidRPr="004E1C2A">
        <w:rPr>
          <w:sz w:val="24"/>
          <w:szCs w:val="24"/>
        </w:rPr>
        <w:sym w:font="Symbol" w:char="F0B0"/>
      </w:r>
      <w:r w:rsidRPr="004E1C2A">
        <w:rPr>
          <w:sz w:val="24"/>
          <w:szCs w:val="24"/>
        </w:rPr>
        <w:t>C</w:t>
      </w:r>
      <w:r>
        <w:rPr>
          <w:sz w:val="24"/>
          <w:szCs w:val="24"/>
        </w:rPr>
        <w:t xml:space="preserve"> and 6</w:t>
      </w:r>
      <w:r w:rsidRPr="004E1C2A">
        <w:rPr>
          <w:sz w:val="24"/>
          <w:szCs w:val="24"/>
        </w:rPr>
        <w:sym w:font="Symbol" w:char="F0B0"/>
      </w:r>
      <w:r w:rsidRPr="004E1C2A">
        <w:rPr>
          <w:sz w:val="24"/>
          <w:szCs w:val="24"/>
        </w:rPr>
        <w:t>C.</w:t>
      </w:r>
    </w:p>
    <w:p w:rsidR="0053295E" w:rsidRPr="00C568C0" w:rsidRDefault="0053295E" w:rsidP="0053295E"/>
    <w:p w:rsidR="0053295E" w:rsidRPr="0057779D" w:rsidRDefault="0053295E" w:rsidP="0053295E">
      <w:pPr>
        <w:pStyle w:val="tablelegend"/>
      </w:pPr>
      <w:r w:rsidRPr="004E1C2A">
        <w:rPr>
          <w:sz w:val="24"/>
          <w:szCs w:val="24"/>
        </w:rPr>
        <w:t>Using these scenar</w:t>
      </w:r>
      <w:r>
        <w:rPr>
          <w:sz w:val="24"/>
          <w:szCs w:val="24"/>
        </w:rPr>
        <w:t xml:space="preserve">ios, future climate projections for projecting SLR effort </w:t>
      </w:r>
      <w:r w:rsidRPr="004E1C2A">
        <w:rPr>
          <w:sz w:val="24"/>
          <w:szCs w:val="24"/>
        </w:rPr>
        <w:t xml:space="preserve">were developed </w:t>
      </w:r>
      <w:r>
        <w:rPr>
          <w:sz w:val="24"/>
          <w:szCs w:val="24"/>
        </w:rPr>
        <w:t xml:space="preserve">using </w:t>
      </w:r>
      <w:r w:rsidRPr="004E1C2A">
        <w:rPr>
          <w:sz w:val="24"/>
          <w:szCs w:val="24"/>
        </w:rPr>
        <w:t xml:space="preserve">the National Center for Atmospheric Research’s Community Atmospheric Model (Version 3), a three-dimensional atmosphere model, linked with the Integrated Global Systems Model (IGSM-CAM) </w:t>
      </w:r>
      <w:r>
        <w:rPr>
          <w:sz w:val="24"/>
          <w:szCs w:val="24"/>
        </w:rPr>
        <w:t>(Monier et al. 2013</w:t>
      </w:r>
      <w:r w:rsidRPr="004E1C2A">
        <w:rPr>
          <w:sz w:val="24"/>
          <w:szCs w:val="24"/>
        </w:rPr>
        <w:t>). A</w:t>
      </w:r>
      <w:r>
        <w:rPr>
          <w:sz w:val="24"/>
          <w:szCs w:val="24"/>
        </w:rPr>
        <w:t>s a</w:t>
      </w:r>
      <w:r w:rsidRPr="004E1C2A">
        <w:rPr>
          <w:sz w:val="24"/>
          <w:szCs w:val="24"/>
        </w:rPr>
        <w:t xml:space="preserve"> full general circulation model (GCM), IGSM-CAM generates projections that incorporate not only changes in mean climate, but also incorporates features explicitly designed to allow for year-to-year variability. </w:t>
      </w:r>
      <w:r>
        <w:rPr>
          <w:sz w:val="24"/>
          <w:szCs w:val="24"/>
        </w:rPr>
        <w:t xml:space="preserve"> Decadal SLR projections (absent dynamic ice-sheet melting) were a direct output of the IGSM model.  As described in the text, estimates that include dynamic ice sheet melting were derived </w:t>
      </w:r>
      <w:r w:rsidRPr="00973C2B">
        <w:rPr>
          <w:sz w:val="24"/>
          <w:szCs w:val="24"/>
        </w:rPr>
        <w:t>from the empirical model of Vermeer and Rahmstorf (2009)</w:t>
      </w:r>
      <w:r>
        <w:rPr>
          <w:sz w:val="24"/>
          <w:szCs w:val="24"/>
        </w:rPr>
        <w:t xml:space="preserve"> using average ambient air temperature trajectories from the IGSM model</w:t>
      </w:r>
      <w:r w:rsidRPr="00C52BA8">
        <w:rPr>
          <w:sz w:val="24"/>
          <w:szCs w:val="24"/>
        </w:rPr>
        <w:t xml:space="preserve">.  Storm surge estimates </w:t>
      </w:r>
      <w:r>
        <w:rPr>
          <w:sz w:val="24"/>
          <w:szCs w:val="24"/>
        </w:rPr>
        <w:t>derive from hurricane modeling that simulates</w:t>
      </w:r>
      <w:r w:rsidRPr="00C52BA8">
        <w:rPr>
          <w:sz w:val="24"/>
          <w:szCs w:val="24"/>
        </w:rPr>
        <w:t xml:space="preserve"> storm generation activity over the 2</w:t>
      </w:r>
      <w:r>
        <w:rPr>
          <w:sz w:val="24"/>
          <w:szCs w:val="24"/>
        </w:rPr>
        <w:t>0</w:t>
      </w:r>
      <w:r w:rsidRPr="00C52BA8">
        <w:rPr>
          <w:sz w:val="24"/>
          <w:szCs w:val="24"/>
          <w:vertAlign w:val="superscript"/>
        </w:rPr>
        <w:t>st</w:t>
      </w:r>
      <w:r w:rsidRPr="00C52BA8">
        <w:rPr>
          <w:sz w:val="24"/>
          <w:szCs w:val="24"/>
        </w:rPr>
        <w:t xml:space="preserve"> century using </w:t>
      </w:r>
      <w:r>
        <w:rPr>
          <w:sz w:val="24"/>
          <w:szCs w:val="24"/>
        </w:rPr>
        <w:t xml:space="preserve">backcasting </w:t>
      </w:r>
      <w:r w:rsidRPr="00C52BA8">
        <w:rPr>
          <w:sz w:val="24"/>
          <w:szCs w:val="24"/>
        </w:rPr>
        <w:t>results from the GFDL Climate Model for the historic period of 1956 to 2005.</w:t>
      </w:r>
      <w:r w:rsidRPr="0057779D">
        <w:t xml:space="preserve">  </w:t>
      </w:r>
    </w:p>
    <w:p w:rsidR="0053295E" w:rsidRDefault="0053295E" w:rsidP="0053295E">
      <w:pPr>
        <w:overflowPunct/>
        <w:autoSpaceDE/>
        <w:autoSpaceDN/>
        <w:adjustRightInd/>
        <w:spacing w:line="240" w:lineRule="auto"/>
        <w:textAlignment w:val="auto"/>
      </w:pPr>
    </w:p>
    <w:p w:rsidR="0053295E" w:rsidRDefault="0053295E" w:rsidP="0053295E">
      <w:pPr>
        <w:pStyle w:val="heading1"/>
      </w:pPr>
      <w:r>
        <w:t>Additional Methodological Details for EPA’s National Coastal Property Model (NCPM)</w:t>
      </w:r>
    </w:p>
    <w:p w:rsidR="0053295E" w:rsidRPr="006F6A54" w:rsidRDefault="0053295E" w:rsidP="0053295E">
      <w:r w:rsidRPr="006F6A54">
        <w:t>The overall framework of the model is presented in Figure 1. The basic structure involves arraying relevant input data, listed on the left side of Figure 1, and constructing a spatial geodatabase on a 150-m grid cell frame, which can then be analyzed to estimate response to SLR, the cost of the adaptive response, and the ‘residual damages’ that result in areas where adaptive measures are not cost-effective, and therefore flooding damages are evident.  The grid frame encompasses virtually all areas potentially vulnerable to the effects of SLR</w:t>
      </w:r>
      <w:r>
        <w:t xml:space="preserve"> and storm surge</w:t>
      </w:r>
      <w:r w:rsidRPr="006F6A54">
        <w:t xml:space="preserve">, including approximately 300 coastal counties in the continental US. </w:t>
      </w:r>
      <w:r>
        <w:t xml:space="preserve"> </w:t>
      </w:r>
      <w:r w:rsidRPr="006F6A54">
        <w:t xml:space="preserve">Most of these </w:t>
      </w:r>
      <w:r w:rsidRPr="006F6A54">
        <w:lastRenderedPageBreak/>
        <w:t xml:space="preserve">counties have direct coastal or bay frontage, but some are affected only through proximity to tidally influenced rivers and tributaries, a common geographic feature in the Southern Atlantic and Gulf regions. </w:t>
      </w:r>
      <w:r>
        <w:t xml:space="preserve"> </w:t>
      </w:r>
      <w:r w:rsidRPr="006F6A54">
        <w:t xml:space="preserve">Analysis and aggregation modules of the model, depicted in the center right and bottom right corner of Figure 1, access the site-specific data within the geodatabase (e.g., elevation) along with a series of user-defined input parameters (e.g., SLR scenario and the cost of armoring or beach nourishment), and estimate the timing and costs of adapting to SLR over time. </w:t>
      </w:r>
      <w:r>
        <w:t xml:space="preserve"> </w:t>
      </w:r>
      <w:r w:rsidRPr="006F6A54">
        <w:t xml:space="preserve">Armoring involves a hard structure of some sort—prior work and review suggests concrete structures on ocean-fronting areas, and less expensive bulkheads on bay-fronting areas—and beach nourishment involves placing sand on beach areas. </w:t>
      </w:r>
      <w:r>
        <w:t xml:space="preserve"> </w:t>
      </w:r>
      <w:r w:rsidRPr="006F6A54">
        <w:t xml:space="preserve">In all cases, long-term maintenance of structures or period re-nourishment is also required, with differential costs for each. </w:t>
      </w:r>
    </w:p>
    <w:p w:rsidR="0053295E" w:rsidRPr="006F6A54" w:rsidRDefault="0053295E" w:rsidP="0053295E"/>
    <w:p w:rsidR="0053295E" w:rsidRPr="006F6A54" w:rsidRDefault="0053295E" w:rsidP="0053295E">
      <w:r w:rsidRPr="006F6A54">
        <w:rPr>
          <w:noProof/>
          <w:lang w:val="en-PH" w:eastAsia="en-PH"/>
        </w:rPr>
        <w:lastRenderedPageBreak/>
        <w:drawing>
          <wp:inline distT="0" distB="0" distL="0" distR="0">
            <wp:extent cx="5819775" cy="7531174"/>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tif"/>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821241" cy="7533072"/>
                    </a:xfrm>
                    <a:prstGeom prst="rect">
                      <a:avLst/>
                    </a:prstGeom>
                  </pic:spPr>
                </pic:pic>
              </a:graphicData>
            </a:graphic>
          </wp:inline>
        </w:drawing>
      </w:r>
    </w:p>
    <w:p w:rsidR="0053295E" w:rsidRPr="006F6A54" w:rsidRDefault="0053295E" w:rsidP="0053295E">
      <w:r w:rsidRPr="006F6A54">
        <w:t xml:space="preserve">Some elements of the framework, particularly the optimal response model, rely extensively on earlier research by Yohe et al. </w:t>
      </w:r>
      <w:r>
        <w:t xml:space="preserve">(1996 and 2011) </w:t>
      </w:r>
      <w:r w:rsidRPr="006F6A54">
        <w:t>assessing economic impacts for</w:t>
      </w:r>
      <w:r>
        <w:t xml:space="preserve"> </w:t>
      </w:r>
      <w:r w:rsidRPr="006F6A54">
        <w:t xml:space="preserve">30 coastal US </w:t>
      </w:r>
      <w:r w:rsidRPr="006F6A54">
        <w:lastRenderedPageBreak/>
        <w:t xml:space="preserve">sites. </w:t>
      </w:r>
      <w:r>
        <w:t xml:space="preserve"> </w:t>
      </w:r>
      <w:r w:rsidRPr="006F6A54">
        <w:t>The optimal response approach is based on a simplified benefit–cost analysis of protective structures and beach nourishment relative</w:t>
      </w:r>
      <w:r>
        <w:t xml:space="preserve"> </w:t>
      </w:r>
      <w:r w:rsidRPr="006F6A54">
        <w:t xml:space="preserve">to a retreat response. </w:t>
      </w:r>
      <w:r>
        <w:t xml:space="preserve"> </w:t>
      </w:r>
      <w:r w:rsidRPr="006F6A54">
        <w:t>The planning problem expressed as a</w:t>
      </w:r>
      <w:r>
        <w:t>n</w:t>
      </w:r>
      <w:r w:rsidRPr="006F6A54">
        <w:t xml:space="preserve"> optimization problem involves choosing a time between today and 2100 to initiate a protection plan as adaptation to SLR which maximizes the following expression:</w:t>
      </w:r>
    </w:p>
    <w:p w:rsidR="0053295E" w:rsidRPr="006F6A54" w:rsidRDefault="0053295E" w:rsidP="0053295E"/>
    <w:p w:rsidR="0053295E" w:rsidRPr="006F6A54" w:rsidRDefault="0053295E" w:rsidP="0053295E">
      <w:r w:rsidRPr="006F6A54">
        <w:rPr>
          <w:i/>
          <w:iCs/>
        </w:rPr>
        <w:t>PV</w:t>
      </w:r>
      <w:r w:rsidRPr="006F6A54">
        <w:t>{</w:t>
      </w:r>
      <w:r w:rsidRPr="006F6A54">
        <w:rPr>
          <w:i/>
          <w:iCs/>
        </w:rPr>
        <w:t>B</w:t>
      </w:r>
      <w:r w:rsidRPr="006F6A54">
        <w:t>[</w:t>
      </w:r>
      <w:r w:rsidRPr="006F6A54">
        <w:rPr>
          <w:i/>
          <w:iCs/>
        </w:rPr>
        <w:t>t</w:t>
      </w:r>
      <w:r w:rsidRPr="006F6A54">
        <w:t>0,</w:t>
      </w:r>
      <w:r w:rsidRPr="006F6A54">
        <w:rPr>
          <w:i/>
          <w:iCs/>
        </w:rPr>
        <w:t>T</w:t>
      </w:r>
      <w:r w:rsidRPr="006F6A54">
        <w:t xml:space="preserve">]} </w:t>
      </w:r>
      <w:r w:rsidRPr="006F6A54">
        <w:rPr>
          <w:rFonts w:hint="eastAsia"/>
        </w:rPr>
        <w:t>−</w:t>
      </w:r>
      <w:r w:rsidRPr="006F6A54">
        <w:t xml:space="preserve"> </w:t>
      </w:r>
      <w:r w:rsidRPr="006F6A54">
        <w:rPr>
          <w:i/>
          <w:iCs/>
        </w:rPr>
        <w:t>PV</w:t>
      </w:r>
      <w:r w:rsidRPr="006F6A54">
        <w:t>{</w:t>
      </w:r>
      <w:r w:rsidRPr="006F6A54">
        <w:rPr>
          <w:i/>
          <w:iCs/>
        </w:rPr>
        <w:t>C</w:t>
      </w:r>
      <w:r w:rsidRPr="006F6A54">
        <w:t>[</w:t>
      </w:r>
      <w:r w:rsidRPr="006F6A54">
        <w:rPr>
          <w:i/>
          <w:iCs/>
        </w:rPr>
        <w:t>t</w:t>
      </w:r>
      <w:r w:rsidRPr="006F6A54">
        <w:t>0,</w:t>
      </w:r>
      <w:r w:rsidRPr="006F6A54">
        <w:rPr>
          <w:i/>
          <w:iCs/>
        </w:rPr>
        <w:t>T</w:t>
      </w:r>
      <w:r w:rsidRPr="006F6A54">
        <w:t>]} (1)</w:t>
      </w:r>
    </w:p>
    <w:p w:rsidR="0053295E" w:rsidRPr="006F6A54" w:rsidRDefault="0053295E" w:rsidP="0053295E"/>
    <w:p w:rsidR="0053295E" w:rsidRPr="006F6A54" w:rsidRDefault="0053295E" w:rsidP="0053295E">
      <w:r w:rsidRPr="006F6A54">
        <w:t xml:space="preserve">where </w:t>
      </w:r>
      <w:r w:rsidRPr="006F6A54">
        <w:rPr>
          <w:i/>
          <w:iCs/>
        </w:rPr>
        <w:t>t</w:t>
      </w:r>
      <w:r w:rsidRPr="006F6A54">
        <w:t xml:space="preserve">0 is the time when protection as adaptation is initiated, </w:t>
      </w:r>
      <w:r w:rsidRPr="006F6A54">
        <w:rPr>
          <w:i/>
          <w:iCs/>
        </w:rPr>
        <w:t xml:space="preserve">T </w:t>
      </w:r>
      <w:r w:rsidRPr="006F6A54">
        <w:t xml:space="preserve">is the time when protection that had been initiated subsequently might be abandoned, and the present value of </w:t>
      </w:r>
      <w:r w:rsidRPr="006F6A54">
        <w:rPr>
          <w:i/>
          <w:iCs/>
        </w:rPr>
        <w:t xml:space="preserve">B </w:t>
      </w:r>
      <w:r w:rsidRPr="006F6A54">
        <w:t xml:space="preserve">and </w:t>
      </w:r>
      <w:r w:rsidRPr="006F6A54">
        <w:rPr>
          <w:i/>
          <w:iCs/>
        </w:rPr>
        <w:t xml:space="preserve">C </w:t>
      </w:r>
      <w:r w:rsidRPr="006F6A54">
        <w:t xml:space="preserve">are expressions of the benefits and costs, respectively, of protection over time as a function of the choice of </w:t>
      </w:r>
      <w:r w:rsidRPr="006F6A54">
        <w:rPr>
          <w:i/>
          <w:iCs/>
        </w:rPr>
        <w:t>t</w:t>
      </w:r>
      <w:r w:rsidRPr="006F6A54">
        <w:t xml:space="preserve">0.  Prior theoretical work established that if hard structure protection prior to 2100 is optimal, then it remains optimal to continue to maintain that hard structure in perpetuity, making the otherwise difficult estimation of </w:t>
      </w:r>
      <w:r w:rsidRPr="006F6A54">
        <w:rPr>
          <w:i/>
          <w:iCs/>
        </w:rPr>
        <w:t xml:space="preserve">T </w:t>
      </w:r>
      <w:r w:rsidRPr="006F6A54">
        <w:t xml:space="preserve">irrelevant. </w:t>
      </w:r>
      <w:r>
        <w:t xml:space="preserve"> </w:t>
      </w:r>
      <w:r w:rsidRPr="006F6A54">
        <w:t xml:space="preserve">As a result, this generic model simplifies to the following decision rules. </w:t>
      </w:r>
      <w:r>
        <w:t xml:space="preserve"> </w:t>
      </w:r>
      <w:r w:rsidRPr="006F6A54">
        <w:t>First, where the cost of measures designed to protect properties from SLR is less than the benefit of avoided property value loss, the time to begin protection that maximizes Eq. (1) is earlier</w:t>
      </w:r>
      <w:r>
        <w:t xml:space="preserve"> </w:t>
      </w:r>
      <w:r w:rsidRPr="006F6A54">
        <w:t xml:space="preserve">than 2100, and the adaptation cost incurred in response to SLR is estimated as the capital cost of construction plus ongoing maintenance costs. </w:t>
      </w:r>
      <w:r>
        <w:t xml:space="preserve"> </w:t>
      </w:r>
      <w:r w:rsidRPr="006F6A54">
        <w:t xml:space="preserve">Second, where the estimated protection cost exceeds the benefit of adaptation, the expression is maximized when </w:t>
      </w:r>
      <w:r w:rsidRPr="006F6A54">
        <w:rPr>
          <w:i/>
          <w:iCs/>
        </w:rPr>
        <w:t>t</w:t>
      </w:r>
      <w:r w:rsidRPr="006F6A54">
        <w:t xml:space="preserve">0 is equal to the time horizon of the simulation, in this case 2100. </w:t>
      </w:r>
      <w:r>
        <w:t xml:space="preserve"> </w:t>
      </w:r>
      <w:r w:rsidRPr="006F6A54">
        <w:t xml:space="preserve">Then retreat (i.e., abandonment) is the estimated response to the threat, and the impact of SLR is lost structure and land value. </w:t>
      </w:r>
    </w:p>
    <w:p w:rsidR="0053295E" w:rsidRPr="006F6A54" w:rsidRDefault="0053295E" w:rsidP="0053295E"/>
    <w:p w:rsidR="0053295E" w:rsidRPr="006F6A54" w:rsidRDefault="0053295E" w:rsidP="0053295E">
      <w:r w:rsidRPr="006F6A54">
        <w:t xml:space="preserve">Projecting resources at risk involves, at minimum, estimating how real property values could appreciate—our approach links future property value to a projection of US </w:t>
      </w:r>
      <w:r>
        <w:t>g</w:t>
      </w:r>
      <w:r w:rsidRPr="006F6A54">
        <w:t xml:space="preserve">ross </w:t>
      </w:r>
      <w:r>
        <w:t>d</w:t>
      </w:r>
      <w:r w:rsidRPr="006F6A54">
        <w:t xml:space="preserve">omestic </w:t>
      </w:r>
      <w:r>
        <w:t>p</w:t>
      </w:r>
      <w:r w:rsidRPr="006F6A54">
        <w:t xml:space="preserve">roduct (GDP) developed as part of </w:t>
      </w:r>
      <w:bookmarkStart w:id="0" w:name="_GoBack"/>
      <w:bookmarkEnd w:id="0"/>
      <w:r>
        <w:t>a broader EPA project (see Neumann et al. 2014).</w:t>
      </w:r>
      <w:r w:rsidRPr="006F6A54">
        <w:t xml:space="preserve">  </w:t>
      </w:r>
    </w:p>
    <w:p w:rsidR="0053295E" w:rsidRPr="006F6A54" w:rsidRDefault="0053295E" w:rsidP="0053295E"/>
    <w:p w:rsidR="0053295E" w:rsidRDefault="0053295E" w:rsidP="0053295E">
      <w:r w:rsidRPr="006F6A54">
        <w:t>Implicit in our response analysis are two key features of the approach: (1) we estimate the optimal timing of a response, largely based on the timing of inundation and (2) abandonment decisions are irreversible, and protection and beach nourishment decisions, while theoretically reversible, are also effectively</w:t>
      </w:r>
      <w:r>
        <w:t xml:space="preserve"> </w:t>
      </w:r>
      <w:r w:rsidRPr="006F6A54">
        <w:t xml:space="preserve">permanent. </w:t>
      </w:r>
      <w:r>
        <w:t xml:space="preserve"> </w:t>
      </w:r>
      <w:r w:rsidRPr="006F6A54">
        <w:t xml:space="preserve">Estimating optimal timing demands that we rely on an SLR trajectory, rather than simply an endpoint, and also critically affects the economic cost calculations through application of a positive discount rate. </w:t>
      </w:r>
      <w:r>
        <w:t xml:space="preserve"> </w:t>
      </w:r>
      <w:r w:rsidRPr="006F6A54">
        <w:t xml:space="preserve">Irreversible decisions are not a </w:t>
      </w:r>
      <w:r w:rsidRPr="006F6A54">
        <w:lastRenderedPageBreak/>
        <w:t>requirement of the approach, but prior work suggests that, at least</w:t>
      </w:r>
      <w:r>
        <w:t xml:space="preserve"> </w:t>
      </w:r>
      <w:r w:rsidRPr="006F6A54">
        <w:t xml:space="preserve">within the optimal response paradigm, these decisions are made once and remain robust over time. </w:t>
      </w:r>
    </w:p>
    <w:p w:rsidR="0053295E" w:rsidRDefault="0053295E" w:rsidP="0053295E"/>
    <w:p w:rsidR="0053295E" w:rsidRPr="006F6A54" w:rsidRDefault="0053295E" w:rsidP="0053295E"/>
    <w:p w:rsidR="00C81D87" w:rsidRDefault="00C81D87">
      <w:pPr>
        <w:overflowPunct/>
        <w:autoSpaceDE/>
        <w:autoSpaceDN/>
        <w:adjustRightInd/>
        <w:spacing w:after="200" w:line="276" w:lineRule="auto"/>
        <w:textAlignment w:val="auto"/>
      </w:pPr>
      <w:r>
        <w:br w:type="page"/>
      </w:r>
    </w:p>
    <w:p w:rsidR="00C81D87" w:rsidRPr="005844D3" w:rsidRDefault="00C81D87" w:rsidP="005844D3">
      <w:pPr>
        <w:spacing w:before="120"/>
        <w:rPr>
          <w:b/>
        </w:rPr>
      </w:pPr>
      <w:r>
        <w:rPr>
          <w:b/>
        </w:rPr>
        <w:t>References for Online Resource 1</w:t>
      </w:r>
    </w:p>
    <w:p w:rsidR="00C81D87" w:rsidRPr="005844D3" w:rsidRDefault="00C81D87" w:rsidP="005844D3">
      <w:pPr>
        <w:rPr>
          <w:iCs/>
        </w:rPr>
      </w:pPr>
      <w:r w:rsidRPr="005844D3">
        <w:rPr>
          <w:iCs/>
        </w:rPr>
        <w:t>Monier E, Gao X, Scott J, Sokolov A, Schlosser A (2013) A framework for modeling uncertainty in regional climate change. Climatic Change</w:t>
      </w:r>
    </w:p>
    <w:p w:rsidR="00C81D87" w:rsidRPr="005844D3" w:rsidRDefault="00C81D87" w:rsidP="005844D3">
      <w:pPr>
        <w:rPr>
          <w:iCs/>
        </w:rPr>
      </w:pPr>
    </w:p>
    <w:p w:rsidR="00C81D87" w:rsidRPr="00E67DD2" w:rsidRDefault="00C81D87" w:rsidP="005844D3">
      <w:pPr>
        <w:rPr>
          <w:iCs/>
        </w:rPr>
      </w:pPr>
      <w:r>
        <w:rPr>
          <w:iCs/>
        </w:rPr>
        <w:t>Neumann JE,</w:t>
      </w:r>
      <w:r w:rsidRPr="00E67DD2">
        <w:rPr>
          <w:iCs/>
        </w:rPr>
        <w:t xml:space="preserve"> Price </w:t>
      </w:r>
      <w:r>
        <w:rPr>
          <w:iCs/>
        </w:rPr>
        <w:t xml:space="preserve">J, </w:t>
      </w:r>
      <w:r w:rsidRPr="00E67DD2">
        <w:rPr>
          <w:iCs/>
        </w:rPr>
        <w:t>Chinowsky</w:t>
      </w:r>
      <w:r>
        <w:rPr>
          <w:iCs/>
        </w:rPr>
        <w:t xml:space="preserve"> P</w:t>
      </w:r>
      <w:r w:rsidRPr="00E67DD2">
        <w:rPr>
          <w:iCs/>
        </w:rPr>
        <w:t>, Wright</w:t>
      </w:r>
      <w:r>
        <w:rPr>
          <w:iCs/>
        </w:rPr>
        <w:t xml:space="preserve"> L</w:t>
      </w:r>
      <w:r w:rsidRPr="00E67DD2">
        <w:rPr>
          <w:iCs/>
        </w:rPr>
        <w:t>, Ludwig</w:t>
      </w:r>
      <w:r>
        <w:rPr>
          <w:iCs/>
        </w:rPr>
        <w:t xml:space="preserve"> L</w:t>
      </w:r>
      <w:r w:rsidRPr="00E67DD2">
        <w:rPr>
          <w:iCs/>
        </w:rPr>
        <w:t>, Streeter</w:t>
      </w:r>
      <w:r>
        <w:rPr>
          <w:iCs/>
        </w:rPr>
        <w:t xml:space="preserve"> R</w:t>
      </w:r>
      <w:r w:rsidRPr="00E67DD2">
        <w:rPr>
          <w:iCs/>
        </w:rPr>
        <w:t>, Jones</w:t>
      </w:r>
      <w:r>
        <w:rPr>
          <w:iCs/>
        </w:rPr>
        <w:t xml:space="preserve"> R</w:t>
      </w:r>
      <w:r w:rsidRPr="00E67DD2">
        <w:rPr>
          <w:iCs/>
        </w:rPr>
        <w:t>, Smith</w:t>
      </w:r>
      <w:r>
        <w:rPr>
          <w:iCs/>
        </w:rPr>
        <w:t xml:space="preserve"> JB</w:t>
      </w:r>
      <w:r w:rsidRPr="00E67DD2">
        <w:rPr>
          <w:iCs/>
        </w:rPr>
        <w:t>, Perkins</w:t>
      </w:r>
      <w:r>
        <w:rPr>
          <w:iCs/>
        </w:rPr>
        <w:t xml:space="preserve"> W</w:t>
      </w:r>
      <w:r w:rsidRPr="00E67DD2">
        <w:rPr>
          <w:iCs/>
        </w:rPr>
        <w:t>, Jantarasami</w:t>
      </w:r>
      <w:r>
        <w:rPr>
          <w:iCs/>
        </w:rPr>
        <w:t xml:space="preserve"> L</w:t>
      </w:r>
      <w:r w:rsidRPr="00E67DD2">
        <w:rPr>
          <w:iCs/>
        </w:rPr>
        <w:t>, and Martinich</w:t>
      </w:r>
      <w:r>
        <w:rPr>
          <w:iCs/>
        </w:rPr>
        <w:t xml:space="preserve">  J</w:t>
      </w:r>
      <w:r w:rsidRPr="00E67DD2">
        <w:rPr>
          <w:iCs/>
        </w:rPr>
        <w:t xml:space="preserve">.  </w:t>
      </w:r>
      <w:r>
        <w:rPr>
          <w:iCs/>
        </w:rPr>
        <w:t>(</w:t>
      </w:r>
      <w:r w:rsidRPr="00E67DD2">
        <w:rPr>
          <w:iCs/>
        </w:rPr>
        <w:t>2014</w:t>
      </w:r>
      <w:r>
        <w:rPr>
          <w:iCs/>
        </w:rPr>
        <w:t>)</w:t>
      </w:r>
      <w:r w:rsidRPr="00E67DD2">
        <w:rPr>
          <w:iCs/>
        </w:rPr>
        <w:t xml:space="preserve">  Climate change risks to US infrastructure: impacts on roads, bridges, coastal development, and urban drainage.  Climatic Change, DOI 10.1007/s10584-013-1037-4.</w:t>
      </w:r>
    </w:p>
    <w:p w:rsidR="00C81D87" w:rsidRDefault="00C81D87" w:rsidP="005844D3">
      <w:pPr>
        <w:rPr>
          <w:iCs/>
        </w:rPr>
      </w:pPr>
    </w:p>
    <w:p w:rsidR="00C81D87" w:rsidRPr="005844D3" w:rsidRDefault="00C81D87" w:rsidP="005844D3">
      <w:pPr>
        <w:rPr>
          <w:iCs/>
        </w:rPr>
      </w:pPr>
      <w:r w:rsidRPr="005844D3">
        <w:rPr>
          <w:iCs/>
        </w:rPr>
        <w:t>Vermeer M, Rahmstorf S (2009) Global sea level linked to global temperature. Proceedings of the National Academy of Sciences 106(51): 21527-21532</w:t>
      </w:r>
    </w:p>
    <w:p w:rsidR="00C81D87" w:rsidRPr="005844D3" w:rsidRDefault="00C81D87" w:rsidP="005844D3">
      <w:pPr>
        <w:rPr>
          <w:iCs/>
        </w:rPr>
      </w:pPr>
    </w:p>
    <w:p w:rsidR="00C81D87" w:rsidRDefault="00C81D87" w:rsidP="005844D3">
      <w:pPr>
        <w:rPr>
          <w:iCs/>
        </w:rPr>
      </w:pPr>
      <w:r w:rsidRPr="00E67DD2">
        <w:rPr>
          <w:iCs/>
        </w:rPr>
        <w:t>Yohe, G</w:t>
      </w:r>
      <w:r>
        <w:rPr>
          <w:iCs/>
        </w:rPr>
        <w:t>,</w:t>
      </w:r>
      <w:r w:rsidRPr="00E67DD2">
        <w:rPr>
          <w:iCs/>
        </w:rPr>
        <w:t xml:space="preserve"> Neumann, </w:t>
      </w:r>
      <w:r>
        <w:rPr>
          <w:iCs/>
        </w:rPr>
        <w:t xml:space="preserve">JE, Marshall, P </w:t>
      </w:r>
      <w:r w:rsidRPr="00E67DD2">
        <w:rPr>
          <w:iCs/>
        </w:rPr>
        <w:t>and Ameden</w:t>
      </w:r>
      <w:r>
        <w:rPr>
          <w:iCs/>
        </w:rPr>
        <w:t>, H</w:t>
      </w:r>
      <w:r w:rsidRPr="00E67DD2">
        <w:rPr>
          <w:iCs/>
        </w:rPr>
        <w:t xml:space="preserve">.  </w:t>
      </w:r>
      <w:r>
        <w:rPr>
          <w:iCs/>
        </w:rPr>
        <w:t xml:space="preserve">(1996) </w:t>
      </w:r>
      <w:r w:rsidRPr="00E67DD2">
        <w:rPr>
          <w:iCs/>
        </w:rPr>
        <w:t>The Economic Cost of Greenhouse Induced Sea Level Rise in the United States</w:t>
      </w:r>
      <w:r>
        <w:rPr>
          <w:iCs/>
        </w:rPr>
        <w:t xml:space="preserve">. </w:t>
      </w:r>
      <w:r w:rsidRPr="00E67DD2">
        <w:rPr>
          <w:iCs/>
        </w:rPr>
        <w:t xml:space="preserve"> Clima</w:t>
      </w:r>
      <w:r>
        <w:rPr>
          <w:iCs/>
        </w:rPr>
        <w:t xml:space="preserve">tic Change.  32: 387-410. </w:t>
      </w:r>
    </w:p>
    <w:p w:rsidR="00C81D87" w:rsidRPr="00E67DD2" w:rsidRDefault="00C81D87" w:rsidP="005844D3">
      <w:pPr>
        <w:rPr>
          <w:iCs/>
        </w:rPr>
      </w:pPr>
    </w:p>
    <w:p w:rsidR="00C81D87" w:rsidRDefault="00C81D87" w:rsidP="005844D3">
      <w:r w:rsidRPr="0053689F">
        <w:t>Yohe</w:t>
      </w:r>
      <w:r>
        <w:t>, G, Knee, K, and Kirshen, P (2011)</w:t>
      </w:r>
      <w:r w:rsidRPr="0053689F">
        <w:t xml:space="preserve"> On the </w:t>
      </w:r>
      <w:r>
        <w:t>e</w:t>
      </w:r>
      <w:r w:rsidRPr="0053689F">
        <w:t xml:space="preserve">conomics of </w:t>
      </w:r>
      <w:r>
        <w:t>c</w:t>
      </w:r>
      <w:r w:rsidRPr="0053689F">
        <w:t xml:space="preserve">oastal </w:t>
      </w:r>
      <w:r>
        <w:t>a</w:t>
      </w:r>
      <w:r w:rsidRPr="0053689F">
        <w:t xml:space="preserve">daptation </w:t>
      </w:r>
      <w:r>
        <w:t>s</w:t>
      </w:r>
      <w:r w:rsidRPr="0053689F">
        <w:t xml:space="preserve">olutions in an </w:t>
      </w:r>
      <w:r>
        <w:t>u</w:t>
      </w:r>
      <w:r w:rsidRPr="0053689F">
        <w:t xml:space="preserve">ncertain </w:t>
      </w:r>
      <w:r>
        <w:t>w</w:t>
      </w:r>
      <w:r w:rsidRPr="0053689F">
        <w:t xml:space="preserve">orld, </w:t>
      </w:r>
      <w:r>
        <w:t>Climatic Change, 106:71–92</w:t>
      </w:r>
      <w:r w:rsidRPr="0053689F">
        <w:t>.</w:t>
      </w:r>
    </w:p>
    <w:p w:rsidR="00C81D87" w:rsidRDefault="00C81D87"/>
    <w:p w:rsidR="006D78DE" w:rsidRDefault="00C81D87"/>
    <w:sectPr w:rsidR="006D78DE" w:rsidSect="002826C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26C9" w:rsidRDefault="002826C9" w:rsidP="002826C9">
      <w:pPr>
        <w:spacing w:line="240" w:lineRule="auto"/>
      </w:pPr>
      <w:r>
        <w:separator/>
      </w:r>
    </w:p>
  </w:endnote>
  <w:endnote w:type="continuationSeparator" w:id="0">
    <w:p w:rsidR="002826C9" w:rsidRDefault="002826C9" w:rsidP="002826C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26C9" w:rsidRDefault="002826C9" w:rsidP="002826C9">
      <w:pPr>
        <w:spacing w:line="240" w:lineRule="auto"/>
      </w:pPr>
      <w:r>
        <w:separator/>
      </w:r>
    </w:p>
  </w:footnote>
  <w:footnote w:type="continuationSeparator" w:id="0">
    <w:p w:rsidR="002826C9" w:rsidRDefault="002826C9" w:rsidP="002826C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90B" w:rsidRDefault="002826C9">
    <w:pPr>
      <w:pStyle w:val="Header"/>
    </w:pPr>
    <w:r w:rsidRPr="002826C9">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99.85pt;height:59.95pt;rotation:315;z-index:-251656192;mso-position-horizontal:center;mso-position-horizontal-relative:margin;mso-position-vertical:center;mso-position-vertical-relative:margin" o:allowincell="f" fillcolor="silver" stroked="f">
          <v:fill opacity=".5"/>
          <v:textpath style="font-family:&quot;Times New Roman&quot;;font-size:1pt" string="DRAFT WORKING PAPER"/>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90B" w:rsidRPr="00F14C03" w:rsidRDefault="00C81D87" w:rsidP="00F14C0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90B" w:rsidRDefault="002826C9">
    <w:pPr>
      <w:pStyle w:val="Header"/>
    </w:pPr>
    <w:r w:rsidRPr="002826C9">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margin-left:0;margin-top:0;width:599.85pt;height:59.95pt;rotation:315;z-index:-251657216;mso-position-horizontal:center;mso-position-horizontal-relative:margin;mso-position-vertical:center;mso-position-vertical-relative:margin" o:allowincell="f" fillcolor="silver" stroked="f">
          <v:fill opacity=".5"/>
          <v:textpath style="font-family:&quot;Times New Roman&quot;;font-size:1pt" string="DRAFT WORKING PAPER"/>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53295E"/>
    <w:rsid w:val="00244EC6"/>
    <w:rsid w:val="002826C9"/>
    <w:rsid w:val="0053295E"/>
    <w:rsid w:val="005A69DB"/>
    <w:rsid w:val="00AE5D80"/>
    <w:rsid w:val="00C81D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95E"/>
    <w:pPr>
      <w:overflowPunct w:val="0"/>
      <w:autoSpaceDE w:val="0"/>
      <w:autoSpaceDN w:val="0"/>
      <w:adjustRightInd w:val="0"/>
      <w:spacing w:after="0" w:line="360" w:lineRule="auto"/>
      <w:textAlignment w:val="baseline"/>
    </w:pPr>
    <w:rPr>
      <w:rFonts w:ascii="Times New Roman" w:eastAsia="Times New Roman" w:hAnsi="Times New Roman" w:cs="Times New Roman"/>
      <w:sz w:val="24"/>
      <w:szCs w:val="20"/>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3295E"/>
    <w:pPr>
      <w:tabs>
        <w:tab w:val="center" w:pos="4536"/>
        <w:tab w:val="right" w:pos="9072"/>
      </w:tabs>
    </w:pPr>
  </w:style>
  <w:style w:type="character" w:customStyle="1" w:styleId="HeaderChar">
    <w:name w:val="Header Char"/>
    <w:basedOn w:val="DefaultParagraphFont"/>
    <w:link w:val="Header"/>
    <w:rsid w:val="0053295E"/>
    <w:rPr>
      <w:rFonts w:ascii="Times New Roman" w:eastAsia="Times New Roman" w:hAnsi="Times New Roman" w:cs="Times New Roman"/>
      <w:sz w:val="24"/>
      <w:szCs w:val="20"/>
      <w:lang w:eastAsia="de-DE"/>
    </w:rPr>
  </w:style>
  <w:style w:type="paragraph" w:customStyle="1" w:styleId="Title1">
    <w:name w:val="Title1"/>
    <w:basedOn w:val="Normal"/>
    <w:next w:val="author"/>
    <w:rsid w:val="0053295E"/>
    <w:rPr>
      <w:rFonts w:ascii="Arial" w:hAnsi="Arial"/>
      <w:b/>
      <w:sz w:val="36"/>
    </w:rPr>
  </w:style>
  <w:style w:type="paragraph" w:customStyle="1" w:styleId="heading1">
    <w:name w:val="heading1"/>
    <w:basedOn w:val="Normal"/>
    <w:next w:val="Normal"/>
    <w:rsid w:val="0053295E"/>
    <w:pPr>
      <w:keepNext/>
      <w:spacing w:before="240" w:after="180"/>
    </w:pPr>
    <w:rPr>
      <w:rFonts w:ascii="Arial" w:hAnsi="Arial"/>
      <w:b/>
      <w:sz w:val="32"/>
    </w:rPr>
  </w:style>
  <w:style w:type="paragraph" w:customStyle="1" w:styleId="author">
    <w:name w:val="author"/>
    <w:basedOn w:val="Normal"/>
    <w:next w:val="affiliation"/>
    <w:rsid w:val="0053295E"/>
    <w:pPr>
      <w:spacing w:before="120"/>
    </w:pPr>
  </w:style>
  <w:style w:type="paragraph" w:customStyle="1" w:styleId="affiliation">
    <w:name w:val="affiliation"/>
    <w:basedOn w:val="Normal"/>
    <w:next w:val="Normal"/>
    <w:rsid w:val="0053295E"/>
    <w:pPr>
      <w:spacing w:before="120" w:line="240" w:lineRule="auto"/>
    </w:pPr>
    <w:rPr>
      <w:i/>
    </w:rPr>
  </w:style>
  <w:style w:type="paragraph" w:customStyle="1" w:styleId="reference">
    <w:name w:val="reference"/>
    <w:basedOn w:val="Normal"/>
    <w:rsid w:val="0053295E"/>
    <w:rPr>
      <w:sz w:val="20"/>
    </w:rPr>
  </w:style>
  <w:style w:type="paragraph" w:customStyle="1" w:styleId="figlegend">
    <w:name w:val="figlegend"/>
    <w:basedOn w:val="Normal"/>
    <w:next w:val="Normal"/>
    <w:rsid w:val="0053295E"/>
    <w:pPr>
      <w:spacing w:before="120"/>
    </w:pPr>
    <w:rPr>
      <w:sz w:val="20"/>
    </w:rPr>
  </w:style>
  <w:style w:type="paragraph" w:customStyle="1" w:styleId="tablelegend">
    <w:name w:val="tablelegend"/>
    <w:basedOn w:val="Normal"/>
    <w:next w:val="Normal"/>
    <w:rsid w:val="0053295E"/>
    <w:pPr>
      <w:spacing w:before="120"/>
    </w:pPr>
    <w:rPr>
      <w:sz w:val="20"/>
    </w:rPr>
  </w:style>
  <w:style w:type="paragraph" w:styleId="BalloonText">
    <w:name w:val="Balloon Text"/>
    <w:basedOn w:val="Normal"/>
    <w:link w:val="BalloonTextChar"/>
    <w:uiPriority w:val="99"/>
    <w:semiHidden/>
    <w:unhideWhenUsed/>
    <w:rsid w:val="0053295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95E"/>
    <w:rPr>
      <w:rFonts w:ascii="Tahoma" w:eastAsia="Times New Roman" w:hAnsi="Tahoma" w:cs="Tahoma"/>
      <w:sz w:val="16"/>
      <w:szCs w:val="16"/>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95E"/>
    <w:pPr>
      <w:overflowPunct w:val="0"/>
      <w:autoSpaceDE w:val="0"/>
      <w:autoSpaceDN w:val="0"/>
      <w:adjustRightInd w:val="0"/>
      <w:spacing w:after="0" w:line="360" w:lineRule="auto"/>
      <w:textAlignment w:val="baseline"/>
    </w:pPr>
    <w:rPr>
      <w:rFonts w:ascii="Times New Roman" w:eastAsia="Times New Roman" w:hAnsi="Times New Roman" w:cs="Times New Roman"/>
      <w:sz w:val="24"/>
      <w:szCs w:val="20"/>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3295E"/>
    <w:pPr>
      <w:tabs>
        <w:tab w:val="center" w:pos="4536"/>
        <w:tab w:val="right" w:pos="9072"/>
      </w:tabs>
    </w:pPr>
  </w:style>
  <w:style w:type="character" w:customStyle="1" w:styleId="HeaderChar">
    <w:name w:val="Header Char"/>
    <w:basedOn w:val="DefaultParagraphFont"/>
    <w:link w:val="Header"/>
    <w:rsid w:val="0053295E"/>
    <w:rPr>
      <w:rFonts w:ascii="Times New Roman" w:eastAsia="Times New Roman" w:hAnsi="Times New Roman" w:cs="Times New Roman"/>
      <w:sz w:val="24"/>
      <w:szCs w:val="20"/>
      <w:lang w:eastAsia="de-DE"/>
    </w:rPr>
  </w:style>
  <w:style w:type="paragraph" w:customStyle="1" w:styleId="Title1">
    <w:name w:val="Title1"/>
    <w:basedOn w:val="Normal"/>
    <w:next w:val="author"/>
    <w:rsid w:val="0053295E"/>
    <w:rPr>
      <w:rFonts w:ascii="Arial" w:hAnsi="Arial"/>
      <w:b/>
      <w:sz w:val="36"/>
    </w:rPr>
  </w:style>
  <w:style w:type="paragraph" w:customStyle="1" w:styleId="heading1">
    <w:name w:val="heading1"/>
    <w:basedOn w:val="Normal"/>
    <w:next w:val="Normal"/>
    <w:rsid w:val="0053295E"/>
    <w:pPr>
      <w:keepNext/>
      <w:spacing w:before="240" w:after="180"/>
    </w:pPr>
    <w:rPr>
      <w:rFonts w:ascii="Arial" w:hAnsi="Arial"/>
      <w:b/>
      <w:sz w:val="32"/>
    </w:rPr>
  </w:style>
  <w:style w:type="paragraph" w:customStyle="1" w:styleId="author">
    <w:name w:val="author"/>
    <w:basedOn w:val="Normal"/>
    <w:next w:val="affiliation"/>
    <w:rsid w:val="0053295E"/>
    <w:pPr>
      <w:spacing w:before="120"/>
    </w:pPr>
  </w:style>
  <w:style w:type="paragraph" w:customStyle="1" w:styleId="affiliation">
    <w:name w:val="affiliation"/>
    <w:basedOn w:val="Normal"/>
    <w:next w:val="Normal"/>
    <w:rsid w:val="0053295E"/>
    <w:pPr>
      <w:spacing w:before="120" w:line="240" w:lineRule="auto"/>
    </w:pPr>
    <w:rPr>
      <w:i/>
    </w:rPr>
  </w:style>
  <w:style w:type="paragraph" w:customStyle="1" w:styleId="reference">
    <w:name w:val="reference"/>
    <w:basedOn w:val="Normal"/>
    <w:rsid w:val="0053295E"/>
    <w:rPr>
      <w:sz w:val="20"/>
    </w:rPr>
  </w:style>
  <w:style w:type="paragraph" w:customStyle="1" w:styleId="figlegend">
    <w:name w:val="figlegend"/>
    <w:basedOn w:val="Normal"/>
    <w:next w:val="Normal"/>
    <w:rsid w:val="0053295E"/>
    <w:pPr>
      <w:spacing w:before="120"/>
    </w:pPr>
    <w:rPr>
      <w:sz w:val="20"/>
    </w:rPr>
  </w:style>
  <w:style w:type="paragraph" w:customStyle="1" w:styleId="tablelegend">
    <w:name w:val="tablelegend"/>
    <w:basedOn w:val="Normal"/>
    <w:next w:val="Normal"/>
    <w:rsid w:val="0053295E"/>
    <w:pPr>
      <w:spacing w:before="120"/>
    </w:pPr>
    <w:rPr>
      <w:sz w:val="20"/>
    </w:rPr>
  </w:style>
  <w:style w:type="paragraph" w:styleId="BalloonText">
    <w:name w:val="Balloon Text"/>
    <w:basedOn w:val="Normal"/>
    <w:link w:val="BalloonTextChar"/>
    <w:uiPriority w:val="99"/>
    <w:semiHidden/>
    <w:unhideWhenUsed/>
    <w:rsid w:val="0053295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95E"/>
    <w:rPr>
      <w:rFonts w:ascii="Tahoma" w:eastAsia="Times New Roman" w:hAnsi="Tahoma" w:cs="Tahoma"/>
      <w:sz w:val="16"/>
      <w:szCs w:val="16"/>
      <w:lang w:eastAsia="de-D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png"/><Relationship Id="rId1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image" Target="media/image7.tiff"/><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1266</Words>
  <Characters>7219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Industrial Economics Inc.</Company>
  <LinksUpToDate>false</LinksUpToDate>
  <CharactersWithSpaces>8469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Neumann</dc:creator>
  <cp:lastModifiedBy>asarona</cp:lastModifiedBy>
  <cp:revision>3</cp:revision>
  <dcterms:created xsi:type="dcterms:W3CDTF">2014-03-07T15:05:00Z</dcterms:created>
  <dcterms:modified xsi:type="dcterms:W3CDTF">2014-12-06T21:02:00Z</dcterms:modified>
</cp:coreProperties>
</file>