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D5" w:rsidRDefault="002924D5" w:rsidP="002924D5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color w:val="141314"/>
          <w:sz w:val="28"/>
          <w:szCs w:val="28"/>
        </w:rPr>
      </w:pPr>
      <w:r w:rsidRPr="00A64CA9">
        <w:rPr>
          <w:rFonts w:ascii="Times New Roman" w:hAnsi="Times New Roman"/>
          <w:b/>
          <w:color w:val="141314"/>
          <w:sz w:val="28"/>
          <w:szCs w:val="28"/>
        </w:rPr>
        <w:t>Drought Tolerant maize for f</w:t>
      </w:r>
      <w:r>
        <w:rPr>
          <w:rFonts w:ascii="Times New Roman" w:hAnsi="Times New Roman"/>
          <w:b/>
          <w:color w:val="141314"/>
          <w:sz w:val="28"/>
          <w:szCs w:val="28"/>
        </w:rPr>
        <w:t>armer adaptation to drought in s</w:t>
      </w:r>
      <w:r w:rsidRPr="00A64CA9">
        <w:rPr>
          <w:rFonts w:ascii="Times New Roman" w:hAnsi="Times New Roman"/>
          <w:b/>
          <w:color w:val="141314"/>
          <w:sz w:val="28"/>
          <w:szCs w:val="28"/>
        </w:rPr>
        <w:t xml:space="preserve">ub-Saharan Africa: Determinants of adoption </w:t>
      </w:r>
      <w:r>
        <w:rPr>
          <w:rFonts w:ascii="Times New Roman" w:hAnsi="Times New Roman"/>
          <w:b/>
          <w:color w:val="141314"/>
          <w:sz w:val="28"/>
          <w:szCs w:val="28"/>
        </w:rPr>
        <w:t>in East and Southern Africa: Fisher et al.</w:t>
      </w:r>
    </w:p>
    <w:p w:rsidR="002924D5" w:rsidRPr="00A64CA9" w:rsidRDefault="00F42142" w:rsidP="002924D5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color w:val="141314"/>
          <w:sz w:val="28"/>
          <w:szCs w:val="28"/>
        </w:rPr>
      </w:pPr>
      <w:r>
        <w:rPr>
          <w:rFonts w:ascii="Times New Roman" w:hAnsi="Times New Roman"/>
          <w:b/>
          <w:color w:val="141314"/>
          <w:sz w:val="28"/>
          <w:szCs w:val="28"/>
        </w:rPr>
        <w:t>Supplemental Resource 1</w:t>
      </w:r>
    </w:p>
    <w:p w:rsidR="002924D5" w:rsidRDefault="002924D5" w:rsidP="00EE6E8B">
      <w:pPr>
        <w:autoSpaceDE w:val="0"/>
        <w:autoSpaceDN w:val="0"/>
        <w:adjustRightInd w:val="0"/>
        <w:spacing w:after="0" w:line="240" w:lineRule="auto"/>
        <w:jc w:val="both"/>
      </w:pPr>
    </w:p>
    <w:p w:rsidR="002924D5" w:rsidRDefault="002924D5">
      <w:r>
        <w:br w:type="page"/>
      </w:r>
    </w:p>
    <w:p w:rsidR="00841805" w:rsidRDefault="00415B75" w:rsidP="00292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B7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7691718"/>
            <wp:effectExtent l="0" t="0" r="0" b="5080"/>
            <wp:docPr id="4" name="Picture 4" descr="C:\Users\Monica\AppData\Local\Temp\MaizeMegaEnvironmens_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ca\AppData\Local\Temp\MaizeMegaEnvironmens_v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4D5" w:rsidRPr="002924D5">
        <w:rPr>
          <w:rFonts w:ascii="Times New Roman" w:hAnsi="Times New Roman" w:cs="Times New Roman"/>
          <w:sz w:val="24"/>
          <w:szCs w:val="24"/>
        </w:rPr>
        <w:t>Figure S1.</w:t>
      </w:r>
      <w:r w:rsidR="002924D5">
        <w:rPr>
          <w:rFonts w:ascii="Times New Roman" w:hAnsi="Times New Roman" w:cs="Times New Roman"/>
          <w:sz w:val="24"/>
          <w:szCs w:val="24"/>
        </w:rPr>
        <w:t xml:space="preserve"> Maize Mega</w:t>
      </w:r>
      <w:r w:rsidR="00841805">
        <w:rPr>
          <w:rFonts w:ascii="Times New Roman" w:hAnsi="Times New Roman" w:cs="Times New Roman"/>
          <w:sz w:val="24"/>
          <w:szCs w:val="24"/>
        </w:rPr>
        <w:t>-</w:t>
      </w:r>
      <w:r w:rsidR="002924D5">
        <w:rPr>
          <w:rFonts w:ascii="Times New Roman" w:hAnsi="Times New Roman" w:cs="Times New Roman"/>
          <w:sz w:val="24"/>
          <w:szCs w:val="24"/>
        </w:rPr>
        <w:t xml:space="preserve">Environments for Ethiopia, Tanzania, Uganda, Malawi, Zambia, and Zimbabwe. </w:t>
      </w:r>
      <w:r w:rsidR="00841805">
        <w:rPr>
          <w:rFonts w:ascii="Times New Roman" w:hAnsi="Times New Roman" w:cs="Times New Roman"/>
          <w:sz w:val="24"/>
          <w:szCs w:val="24"/>
        </w:rPr>
        <w:t>A m</w:t>
      </w:r>
      <w:r w:rsidR="002924D5" w:rsidRPr="002924D5">
        <w:rPr>
          <w:rFonts w:ascii="Times New Roman" w:hAnsi="Times New Roman" w:cs="Times New Roman"/>
          <w:sz w:val="24"/>
          <w:szCs w:val="24"/>
        </w:rPr>
        <w:t xml:space="preserve">aize mega environment </w:t>
      </w:r>
      <w:r w:rsidR="00841805">
        <w:rPr>
          <w:rFonts w:ascii="Times New Roman" w:hAnsi="Times New Roman" w:cs="Times New Roman"/>
          <w:sz w:val="24"/>
          <w:szCs w:val="24"/>
        </w:rPr>
        <w:t xml:space="preserve">(MME) is an area growing &gt; 1 </w:t>
      </w:r>
      <w:proofErr w:type="spellStart"/>
      <w:r w:rsidR="00841805">
        <w:rPr>
          <w:rFonts w:ascii="Times New Roman" w:hAnsi="Times New Roman" w:cs="Times New Roman"/>
          <w:sz w:val="24"/>
          <w:szCs w:val="24"/>
        </w:rPr>
        <w:t>Mha</w:t>
      </w:r>
      <w:proofErr w:type="spellEnd"/>
      <w:r w:rsidR="00841805">
        <w:rPr>
          <w:rFonts w:ascii="Times New Roman" w:hAnsi="Times New Roman" w:cs="Times New Roman"/>
          <w:sz w:val="24"/>
          <w:szCs w:val="24"/>
        </w:rPr>
        <w:t xml:space="preserve"> of maize having relatively minor interactions of environment with variety (i.e., similar variety performance across </w:t>
      </w:r>
      <w:r w:rsidR="00841805">
        <w:rPr>
          <w:rFonts w:ascii="Times New Roman" w:hAnsi="Times New Roman" w:cs="Times New Roman"/>
          <w:sz w:val="24"/>
          <w:szCs w:val="24"/>
        </w:rPr>
        <w:lastRenderedPageBreak/>
        <w:t>the MME) (</w:t>
      </w:r>
      <w:proofErr w:type="spellStart"/>
      <w:r w:rsidR="00841805">
        <w:rPr>
          <w:rFonts w:ascii="Times New Roman" w:hAnsi="Times New Roman" w:cs="Times New Roman"/>
          <w:sz w:val="24"/>
          <w:szCs w:val="24"/>
        </w:rPr>
        <w:t>Hartkamp</w:t>
      </w:r>
      <w:proofErr w:type="spellEnd"/>
      <w:r w:rsidR="00841805">
        <w:rPr>
          <w:rFonts w:ascii="Times New Roman" w:hAnsi="Times New Roman" w:cs="Times New Roman"/>
          <w:sz w:val="24"/>
          <w:szCs w:val="24"/>
        </w:rPr>
        <w:t xml:space="preserve"> et al. 2000). MMEs are stratified by altitude, </w:t>
      </w:r>
      <w:r w:rsidR="002924D5" w:rsidRPr="002924D5">
        <w:rPr>
          <w:rFonts w:ascii="Times New Roman" w:hAnsi="Times New Roman" w:cs="Times New Roman"/>
          <w:sz w:val="24"/>
          <w:szCs w:val="24"/>
        </w:rPr>
        <w:t xml:space="preserve">day length, mean temperature, and seasonal rainfall over the </w:t>
      </w:r>
      <w:r w:rsidR="007E4510">
        <w:rPr>
          <w:rFonts w:ascii="Times New Roman" w:hAnsi="Times New Roman" w:cs="Times New Roman"/>
          <w:sz w:val="24"/>
          <w:szCs w:val="24"/>
        </w:rPr>
        <w:t>maize</w:t>
      </w:r>
      <w:r w:rsidR="002924D5" w:rsidRPr="002924D5">
        <w:rPr>
          <w:rFonts w:ascii="Times New Roman" w:hAnsi="Times New Roman" w:cs="Times New Roman"/>
          <w:sz w:val="24"/>
          <w:szCs w:val="24"/>
        </w:rPr>
        <w:t xml:space="preserve"> growing season</w:t>
      </w:r>
      <w:r w:rsidR="007E4510">
        <w:rPr>
          <w:rFonts w:ascii="Times New Roman" w:hAnsi="Times New Roman" w:cs="Times New Roman"/>
          <w:sz w:val="24"/>
          <w:szCs w:val="24"/>
        </w:rPr>
        <w:t>, defined as the five consecutive months with greatest ratio of precipitation to potential evapotranspiration</w:t>
      </w:r>
      <w:r w:rsidR="00841805">
        <w:rPr>
          <w:rFonts w:ascii="Times New Roman" w:hAnsi="Times New Roman" w:cs="Times New Roman"/>
          <w:sz w:val="24"/>
          <w:szCs w:val="24"/>
        </w:rPr>
        <w:t>.</w:t>
      </w:r>
      <w:r w:rsidR="002924D5" w:rsidRPr="002924D5">
        <w:rPr>
          <w:rFonts w:ascii="Times New Roman" w:hAnsi="Times New Roman" w:cs="Times New Roman"/>
          <w:sz w:val="24"/>
          <w:szCs w:val="24"/>
        </w:rPr>
        <w:t xml:space="preserve"> </w:t>
      </w:r>
      <w:r w:rsidR="00841805">
        <w:rPr>
          <w:rFonts w:ascii="Times New Roman" w:hAnsi="Times New Roman" w:cs="Times New Roman"/>
          <w:sz w:val="24"/>
          <w:szCs w:val="24"/>
        </w:rPr>
        <w:t xml:space="preserve">The legend </w:t>
      </w:r>
      <w:r w:rsidR="009963CF">
        <w:rPr>
          <w:rFonts w:ascii="Times New Roman" w:hAnsi="Times New Roman" w:cs="Times New Roman"/>
          <w:sz w:val="24"/>
          <w:szCs w:val="24"/>
        </w:rPr>
        <w:t>indicates values for</w:t>
      </w:r>
      <w:r w:rsidR="00841805">
        <w:rPr>
          <w:rFonts w:ascii="Times New Roman" w:hAnsi="Times New Roman" w:cs="Times New Roman"/>
          <w:sz w:val="24"/>
          <w:szCs w:val="24"/>
        </w:rPr>
        <w:t xml:space="preserve"> rainfall during the growing season and average daily maximum temperature for the middle 70% of the maize growing season.</w:t>
      </w:r>
    </w:p>
    <w:p w:rsidR="00841805" w:rsidRDefault="00841805" w:rsidP="00292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D5" w:rsidRDefault="002924D5" w:rsidP="00EE6E8B">
      <w:pPr>
        <w:autoSpaceDE w:val="0"/>
        <w:autoSpaceDN w:val="0"/>
        <w:adjustRightInd w:val="0"/>
        <w:spacing w:after="0" w:line="240" w:lineRule="auto"/>
        <w:jc w:val="both"/>
      </w:pPr>
    </w:p>
    <w:p w:rsidR="00841805" w:rsidRDefault="00841805">
      <w:r>
        <w:br w:type="page"/>
      </w:r>
    </w:p>
    <w:p w:rsidR="002924D5" w:rsidRDefault="00415B75" w:rsidP="00EE6E8B">
      <w:pPr>
        <w:autoSpaceDE w:val="0"/>
        <w:autoSpaceDN w:val="0"/>
        <w:adjustRightInd w:val="0"/>
        <w:spacing w:after="0" w:line="240" w:lineRule="auto"/>
        <w:jc w:val="both"/>
      </w:pPr>
      <w:r w:rsidRPr="00415B75">
        <w:rPr>
          <w:noProof/>
        </w:rPr>
        <w:lastRenderedPageBreak/>
        <w:drawing>
          <wp:inline distT="0" distB="0" distL="0" distR="0">
            <wp:extent cx="5943600" cy="7691718"/>
            <wp:effectExtent l="0" t="0" r="0" b="5080"/>
            <wp:docPr id="5" name="Picture 5" descr="C:\Users\Monica\AppData\Local\Temp\failed Season Probability_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ica\AppData\Local\Temp\failed Season Probability_v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17C" w:rsidRPr="00841805" w:rsidRDefault="00841805" w:rsidP="00841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805">
        <w:rPr>
          <w:rFonts w:ascii="Times New Roman" w:hAnsi="Times New Roman" w:cs="Times New Roman"/>
          <w:sz w:val="24"/>
          <w:szCs w:val="24"/>
        </w:rPr>
        <w:t xml:space="preserve">Figure S2. </w:t>
      </w:r>
      <w:r>
        <w:rPr>
          <w:rFonts w:ascii="Times New Roman" w:hAnsi="Times New Roman" w:cs="Times New Roman"/>
          <w:sz w:val="24"/>
          <w:szCs w:val="24"/>
        </w:rPr>
        <w:t>F</w:t>
      </w:r>
      <w:r w:rsidR="007F7C7B" w:rsidRPr="00841805">
        <w:rPr>
          <w:rFonts w:ascii="Times New Roman" w:hAnsi="Times New Roman" w:cs="Times New Roman"/>
          <w:sz w:val="24"/>
          <w:szCs w:val="24"/>
        </w:rPr>
        <w:t xml:space="preserve">ailed season drought probability is </w:t>
      </w:r>
      <w:r w:rsidR="00C2601A" w:rsidRPr="00841805">
        <w:rPr>
          <w:rFonts w:ascii="Times New Roman" w:hAnsi="Times New Roman" w:cs="Times New Roman"/>
          <w:sz w:val="24"/>
          <w:szCs w:val="24"/>
        </w:rPr>
        <w:t xml:space="preserve">an indicator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C2601A" w:rsidRPr="00841805">
        <w:rPr>
          <w:rFonts w:ascii="Times New Roman" w:hAnsi="Times New Roman" w:cs="Times New Roman"/>
          <w:sz w:val="24"/>
          <w:szCs w:val="24"/>
        </w:rPr>
        <w:t xml:space="preserve"> frequency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C2601A" w:rsidRPr="00841805">
        <w:rPr>
          <w:rFonts w:ascii="Times New Roman" w:hAnsi="Times New Roman" w:cs="Times New Roman"/>
          <w:sz w:val="24"/>
          <w:szCs w:val="24"/>
        </w:rPr>
        <w:t xml:space="preserve"> insufficient availability of water</w:t>
      </w:r>
      <w:r>
        <w:rPr>
          <w:rFonts w:ascii="Times New Roman" w:hAnsi="Times New Roman" w:cs="Times New Roman"/>
          <w:sz w:val="24"/>
          <w:szCs w:val="24"/>
        </w:rPr>
        <w:t xml:space="preserve"> (Jones and Thornton 2014)</w:t>
      </w:r>
      <w:r w:rsidR="00C2601A" w:rsidRPr="00841805">
        <w:rPr>
          <w:rFonts w:ascii="Times New Roman" w:hAnsi="Times New Roman" w:cs="Times New Roman"/>
          <w:sz w:val="24"/>
          <w:szCs w:val="24"/>
        </w:rPr>
        <w:t xml:space="preserve">. </w:t>
      </w:r>
      <w:r w:rsidR="00477B93" w:rsidRPr="0084180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water </w:t>
      </w:r>
      <w:r w:rsidR="00477B93" w:rsidRPr="00841805">
        <w:rPr>
          <w:rFonts w:ascii="Times New Roman" w:hAnsi="Times New Roman" w:cs="Times New Roman"/>
          <w:sz w:val="24"/>
          <w:szCs w:val="24"/>
        </w:rPr>
        <w:t xml:space="preserve">shortage can arise from </w:t>
      </w:r>
      <w:r w:rsidR="0073217C" w:rsidRPr="008418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very </w:t>
      </w:r>
      <w:r w:rsidR="0073217C" w:rsidRPr="00841805">
        <w:rPr>
          <w:rFonts w:ascii="Times New Roman" w:hAnsi="Times New Roman" w:cs="Times New Roman"/>
          <w:sz w:val="24"/>
          <w:szCs w:val="24"/>
        </w:rPr>
        <w:t>short growing season</w:t>
      </w:r>
      <w:r>
        <w:rPr>
          <w:rFonts w:ascii="Times New Roman" w:hAnsi="Times New Roman" w:cs="Times New Roman"/>
          <w:sz w:val="24"/>
          <w:szCs w:val="24"/>
        </w:rPr>
        <w:t xml:space="preserve"> or a very severe </w:t>
      </w:r>
      <w:r w:rsidR="0073217C" w:rsidRPr="00841805">
        <w:rPr>
          <w:rFonts w:ascii="Times New Roman" w:hAnsi="Times New Roman" w:cs="Times New Roman"/>
          <w:sz w:val="24"/>
          <w:szCs w:val="24"/>
        </w:rPr>
        <w:t>level of water s</w:t>
      </w:r>
      <w:r w:rsidR="00477B93" w:rsidRPr="00841805">
        <w:rPr>
          <w:rFonts w:ascii="Times New Roman" w:hAnsi="Times New Roman" w:cs="Times New Roman"/>
          <w:sz w:val="24"/>
          <w:szCs w:val="24"/>
        </w:rPr>
        <w:t>tress within the growing period</w:t>
      </w:r>
      <w:r w:rsidR="0073217C" w:rsidRPr="008418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</w:t>
      </w:r>
      <w:r w:rsidR="00477B93" w:rsidRPr="00841805">
        <w:rPr>
          <w:rFonts w:ascii="Times New Roman" w:hAnsi="Times New Roman" w:cs="Times New Roman"/>
          <w:sz w:val="24"/>
          <w:szCs w:val="24"/>
        </w:rPr>
        <w:t xml:space="preserve">ater </w:t>
      </w:r>
      <w:r w:rsidR="00477B93" w:rsidRPr="00841805">
        <w:rPr>
          <w:rFonts w:ascii="Times New Roman" w:hAnsi="Times New Roman" w:cs="Times New Roman"/>
          <w:sz w:val="24"/>
          <w:szCs w:val="24"/>
        </w:rPr>
        <w:lastRenderedPageBreak/>
        <w:t>availab</w:t>
      </w:r>
      <w:r>
        <w:rPr>
          <w:rFonts w:ascii="Times New Roman" w:hAnsi="Times New Roman" w:cs="Times New Roman"/>
          <w:sz w:val="24"/>
          <w:szCs w:val="24"/>
        </w:rPr>
        <w:t>ility</w:t>
      </w:r>
      <w:r w:rsidR="00477B93" w:rsidRPr="00841805">
        <w:rPr>
          <w:rFonts w:ascii="Times New Roman" w:hAnsi="Times New Roman" w:cs="Times New Roman"/>
          <w:sz w:val="24"/>
          <w:szCs w:val="24"/>
        </w:rPr>
        <w:t xml:space="preserve"> depends on rainfall, water holding capacity of the soil profile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77B93" w:rsidRPr="00841805">
        <w:rPr>
          <w:rFonts w:ascii="Times New Roman" w:hAnsi="Times New Roman" w:cs="Times New Roman"/>
          <w:sz w:val="24"/>
          <w:szCs w:val="24"/>
        </w:rPr>
        <w:t xml:space="preserve"> and how much water is taken up by the crop during its growing period. </w:t>
      </w:r>
      <w:r>
        <w:rPr>
          <w:rFonts w:ascii="Times New Roman" w:hAnsi="Times New Roman" w:cs="Times New Roman"/>
          <w:sz w:val="24"/>
          <w:szCs w:val="24"/>
        </w:rPr>
        <w:t xml:space="preserve">To generate the data for the figure, </w:t>
      </w:r>
      <w:r w:rsidR="00C2601A" w:rsidRPr="00841805">
        <w:rPr>
          <w:rFonts w:ascii="Times New Roman" w:hAnsi="Times New Roman" w:cs="Times New Roman"/>
          <w:sz w:val="24"/>
          <w:szCs w:val="24"/>
        </w:rPr>
        <w:t>100 years of simulated rainfall, evapotranspiration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C2601A" w:rsidRPr="00841805">
        <w:rPr>
          <w:rFonts w:ascii="Times New Roman" w:hAnsi="Times New Roman" w:cs="Times New Roman"/>
          <w:sz w:val="24"/>
          <w:szCs w:val="24"/>
        </w:rPr>
        <w:t xml:space="preserve"> and soil profile data w</w:t>
      </w:r>
      <w:r w:rsidR="009963CF">
        <w:rPr>
          <w:rFonts w:ascii="Times New Roman" w:hAnsi="Times New Roman" w:cs="Times New Roman"/>
          <w:sz w:val="24"/>
          <w:szCs w:val="24"/>
        </w:rPr>
        <w:t>ere</w:t>
      </w:r>
      <w:r w:rsidR="00C2601A" w:rsidRPr="00841805">
        <w:rPr>
          <w:rFonts w:ascii="Times New Roman" w:hAnsi="Times New Roman" w:cs="Times New Roman"/>
          <w:sz w:val="24"/>
          <w:szCs w:val="24"/>
        </w:rPr>
        <w:t xml:space="preserve"> used (La </w:t>
      </w:r>
      <w:proofErr w:type="spellStart"/>
      <w:r w:rsidR="00C2601A" w:rsidRPr="00841805">
        <w:rPr>
          <w:rFonts w:ascii="Times New Roman" w:hAnsi="Times New Roman" w:cs="Times New Roman"/>
          <w:sz w:val="24"/>
          <w:szCs w:val="24"/>
        </w:rPr>
        <w:t>Rovere</w:t>
      </w:r>
      <w:proofErr w:type="spellEnd"/>
      <w:r w:rsidR="00C2601A" w:rsidRPr="00841805">
        <w:rPr>
          <w:rFonts w:ascii="Times New Roman" w:hAnsi="Times New Roman" w:cs="Times New Roman"/>
          <w:sz w:val="24"/>
          <w:szCs w:val="24"/>
        </w:rPr>
        <w:t xml:space="preserve"> et al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601A" w:rsidRPr="00841805">
        <w:rPr>
          <w:rFonts w:ascii="Times New Roman" w:hAnsi="Times New Roman" w:cs="Times New Roman"/>
          <w:sz w:val="24"/>
          <w:szCs w:val="24"/>
        </w:rPr>
        <w:t xml:space="preserve"> 2010). </w:t>
      </w:r>
    </w:p>
    <w:p w:rsidR="00477B93" w:rsidRDefault="00477B93" w:rsidP="00EE6E8B">
      <w:pPr>
        <w:autoSpaceDE w:val="0"/>
        <w:autoSpaceDN w:val="0"/>
        <w:adjustRightInd w:val="0"/>
        <w:spacing w:after="0" w:line="240" w:lineRule="auto"/>
        <w:jc w:val="both"/>
      </w:pPr>
    </w:p>
    <w:p w:rsidR="007E4510" w:rsidRDefault="007E4510" w:rsidP="00EE6E8B">
      <w:pPr>
        <w:autoSpaceDE w:val="0"/>
        <w:autoSpaceDN w:val="0"/>
        <w:adjustRightInd w:val="0"/>
        <w:spacing w:after="0" w:line="240" w:lineRule="auto"/>
        <w:jc w:val="both"/>
      </w:pPr>
    </w:p>
    <w:p w:rsidR="007E4510" w:rsidRDefault="007E4510">
      <w:r>
        <w:br w:type="page"/>
      </w:r>
    </w:p>
    <w:p w:rsidR="007E4510" w:rsidRPr="007E4510" w:rsidRDefault="007E4510" w:rsidP="00E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10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7E4510" w:rsidRPr="007E4510" w:rsidRDefault="007E4510" w:rsidP="00E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67" w:rsidRPr="006E46D5" w:rsidRDefault="00F47167" w:rsidP="00F47167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Hartkamp</w:t>
      </w:r>
      <w:proofErr w:type="spellEnd"/>
      <w:r w:rsidRPr="007E4510">
        <w:rPr>
          <w:rFonts w:ascii="Times New Roman" w:hAnsi="Times New Roman"/>
          <w:sz w:val="24"/>
          <w:szCs w:val="24"/>
        </w:rPr>
        <w:t xml:space="preserve"> AD, White </w:t>
      </w:r>
      <w:r>
        <w:rPr>
          <w:rFonts w:ascii="Times New Roman" w:hAnsi="Times New Roman"/>
          <w:sz w:val="24"/>
          <w:szCs w:val="24"/>
        </w:rPr>
        <w:t>J</w:t>
      </w:r>
      <w:r w:rsidRPr="007E4510">
        <w:rPr>
          <w:rFonts w:ascii="Times New Roman" w:hAnsi="Times New Roman"/>
          <w:sz w:val="24"/>
          <w:szCs w:val="24"/>
        </w:rPr>
        <w:t>W, Rodriguez Aguilar</w:t>
      </w:r>
      <w:r w:rsidRPr="00457C8A">
        <w:rPr>
          <w:rFonts w:ascii="Times New Roman" w:hAnsi="Times New Roman"/>
          <w:sz w:val="24"/>
          <w:szCs w:val="24"/>
        </w:rPr>
        <w:t xml:space="preserve"> </w:t>
      </w:r>
      <w:r w:rsidRPr="007E4510">
        <w:rPr>
          <w:rFonts w:ascii="Times New Roman" w:hAnsi="Times New Roman"/>
          <w:sz w:val="24"/>
          <w:szCs w:val="24"/>
        </w:rPr>
        <w:t xml:space="preserve">A., </w:t>
      </w:r>
      <w:proofErr w:type="spellStart"/>
      <w:r w:rsidRPr="007E4510">
        <w:rPr>
          <w:rFonts w:ascii="Times New Roman" w:hAnsi="Times New Roman"/>
          <w:sz w:val="24"/>
          <w:szCs w:val="24"/>
        </w:rPr>
        <w:t>Banziger</w:t>
      </w:r>
      <w:proofErr w:type="spellEnd"/>
      <w:r w:rsidRPr="00457C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7E4510">
        <w:rPr>
          <w:rFonts w:ascii="Times New Roman" w:hAnsi="Times New Roman"/>
          <w:sz w:val="24"/>
          <w:szCs w:val="24"/>
        </w:rPr>
        <w:t>, Srinivasan</w:t>
      </w:r>
      <w:r w:rsidRPr="00457C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 w:rsidRPr="007E4510">
        <w:rPr>
          <w:rFonts w:ascii="Times New Roman" w:hAnsi="Times New Roman"/>
          <w:sz w:val="24"/>
          <w:szCs w:val="24"/>
        </w:rPr>
        <w:t>, Granados</w:t>
      </w:r>
      <w:r w:rsidRPr="00457C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 w:rsidRPr="007E45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4510">
        <w:rPr>
          <w:rFonts w:ascii="Times New Roman" w:hAnsi="Times New Roman"/>
          <w:sz w:val="24"/>
          <w:szCs w:val="24"/>
        </w:rPr>
        <w:t>Crossa</w:t>
      </w:r>
      <w:proofErr w:type="spellEnd"/>
      <w:r w:rsidRPr="007E45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</w:t>
      </w:r>
      <w:r w:rsidRPr="007E45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7E4510">
        <w:rPr>
          <w:rFonts w:ascii="Times New Roman" w:hAnsi="Times New Roman"/>
          <w:sz w:val="24"/>
          <w:szCs w:val="24"/>
        </w:rPr>
        <w:t>2000</w:t>
      </w:r>
      <w:r>
        <w:rPr>
          <w:rFonts w:ascii="Times New Roman" w:hAnsi="Times New Roman"/>
          <w:sz w:val="24"/>
          <w:szCs w:val="24"/>
        </w:rPr>
        <w:t>)</w:t>
      </w:r>
      <w:r w:rsidRPr="007E4510">
        <w:rPr>
          <w:rFonts w:ascii="Times New Roman" w:hAnsi="Times New Roman"/>
          <w:sz w:val="24"/>
          <w:szCs w:val="24"/>
        </w:rPr>
        <w:t xml:space="preserve"> Maize production environments revisited: A GIS-based Approach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E4510">
        <w:rPr>
          <w:rFonts w:ascii="Times New Roman" w:hAnsi="Times New Roman"/>
          <w:sz w:val="24"/>
          <w:szCs w:val="24"/>
        </w:rPr>
        <w:t>CIMMYT</w:t>
      </w:r>
      <w:r>
        <w:rPr>
          <w:rFonts w:ascii="Times New Roman" w:hAnsi="Times New Roman"/>
          <w:sz w:val="24"/>
          <w:szCs w:val="24"/>
        </w:rPr>
        <w:t>,</w:t>
      </w:r>
      <w:r w:rsidRPr="007E4510">
        <w:rPr>
          <w:rFonts w:ascii="Times New Roman" w:hAnsi="Times New Roman"/>
          <w:sz w:val="24"/>
          <w:szCs w:val="24"/>
        </w:rPr>
        <w:t xml:space="preserve"> Mexico, D.F</w:t>
      </w:r>
      <w:r w:rsidRPr="006E46D5">
        <w:rPr>
          <w:rFonts w:ascii="Times New Roman" w:hAnsi="Times New Roman"/>
          <w:sz w:val="24"/>
          <w:szCs w:val="24"/>
        </w:rPr>
        <w:t>.</w:t>
      </w:r>
      <w:r w:rsidR="006E46D5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6E46D5">
          <w:rPr>
            <w:rStyle w:val="Hyperlink"/>
            <w:rFonts w:ascii="Times New Roman" w:hAnsi="Times New Roman"/>
            <w:color w:val="auto"/>
            <w:sz w:val="24"/>
            <w:szCs w:val="24"/>
          </w:rPr>
          <w:t>http://repository.cimmyt.org/xmlui/bitstream/handle/10883/1004/70209.pdf</w:t>
        </w:r>
      </w:hyperlink>
      <w:r w:rsidRPr="006E46D5">
        <w:rPr>
          <w:rFonts w:ascii="Times New Roman" w:hAnsi="Times New Roman"/>
          <w:sz w:val="24"/>
          <w:szCs w:val="24"/>
        </w:rPr>
        <w:t xml:space="preserve"> </w:t>
      </w:r>
    </w:p>
    <w:p w:rsidR="00F47167" w:rsidRPr="006E46D5" w:rsidRDefault="00F47167" w:rsidP="00F47167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 w:rsidRPr="006E46D5">
        <w:rPr>
          <w:rFonts w:ascii="Times New Roman" w:hAnsi="Times New Roman"/>
          <w:sz w:val="24"/>
          <w:szCs w:val="24"/>
        </w:rPr>
        <w:t xml:space="preserve">Jones PG, Thornton PK (2014) Failed season drought probability. International Center for Tropical </w:t>
      </w:r>
      <w:proofErr w:type="spellStart"/>
      <w:r w:rsidRPr="006E46D5">
        <w:rPr>
          <w:rFonts w:ascii="Times New Roman" w:hAnsi="Times New Roman"/>
          <w:sz w:val="24"/>
          <w:szCs w:val="24"/>
        </w:rPr>
        <w:t>Agriculutre</w:t>
      </w:r>
      <w:proofErr w:type="spellEnd"/>
      <w:r w:rsidRPr="006E46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46D5">
        <w:rPr>
          <w:rFonts w:ascii="Times New Roman" w:hAnsi="Times New Roman"/>
          <w:sz w:val="24"/>
          <w:szCs w:val="24"/>
        </w:rPr>
        <w:t>Dataverse</w:t>
      </w:r>
      <w:proofErr w:type="spellEnd"/>
      <w:r w:rsidRPr="006E46D5">
        <w:rPr>
          <w:rFonts w:ascii="Times New Roman" w:hAnsi="Times New Roman"/>
          <w:sz w:val="24"/>
          <w:szCs w:val="24"/>
        </w:rPr>
        <w:t xml:space="preserve">, V2 </w:t>
      </w:r>
      <w:r w:rsidRPr="006E46D5">
        <w:rPr>
          <w:rStyle w:val="Hyperlink"/>
          <w:rFonts w:ascii="Times New Roman" w:hAnsi="Times New Roman"/>
          <w:color w:val="auto"/>
          <w:sz w:val="24"/>
          <w:szCs w:val="24"/>
        </w:rPr>
        <w:t>http://dx.doi.org/10.7910/DVN/27504</w:t>
      </w:r>
      <w:r w:rsidRPr="006E46D5">
        <w:rPr>
          <w:rFonts w:ascii="Times New Roman" w:hAnsi="Times New Roman"/>
          <w:sz w:val="24"/>
          <w:szCs w:val="24"/>
        </w:rPr>
        <w:t xml:space="preserve"> </w:t>
      </w:r>
    </w:p>
    <w:p w:rsidR="00F47167" w:rsidRPr="007E4510" w:rsidRDefault="00F47167" w:rsidP="00F47167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</w:rPr>
        <w:t>Rovere</w:t>
      </w:r>
      <w:proofErr w:type="spellEnd"/>
      <w:r>
        <w:rPr>
          <w:rFonts w:ascii="Times New Roman" w:hAnsi="Times New Roman"/>
          <w:sz w:val="24"/>
          <w:szCs w:val="24"/>
        </w:rPr>
        <w:t xml:space="preserve"> R</w:t>
      </w:r>
      <w:r w:rsidRPr="007E45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4510">
        <w:rPr>
          <w:rFonts w:ascii="Times New Roman" w:hAnsi="Times New Roman"/>
          <w:sz w:val="24"/>
          <w:szCs w:val="24"/>
        </w:rPr>
        <w:t>Kostandini</w:t>
      </w:r>
      <w:proofErr w:type="spellEnd"/>
      <w:r w:rsidRPr="005832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 w:rsidRPr="007E45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4510">
        <w:rPr>
          <w:rFonts w:ascii="Times New Roman" w:hAnsi="Times New Roman"/>
          <w:sz w:val="24"/>
          <w:szCs w:val="24"/>
        </w:rPr>
        <w:t>Abdoulaye</w:t>
      </w:r>
      <w:proofErr w:type="spellEnd"/>
      <w:r w:rsidRPr="00583218">
        <w:rPr>
          <w:rFonts w:ascii="Times New Roman" w:hAnsi="Times New Roman"/>
          <w:sz w:val="24"/>
          <w:szCs w:val="24"/>
        </w:rPr>
        <w:t xml:space="preserve"> </w:t>
      </w:r>
      <w:r w:rsidRPr="007E4510">
        <w:rPr>
          <w:rFonts w:ascii="Times New Roman" w:hAnsi="Times New Roman"/>
          <w:sz w:val="24"/>
          <w:szCs w:val="24"/>
        </w:rPr>
        <w:t>T, Dixon</w:t>
      </w:r>
      <w:r w:rsidRPr="005832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</w:t>
      </w:r>
      <w:r w:rsidRPr="007E45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4510">
        <w:rPr>
          <w:rFonts w:ascii="Times New Roman" w:hAnsi="Times New Roman"/>
          <w:sz w:val="24"/>
          <w:szCs w:val="24"/>
        </w:rPr>
        <w:t>Mwangi</w:t>
      </w:r>
      <w:proofErr w:type="spellEnd"/>
      <w:r w:rsidRPr="00583218">
        <w:rPr>
          <w:rFonts w:ascii="Times New Roman" w:hAnsi="Times New Roman"/>
          <w:sz w:val="24"/>
          <w:szCs w:val="24"/>
        </w:rPr>
        <w:t xml:space="preserve"> </w:t>
      </w:r>
      <w:r w:rsidRPr="007E4510">
        <w:rPr>
          <w:rFonts w:ascii="Times New Roman" w:hAnsi="Times New Roman"/>
          <w:sz w:val="24"/>
          <w:szCs w:val="24"/>
        </w:rPr>
        <w:t>W,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4510">
        <w:rPr>
          <w:rFonts w:ascii="Times New Roman" w:hAnsi="Times New Roman"/>
          <w:sz w:val="24"/>
          <w:szCs w:val="24"/>
        </w:rPr>
        <w:t>Guo</w:t>
      </w:r>
      <w:proofErr w:type="spellEnd"/>
      <w:r w:rsidRPr="00583218">
        <w:rPr>
          <w:rFonts w:ascii="Times New Roman" w:hAnsi="Times New Roman"/>
          <w:sz w:val="24"/>
          <w:szCs w:val="24"/>
        </w:rPr>
        <w:t xml:space="preserve"> </w:t>
      </w:r>
      <w:r w:rsidRPr="007E4510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,</w:t>
      </w:r>
      <w:r w:rsidRPr="007E45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4510">
        <w:rPr>
          <w:rFonts w:ascii="Times New Roman" w:hAnsi="Times New Roman"/>
          <w:sz w:val="24"/>
          <w:szCs w:val="24"/>
        </w:rPr>
        <w:t>Bän</w:t>
      </w:r>
      <w:r>
        <w:rPr>
          <w:rFonts w:ascii="Times New Roman" w:hAnsi="Times New Roman"/>
          <w:sz w:val="24"/>
          <w:szCs w:val="24"/>
        </w:rPr>
        <w:t>ziger</w:t>
      </w:r>
      <w:proofErr w:type="spellEnd"/>
      <w:r w:rsidRPr="007E45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 (2010) </w:t>
      </w:r>
      <w:r w:rsidRPr="007E4510">
        <w:rPr>
          <w:rFonts w:ascii="Times New Roman" w:hAnsi="Times New Roman"/>
          <w:sz w:val="24"/>
          <w:szCs w:val="24"/>
        </w:rPr>
        <w:t>Potential impact of investments in drought tolerant maize in Africa. CIMMYT, Addis Ababa, Ethiopia.</w:t>
      </w:r>
    </w:p>
    <w:p w:rsidR="007E4510" w:rsidRPr="007E4510" w:rsidRDefault="007E4510" w:rsidP="00BC2D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0D" w:rsidRDefault="00BC2D0D" w:rsidP="00BC2D0D">
      <w:pPr>
        <w:autoSpaceDE w:val="0"/>
        <w:autoSpaceDN w:val="0"/>
        <w:adjustRightInd w:val="0"/>
        <w:spacing w:after="0" w:line="240" w:lineRule="auto"/>
      </w:pPr>
    </w:p>
    <w:sectPr w:rsidR="00BC2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D3"/>
    <w:rsid w:val="00144131"/>
    <w:rsid w:val="002924D5"/>
    <w:rsid w:val="003712E1"/>
    <w:rsid w:val="00415B75"/>
    <w:rsid w:val="00477B93"/>
    <w:rsid w:val="00484F9A"/>
    <w:rsid w:val="00660D9B"/>
    <w:rsid w:val="006E46D5"/>
    <w:rsid w:val="00730B5F"/>
    <w:rsid w:val="0073217C"/>
    <w:rsid w:val="00780CA9"/>
    <w:rsid w:val="007E4510"/>
    <w:rsid w:val="007F7C7B"/>
    <w:rsid w:val="008301F2"/>
    <w:rsid w:val="00841805"/>
    <w:rsid w:val="00993F05"/>
    <w:rsid w:val="009963CF"/>
    <w:rsid w:val="00AE5FE4"/>
    <w:rsid w:val="00B83F51"/>
    <w:rsid w:val="00BC2D0D"/>
    <w:rsid w:val="00C2601A"/>
    <w:rsid w:val="00E313D3"/>
    <w:rsid w:val="00EB5C25"/>
    <w:rsid w:val="00EE6E8B"/>
    <w:rsid w:val="00F42142"/>
    <w:rsid w:val="00F47167"/>
    <w:rsid w:val="00FC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5FCC6-3433-4FA3-959D-C2F69B92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D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pository.cimmyt.org/xmlui/bitstream/handle/10883/1004/70209.pdf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Alemayehu, Yoseph (CIMMYT)</dc:creator>
  <cp:keywords/>
  <dc:description/>
  <cp:lastModifiedBy>Fisher, Monica</cp:lastModifiedBy>
  <cp:revision>9</cp:revision>
  <dcterms:created xsi:type="dcterms:W3CDTF">2015-05-22T09:12:00Z</dcterms:created>
  <dcterms:modified xsi:type="dcterms:W3CDTF">2015-05-25T08:38:00Z</dcterms:modified>
</cp:coreProperties>
</file>