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801" w:rsidRPr="00EF6801" w:rsidRDefault="00836C92" w:rsidP="00EF6801">
      <w:pPr>
        <w:rPr>
          <w:rFonts w:ascii="Times New Roman" w:hAnsi="Times New Roman" w:cs="Times New Roman"/>
          <w:sz w:val="20"/>
          <w:szCs w:val="20"/>
        </w:rPr>
      </w:pPr>
      <w:r>
        <w:rPr>
          <w:rFonts w:ascii="Times New Roman" w:hAnsi="Times New Roman" w:cs="Times New Roman"/>
          <w:sz w:val="20"/>
          <w:szCs w:val="20"/>
        </w:rPr>
        <w:t xml:space="preserve">Online Resource </w:t>
      </w:r>
      <w:r w:rsidR="00832F87">
        <w:rPr>
          <w:rFonts w:ascii="Times New Roman" w:hAnsi="Times New Roman" w:cs="Times New Roman"/>
          <w:sz w:val="20"/>
          <w:szCs w:val="20"/>
        </w:rPr>
        <w:t>8</w:t>
      </w:r>
      <w:bookmarkStart w:id="0" w:name="_GoBack"/>
      <w:bookmarkEnd w:id="0"/>
      <w:r>
        <w:rPr>
          <w:rFonts w:ascii="Times New Roman" w:hAnsi="Times New Roman" w:cs="Times New Roman"/>
          <w:sz w:val="20"/>
          <w:szCs w:val="20"/>
        </w:rPr>
        <w:t xml:space="preserve">: </w:t>
      </w:r>
      <w:r w:rsidR="00EF6801" w:rsidRPr="00EF6801">
        <w:rPr>
          <w:rFonts w:ascii="Times New Roman" w:hAnsi="Times New Roman" w:cs="Times New Roman"/>
          <w:sz w:val="20"/>
          <w:szCs w:val="20"/>
        </w:rPr>
        <w:t>Food consumption changes</w:t>
      </w:r>
    </w:p>
    <w:p w:rsidR="00EF6801" w:rsidRDefault="00EF6801" w:rsidP="00EF6801">
      <w:pPr>
        <w:rPr>
          <w:rFonts w:ascii="Times New Roman" w:hAnsi="Times New Roman" w:cs="Times New Roman"/>
          <w:sz w:val="20"/>
          <w:szCs w:val="20"/>
        </w:rPr>
      </w:pPr>
    </w:p>
    <w:p w:rsidR="00EF6801" w:rsidRDefault="00EF6801" w:rsidP="00EF6801">
      <w:pPr>
        <w:rPr>
          <w:rFonts w:ascii="Times New Roman" w:hAnsi="Times New Roman" w:cs="Times New Roman"/>
          <w:sz w:val="20"/>
          <w:szCs w:val="20"/>
        </w:rPr>
      </w:pPr>
      <w:r>
        <w:rPr>
          <w:rFonts w:ascii="Times New Roman" w:hAnsi="Times New Roman" w:cs="Times New Roman"/>
          <w:sz w:val="20"/>
          <w:szCs w:val="20"/>
        </w:rPr>
        <w:t>Scenario A</w:t>
      </w:r>
    </w:p>
    <w:p w:rsidR="00EF6801" w:rsidRDefault="00EF6801" w:rsidP="00EF6801">
      <w:pPr>
        <w:rPr>
          <w:rFonts w:ascii="Times New Roman" w:hAnsi="Times New Roman" w:cs="Times New Roman"/>
          <w:sz w:val="20"/>
          <w:szCs w:val="20"/>
        </w:rPr>
      </w:pPr>
      <w:r>
        <w:rPr>
          <w:rFonts w:ascii="Times New Roman" w:hAnsi="Times New Roman" w:cs="Times New Roman"/>
          <w:sz w:val="20"/>
          <w:szCs w:val="20"/>
        </w:rPr>
        <w:t xml:space="preserve">In the following we discuss some notable differences in how groups respond to the tax. SEC1 and SEC4 have the largest reduction in milk consumption of around 10% whereas the other SECs reduce their consumption by 8-9%. In the case of SEC1 the reduction in milk consumption is largely due its own price responsiveness whereas for SEC4 the high degree of complementarity with the animal fats category coupled with high tax rate on this category is important. SEC4 also experiences the largest proportional price increase for animal fats. </w:t>
      </w:r>
    </w:p>
    <w:p w:rsidR="00EF6801" w:rsidRDefault="00EF6801" w:rsidP="00EF6801">
      <w:pPr>
        <w:rPr>
          <w:rFonts w:ascii="Times New Roman" w:hAnsi="Times New Roman" w:cs="Times New Roman"/>
          <w:sz w:val="20"/>
          <w:szCs w:val="20"/>
        </w:rPr>
      </w:pPr>
      <w:r>
        <w:rPr>
          <w:rFonts w:ascii="Times New Roman" w:hAnsi="Times New Roman" w:cs="Times New Roman"/>
          <w:sz w:val="20"/>
          <w:szCs w:val="20"/>
        </w:rPr>
        <w:t xml:space="preserve">Both SEC4 and OTHER reduce their consumption of beef by around 10%, which is considerably more than the other groups who reduce their consumption by 5-6%. While SEC4 and OTHER are similar in that they both have own price elasticities of  -0.8 and complementary relationships between beef and bread etc., cakes etc., animal fats and vegetable fats, SEC4 has the largest proportional price increase (12.4%) and OTHER has the largest expenditure share for beef. </w:t>
      </w:r>
    </w:p>
    <w:p w:rsidR="00EF6801" w:rsidRDefault="00EF6801" w:rsidP="00EF6801">
      <w:pPr>
        <w:rPr>
          <w:rFonts w:ascii="Times New Roman" w:hAnsi="Times New Roman" w:cs="Times New Roman"/>
          <w:sz w:val="20"/>
          <w:szCs w:val="20"/>
        </w:rPr>
      </w:pPr>
      <w:r>
        <w:rPr>
          <w:rFonts w:ascii="Times New Roman" w:hAnsi="Times New Roman" w:cs="Times New Roman"/>
          <w:sz w:val="20"/>
          <w:szCs w:val="20"/>
        </w:rPr>
        <w:t>SEC1-3 and OTHER reduce consumption of the other meat and fish categories by between 4% and 8%, SEC4 decreases consumption by 10% and 16% respectively. In the case of other meat this is due to SEC4 having the largest own price elasticity (1.3%) as well as a large expenditure share, while in the case of fish there is a strong complementary relationship between the fish and the meat categories and between fish and fats &amp; starches. Also for both food categories, SEC4 experiences the largest proportional price increases.</w:t>
      </w:r>
    </w:p>
    <w:p w:rsidR="00EF6801" w:rsidRDefault="00EF6801" w:rsidP="00EF6801">
      <w:pPr>
        <w:rPr>
          <w:rFonts w:ascii="Times New Roman" w:hAnsi="Times New Roman" w:cs="Times New Roman"/>
          <w:sz w:val="20"/>
          <w:szCs w:val="20"/>
        </w:rPr>
      </w:pPr>
      <w:r>
        <w:rPr>
          <w:rFonts w:ascii="Times New Roman" w:hAnsi="Times New Roman" w:cs="Times New Roman"/>
          <w:sz w:val="20"/>
          <w:szCs w:val="20"/>
        </w:rPr>
        <w:t>SEC1 and SEC3 increase their consumption of vegetable fats by 2.4% and 1.5% respectively, which is due to substitute relationships between vegetable fats and bread etc. and cakes etc. Fresh fruit consumption falls for all categories with the largest fall in SEC4. This is due to complementary relationships between fresh fruits and the fats &amp; starches categories as well as potatoes, canned and fresh vegetables and all non-alcoholic drink categories. Whilst SEC1 to SEC3 are the most own price responsive for fresh vegetables they spend larger shares of their food expenditure on this category and therefore do not decrease their consumption more than the other SECs because their own price responsiveness is offset by smaller proportional price increases than the other SECs</w:t>
      </w:r>
      <w:r w:rsidRPr="00902321">
        <w:rPr>
          <w:rFonts w:ascii="Times New Roman" w:hAnsi="Times New Roman" w:cs="Times New Roman"/>
          <w:sz w:val="20"/>
          <w:szCs w:val="20"/>
        </w:rPr>
        <w:t xml:space="preserve">. </w:t>
      </w:r>
    </w:p>
    <w:p w:rsidR="00EF6801" w:rsidRDefault="00EF6801" w:rsidP="00EF6801">
      <w:pPr>
        <w:rPr>
          <w:rFonts w:ascii="Times New Roman" w:hAnsi="Times New Roman" w:cs="Times New Roman"/>
          <w:sz w:val="20"/>
          <w:szCs w:val="20"/>
        </w:rPr>
      </w:pPr>
      <w:r>
        <w:rPr>
          <w:rFonts w:ascii="Times New Roman" w:hAnsi="Times New Roman" w:cs="Times New Roman"/>
          <w:sz w:val="20"/>
          <w:szCs w:val="20"/>
        </w:rPr>
        <w:t>We have limited confidence in the large predicted reductions</w:t>
      </w:r>
      <w:r w:rsidRPr="00902321">
        <w:rPr>
          <w:rFonts w:ascii="Times New Roman" w:hAnsi="Times New Roman" w:cs="Times New Roman"/>
          <w:sz w:val="20"/>
          <w:szCs w:val="20"/>
        </w:rPr>
        <w:t xml:space="preserve"> in the sugar and sweets categories by SEC3 </w:t>
      </w:r>
      <w:r>
        <w:rPr>
          <w:rFonts w:ascii="Times New Roman" w:hAnsi="Times New Roman" w:cs="Times New Roman"/>
          <w:sz w:val="20"/>
          <w:szCs w:val="20"/>
        </w:rPr>
        <w:t xml:space="preserve">because the high level of censoring coupled with the relatively small number of observations in the group mean that some anomalous elasticity estimates </w:t>
      </w:r>
      <w:r w:rsidRPr="00902321">
        <w:rPr>
          <w:rFonts w:ascii="Times New Roman" w:hAnsi="Times New Roman" w:cs="Times New Roman"/>
          <w:sz w:val="20"/>
          <w:szCs w:val="20"/>
        </w:rPr>
        <w:t>arise</w:t>
      </w:r>
      <w:r>
        <w:rPr>
          <w:rFonts w:ascii="Times New Roman" w:hAnsi="Times New Roman" w:cs="Times New Roman"/>
          <w:sz w:val="20"/>
          <w:szCs w:val="20"/>
        </w:rPr>
        <w:t>.</w:t>
      </w:r>
    </w:p>
    <w:p w:rsidR="00EF6801" w:rsidRDefault="00EF6801" w:rsidP="00EF6801">
      <w:pPr>
        <w:rPr>
          <w:rFonts w:ascii="Times New Roman" w:hAnsi="Times New Roman" w:cs="Times New Roman"/>
          <w:sz w:val="20"/>
          <w:szCs w:val="20"/>
        </w:rPr>
      </w:pPr>
    </w:p>
    <w:p w:rsidR="00B04CAC" w:rsidRDefault="00B04CAC"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A853C4" w:rsidRDefault="00A853C4" w:rsidP="00EF6801">
      <w:pPr>
        <w:rPr>
          <w:rFonts w:ascii="Times New Roman" w:hAnsi="Times New Roman" w:cs="Times New Roman"/>
          <w:sz w:val="20"/>
          <w:szCs w:val="20"/>
        </w:rPr>
      </w:pPr>
    </w:p>
    <w:p w:rsidR="00B04CAC" w:rsidRDefault="00B04CAC" w:rsidP="00EF6801">
      <w:pPr>
        <w:rPr>
          <w:rFonts w:ascii="Times New Roman" w:hAnsi="Times New Roman" w:cs="Times New Roman"/>
          <w:sz w:val="20"/>
          <w:szCs w:val="20"/>
        </w:rPr>
      </w:pPr>
    </w:p>
    <w:p w:rsidR="00EF6801" w:rsidRDefault="00EF6801" w:rsidP="00EF6801">
      <w:pPr>
        <w:rPr>
          <w:rFonts w:ascii="Times New Roman" w:hAnsi="Times New Roman" w:cs="Times New Roman"/>
          <w:sz w:val="20"/>
          <w:szCs w:val="20"/>
        </w:rPr>
      </w:pPr>
      <w:r>
        <w:rPr>
          <w:rFonts w:ascii="Times New Roman" w:hAnsi="Times New Roman" w:cs="Times New Roman"/>
          <w:sz w:val="20"/>
          <w:szCs w:val="20"/>
        </w:rPr>
        <w:t>Scenario B</w:t>
      </w:r>
    </w:p>
    <w:p w:rsidR="00EF6801" w:rsidRDefault="00EF6801" w:rsidP="00EF6801">
      <w:pPr>
        <w:rPr>
          <w:rFonts w:ascii="Times New Roman" w:hAnsi="Times New Roman" w:cs="Times New Roman"/>
          <w:sz w:val="20"/>
          <w:szCs w:val="20"/>
        </w:rPr>
      </w:pPr>
      <w:r w:rsidRPr="00902321">
        <w:rPr>
          <w:rFonts w:ascii="Times New Roman" w:hAnsi="Times New Roman" w:cs="Times New Roman"/>
          <w:sz w:val="20"/>
          <w:szCs w:val="20"/>
        </w:rPr>
        <w:t>Figure</w:t>
      </w:r>
      <w:r>
        <w:rPr>
          <w:rFonts w:ascii="Times New Roman" w:hAnsi="Times New Roman" w:cs="Times New Roman"/>
          <w:sz w:val="20"/>
          <w:szCs w:val="20"/>
        </w:rPr>
        <w:t>s 3 and 4</w:t>
      </w:r>
      <w:r w:rsidR="009423E7">
        <w:rPr>
          <w:rFonts w:ascii="Times New Roman" w:hAnsi="Times New Roman" w:cs="Times New Roman"/>
          <w:sz w:val="20"/>
          <w:szCs w:val="20"/>
        </w:rPr>
        <w:t xml:space="preserve"> in the appendix</w:t>
      </w:r>
      <w:r w:rsidRPr="00902321">
        <w:rPr>
          <w:rFonts w:ascii="Times New Roman" w:hAnsi="Times New Roman" w:cs="Times New Roman"/>
          <w:sz w:val="20"/>
          <w:szCs w:val="20"/>
        </w:rPr>
        <w:t xml:space="preserve"> depict the aver</w:t>
      </w:r>
      <w:r>
        <w:rPr>
          <w:rFonts w:ascii="Times New Roman" w:hAnsi="Times New Roman" w:cs="Times New Roman"/>
          <w:sz w:val="20"/>
          <w:szCs w:val="20"/>
        </w:rPr>
        <w:t xml:space="preserve">age consumption changes by SEC and </w:t>
      </w:r>
      <w:r w:rsidRPr="00902321">
        <w:rPr>
          <w:rFonts w:ascii="Times New Roman" w:hAnsi="Times New Roman" w:cs="Times New Roman"/>
          <w:sz w:val="20"/>
          <w:szCs w:val="20"/>
        </w:rPr>
        <w:t>food category</w:t>
      </w:r>
      <w:r>
        <w:rPr>
          <w:rFonts w:ascii="Times New Roman" w:hAnsi="Times New Roman" w:cs="Times New Roman"/>
          <w:sz w:val="20"/>
          <w:szCs w:val="20"/>
        </w:rPr>
        <w:t xml:space="preserve"> if only foods with above average emission are taxed </w:t>
      </w:r>
      <w:r w:rsidRPr="00902321">
        <w:rPr>
          <w:rFonts w:ascii="Times New Roman" w:hAnsi="Times New Roman" w:cs="Times New Roman"/>
          <w:sz w:val="20"/>
          <w:szCs w:val="20"/>
        </w:rPr>
        <w:t xml:space="preserve">(see </w:t>
      </w:r>
      <w:r>
        <w:rPr>
          <w:rFonts w:ascii="Times New Roman" w:hAnsi="Times New Roman" w:cs="Times New Roman"/>
          <w:sz w:val="20"/>
          <w:szCs w:val="20"/>
        </w:rPr>
        <w:t xml:space="preserve">Table </w:t>
      </w:r>
      <w:r w:rsidR="009423E7">
        <w:rPr>
          <w:rFonts w:ascii="Times New Roman" w:hAnsi="Times New Roman" w:cs="Times New Roman"/>
          <w:sz w:val="20"/>
          <w:szCs w:val="20"/>
        </w:rPr>
        <w:t>6</w:t>
      </w:r>
      <w:r>
        <w:rPr>
          <w:rFonts w:ascii="Times New Roman" w:hAnsi="Times New Roman" w:cs="Times New Roman"/>
          <w:sz w:val="20"/>
          <w:szCs w:val="20"/>
        </w:rPr>
        <w:t xml:space="preserve"> in appendix</w:t>
      </w:r>
      <w:r w:rsidRPr="00902321">
        <w:rPr>
          <w:rFonts w:ascii="Times New Roman" w:hAnsi="Times New Roman" w:cs="Times New Roman"/>
          <w:sz w:val="20"/>
          <w:szCs w:val="20"/>
        </w:rPr>
        <w:t>)</w:t>
      </w:r>
      <w:r>
        <w:rPr>
          <w:rFonts w:ascii="Times New Roman" w:hAnsi="Times New Roman" w:cs="Times New Roman"/>
          <w:sz w:val="20"/>
          <w:szCs w:val="20"/>
        </w:rPr>
        <w:t>. The taxed food categories are c</w:t>
      </w:r>
      <w:r w:rsidRPr="009817F9">
        <w:rPr>
          <w:rFonts w:ascii="Times New Roman" w:hAnsi="Times New Roman" w:cs="Times New Roman"/>
          <w:sz w:val="20"/>
          <w:szCs w:val="20"/>
        </w:rPr>
        <w:t>heese</w:t>
      </w:r>
      <w:r>
        <w:rPr>
          <w:rFonts w:ascii="Times New Roman" w:hAnsi="Times New Roman" w:cs="Times New Roman"/>
          <w:sz w:val="20"/>
          <w:szCs w:val="20"/>
        </w:rPr>
        <w:t>, p</w:t>
      </w:r>
      <w:r w:rsidRPr="009817F9">
        <w:rPr>
          <w:rFonts w:ascii="Times New Roman" w:hAnsi="Times New Roman" w:cs="Times New Roman"/>
          <w:sz w:val="20"/>
          <w:szCs w:val="20"/>
        </w:rPr>
        <w:t>ork</w:t>
      </w:r>
      <w:r>
        <w:rPr>
          <w:rFonts w:ascii="Times New Roman" w:hAnsi="Times New Roman" w:cs="Times New Roman"/>
          <w:sz w:val="20"/>
          <w:szCs w:val="20"/>
        </w:rPr>
        <w:t>, b</w:t>
      </w:r>
      <w:r w:rsidRPr="009817F9">
        <w:rPr>
          <w:rFonts w:ascii="Times New Roman" w:hAnsi="Times New Roman" w:cs="Times New Roman"/>
          <w:sz w:val="20"/>
          <w:szCs w:val="20"/>
        </w:rPr>
        <w:t>eef</w:t>
      </w:r>
      <w:r>
        <w:rPr>
          <w:rFonts w:ascii="Times New Roman" w:hAnsi="Times New Roman" w:cs="Times New Roman"/>
          <w:sz w:val="20"/>
          <w:szCs w:val="20"/>
        </w:rPr>
        <w:t>, l</w:t>
      </w:r>
      <w:r w:rsidRPr="009817F9">
        <w:rPr>
          <w:rFonts w:ascii="Times New Roman" w:hAnsi="Times New Roman" w:cs="Times New Roman"/>
          <w:sz w:val="20"/>
          <w:szCs w:val="20"/>
        </w:rPr>
        <w:t>amb</w:t>
      </w:r>
      <w:r>
        <w:rPr>
          <w:rFonts w:ascii="Times New Roman" w:hAnsi="Times New Roman" w:cs="Times New Roman"/>
          <w:sz w:val="20"/>
          <w:szCs w:val="20"/>
        </w:rPr>
        <w:t>, other m</w:t>
      </w:r>
      <w:r w:rsidRPr="009817F9">
        <w:rPr>
          <w:rFonts w:ascii="Times New Roman" w:hAnsi="Times New Roman" w:cs="Times New Roman"/>
          <w:sz w:val="20"/>
          <w:szCs w:val="20"/>
        </w:rPr>
        <w:t>eat</w:t>
      </w:r>
      <w:r>
        <w:rPr>
          <w:rFonts w:ascii="Times New Roman" w:hAnsi="Times New Roman" w:cs="Times New Roman"/>
          <w:sz w:val="20"/>
          <w:szCs w:val="20"/>
        </w:rPr>
        <w:t>, b</w:t>
      </w:r>
      <w:r w:rsidRPr="009817F9">
        <w:rPr>
          <w:rFonts w:ascii="Times New Roman" w:hAnsi="Times New Roman" w:cs="Times New Roman"/>
          <w:sz w:val="20"/>
          <w:szCs w:val="20"/>
        </w:rPr>
        <w:t>read etc.</w:t>
      </w:r>
      <w:r>
        <w:rPr>
          <w:rFonts w:ascii="Times New Roman" w:hAnsi="Times New Roman" w:cs="Times New Roman"/>
          <w:sz w:val="20"/>
          <w:szCs w:val="20"/>
        </w:rPr>
        <w:t>, a</w:t>
      </w:r>
      <w:r w:rsidRPr="009817F9">
        <w:rPr>
          <w:rFonts w:ascii="Times New Roman" w:hAnsi="Times New Roman" w:cs="Times New Roman"/>
          <w:sz w:val="20"/>
          <w:szCs w:val="20"/>
        </w:rPr>
        <w:t>nimal fats</w:t>
      </w:r>
      <w:r>
        <w:rPr>
          <w:rFonts w:ascii="Times New Roman" w:hAnsi="Times New Roman" w:cs="Times New Roman"/>
          <w:sz w:val="20"/>
          <w:szCs w:val="20"/>
        </w:rPr>
        <w:t>, tea &amp; cocoa and c</w:t>
      </w:r>
      <w:r w:rsidRPr="009817F9">
        <w:rPr>
          <w:rFonts w:ascii="Times New Roman" w:hAnsi="Times New Roman" w:cs="Times New Roman"/>
          <w:sz w:val="20"/>
          <w:szCs w:val="20"/>
        </w:rPr>
        <w:t>offee drinks</w:t>
      </w:r>
      <w:r w:rsidRPr="00902321">
        <w:rPr>
          <w:rFonts w:ascii="Times New Roman" w:hAnsi="Times New Roman" w:cs="Times New Roman"/>
          <w:sz w:val="20"/>
          <w:szCs w:val="20"/>
        </w:rPr>
        <w:t>.</w:t>
      </w:r>
      <w:r>
        <w:rPr>
          <w:rFonts w:ascii="Times New Roman" w:hAnsi="Times New Roman" w:cs="Times New Roman"/>
          <w:sz w:val="20"/>
          <w:szCs w:val="20"/>
        </w:rPr>
        <w:t xml:space="preserve"> SEC4 decreases milk consumption more than any other SEC which is similar to Scenario A but the decrease is slightly smaller (-9%). SEC2 has the largest reductions in consumption of cheese and eggs (-6.4% and -7%). In the case of cheese this is due to complementary relationships with milk and other milk products and with the fats &amp; starches categories. In the case of eggs, this is due to a strong complementary relationship with cheese. Looking at beef, SEC4 and OTHER decrease their consumption the most (-10.4% and -10.2%) which is consistent with Scenario A. SEC2 decreases consumption of lamb the most (-9.5%) because it has with -1.6% the largest own price elasticity (Online resource X) as well as complementary relationships with the fats &amp; starches categories. The pattern for other meat and fish consumption is similar to Scenario A with SEC4 reducing consumption the most. The same is true for animal fats consumption, which as in Scenario A decreases the most for OTHER although to a slightly lesser extent (-5.2%). Unlike in Scenario A, all SECs increase their vegetable fats consumption except SEC4. This is due to a substitute relationship between vegetable fats and breads etc. which are both taxed food categories. In the case of SEC4 this relationship is offset by a complementary relationship between animal and vegetable fats arising from a large income effect as indicated by the fact that SEC4 has the largest expenditure elasticity for vegetable fats. The large reductions in sugar etc. consumption by SEC3 arise for the same reasons as those discussed </w:t>
      </w:r>
      <w:r w:rsidR="009423E7">
        <w:rPr>
          <w:rFonts w:ascii="Times New Roman" w:hAnsi="Times New Roman" w:cs="Times New Roman"/>
          <w:sz w:val="20"/>
          <w:szCs w:val="20"/>
        </w:rPr>
        <w:t>in the previous section</w:t>
      </w:r>
      <w:r>
        <w:rPr>
          <w:rFonts w:ascii="Times New Roman" w:hAnsi="Times New Roman" w:cs="Times New Roman"/>
          <w:sz w:val="20"/>
          <w:szCs w:val="20"/>
        </w:rPr>
        <w:t>. The increase in sugar etc. consumption by OTHER is due to a substitute relationship with bread etc. Potato consumption decreases for all SECs, in particular for SEC4 (-2.6%) because of a strong complementary relationship with breads etc. Consumption of canned and fresh vegetables is reduced by all SECs. Even though OTHER has the largest own price elasticities, SEC2 reduces consumption the most (-0.9% and -1.1%) because out of all SECs it has the largest expenditure shares for fresh and canned vegetables and therefore it is more price responsive. Looking at coffee drinks, consumption is reduced by SEC1 and SEC4-5 by around 3%, and it is reduced the most by SEC2 (-5.3%) and SEC3 (-4.4%). In the case of SEC2 this is explained by complementary relationships with the taxed food categories bread etc. and tea &amp; cocoa, and in the case of SEC3 this explained by it experiencing out of all SECs the largest proportional price increase.</w:t>
      </w:r>
    </w:p>
    <w:p w:rsidR="00EF6801" w:rsidRDefault="00EF6801" w:rsidP="00EF6801">
      <w:pPr>
        <w:rPr>
          <w:rFonts w:ascii="Times New Roman" w:hAnsi="Times New Roman" w:cs="Times New Roman"/>
          <w:sz w:val="20"/>
          <w:szCs w:val="20"/>
        </w:rPr>
      </w:pPr>
    </w:p>
    <w:p w:rsidR="007F0F1E" w:rsidRDefault="00832F87"/>
    <w:sectPr w:rsidR="007F0F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63C"/>
    <w:rsid w:val="000B64A0"/>
    <w:rsid w:val="00180D16"/>
    <w:rsid w:val="00206092"/>
    <w:rsid w:val="00291F81"/>
    <w:rsid w:val="004864FE"/>
    <w:rsid w:val="0054011F"/>
    <w:rsid w:val="00627A96"/>
    <w:rsid w:val="00691D24"/>
    <w:rsid w:val="006B6223"/>
    <w:rsid w:val="00712B69"/>
    <w:rsid w:val="00832F87"/>
    <w:rsid w:val="00836C92"/>
    <w:rsid w:val="009423E7"/>
    <w:rsid w:val="00A853C4"/>
    <w:rsid w:val="00B04CAC"/>
    <w:rsid w:val="00EF6801"/>
    <w:rsid w:val="00F43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08964B-721E-4018-A9A2-5ACE3907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01"/>
    <w:pPr>
      <w:spacing w:after="0" w:line="360" w:lineRule="auto"/>
    </w:pPr>
    <w:rPr>
      <w:sz w:val="24"/>
    </w:rPr>
  </w:style>
  <w:style w:type="paragraph" w:styleId="Heading1">
    <w:name w:val="heading 1"/>
    <w:basedOn w:val="Normal"/>
    <w:next w:val="Normal"/>
    <w:link w:val="Heading1Char"/>
    <w:uiPriority w:val="9"/>
    <w:qFormat/>
    <w:rsid w:val="00691D24"/>
    <w:pPr>
      <w:keepNext/>
      <w:keepLines/>
      <w:spacing w:before="480"/>
      <w:outlineLvl w:val="0"/>
    </w:pPr>
    <w:rPr>
      <w:rFonts w:asciiTheme="majorHAnsi" w:eastAsiaTheme="majorEastAsia" w:hAnsiTheme="majorHAnsi" w:cstheme="majorBidi"/>
      <w:bCs/>
      <w:color w:val="000000" w:themeColor="text1"/>
      <w:sz w:val="28"/>
      <w:szCs w:val="28"/>
    </w:rPr>
  </w:style>
  <w:style w:type="paragraph" w:styleId="Heading2">
    <w:name w:val="heading 2"/>
    <w:basedOn w:val="Normal"/>
    <w:next w:val="Normal"/>
    <w:link w:val="Heading2Char"/>
    <w:uiPriority w:val="9"/>
    <w:unhideWhenUsed/>
    <w:qFormat/>
    <w:rsid w:val="00627A96"/>
    <w:pPr>
      <w:keepNext/>
      <w:keepLines/>
      <w:spacing w:before="200" w:line="276" w:lineRule="auto"/>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D24"/>
    <w:rPr>
      <w:rFonts w:asciiTheme="majorHAnsi" w:eastAsiaTheme="majorEastAsia" w:hAnsiTheme="majorHAnsi" w:cstheme="majorBidi"/>
      <w:bCs/>
      <w:color w:val="000000" w:themeColor="text1"/>
      <w:sz w:val="28"/>
      <w:szCs w:val="28"/>
    </w:rPr>
  </w:style>
  <w:style w:type="character" w:customStyle="1" w:styleId="Heading2Char">
    <w:name w:val="Heading 2 Char"/>
    <w:basedOn w:val="DefaultParagraphFont"/>
    <w:link w:val="Heading2"/>
    <w:uiPriority w:val="9"/>
    <w:rsid w:val="00627A96"/>
    <w:rPr>
      <w:rFonts w:asciiTheme="majorHAnsi" w:eastAsiaTheme="majorEastAsia" w:hAnsiTheme="majorHAnsi" w:cstheme="majorBidi"/>
      <w:b/>
      <w:bCs/>
      <w:sz w:val="26"/>
      <w:szCs w:val="26"/>
    </w:rPr>
  </w:style>
  <w:style w:type="paragraph" w:styleId="NoSpacing">
    <w:name w:val="No Spacing"/>
    <w:autoRedefine/>
    <w:uiPriority w:val="1"/>
    <w:qFormat/>
    <w:rsid w:val="00206092"/>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818</Words>
  <Characters>4665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Reading</Company>
  <LinksUpToDate>false</LinksUpToDate>
  <CharactersWithSpaces>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Kehlbacher</dc:creator>
  <cp:keywords/>
  <dc:description/>
  <cp:lastModifiedBy>Ariane Kehlbacher</cp:lastModifiedBy>
  <cp:revision>7</cp:revision>
  <dcterms:created xsi:type="dcterms:W3CDTF">2015-09-14T13:29:00Z</dcterms:created>
  <dcterms:modified xsi:type="dcterms:W3CDTF">2015-12-18T13:45:00Z</dcterms:modified>
</cp:coreProperties>
</file>