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BF6E7" w14:textId="190419D7" w:rsidR="00914BAB" w:rsidRDefault="00914BAB" w:rsidP="00914BAB">
      <w:pPr>
        <w:pStyle w:val="Title"/>
      </w:pPr>
      <w:bookmarkStart w:id="0" w:name="_Toc292953267"/>
      <w:r w:rsidRPr="00914BAB">
        <w:t>Low Carbon Cities: Is Ambitious Action Affordable?</w:t>
      </w:r>
    </w:p>
    <w:p w14:paraId="37F1A345" w14:textId="00999313" w:rsidR="00914BAB" w:rsidRPr="00914BAB" w:rsidRDefault="00914BAB" w:rsidP="00914BAB">
      <w:pPr>
        <w:pStyle w:val="Title"/>
        <w:rPr>
          <w:sz w:val="36"/>
        </w:rPr>
      </w:pPr>
      <w:r w:rsidRPr="00914BAB">
        <w:t>Supplementary Information</w:t>
      </w:r>
    </w:p>
    <w:p w14:paraId="6500A083" w14:textId="77777777" w:rsidR="00914BAB" w:rsidRDefault="00914BAB" w:rsidP="00914BAB">
      <w:pPr>
        <w:pStyle w:val="Title"/>
        <w:rPr>
          <w:b w:val="0"/>
        </w:rPr>
      </w:pPr>
    </w:p>
    <w:p w14:paraId="4B0DF355" w14:textId="77777777" w:rsidR="00914BAB" w:rsidRPr="00914BAB" w:rsidRDefault="00914BAB" w:rsidP="00914BAB"/>
    <w:p w14:paraId="782C590E" w14:textId="46ED4F32" w:rsidR="00B26608" w:rsidRPr="00914BAB" w:rsidRDefault="007F4744" w:rsidP="00914BAB">
      <w:pPr>
        <w:pStyle w:val="Title"/>
        <w:rPr>
          <w:noProof/>
        </w:rPr>
      </w:pPr>
      <w:r w:rsidRPr="00914BAB">
        <w:t>Contents</w:t>
      </w:r>
      <w:bookmarkEnd w:id="0"/>
      <w:r w:rsidR="002013F7" w:rsidRPr="00914BAB">
        <w:fldChar w:fldCharType="begin"/>
      </w:r>
      <w:r w:rsidR="002013F7" w:rsidRPr="00914BAB">
        <w:instrText xml:space="preserve"> TOC \o "1-3" </w:instrText>
      </w:r>
      <w:r w:rsidR="002013F7" w:rsidRPr="00914BAB">
        <w:fldChar w:fldCharType="separate"/>
      </w:r>
    </w:p>
    <w:p w14:paraId="5861636C" w14:textId="748C63CB" w:rsidR="00B26608" w:rsidRPr="00914BAB" w:rsidRDefault="00B26608">
      <w:pPr>
        <w:pStyle w:val="TOC1"/>
        <w:tabs>
          <w:tab w:val="left" w:pos="399"/>
          <w:tab w:val="right" w:leader="dot" w:pos="9016"/>
        </w:tabs>
        <w:rPr>
          <w:rFonts w:cstheme="minorBidi"/>
          <w:noProof/>
          <w:sz w:val="24"/>
          <w:lang w:eastAsia="ja-JP"/>
        </w:rPr>
      </w:pPr>
      <w:r w:rsidRPr="00914BAB">
        <w:rPr>
          <w:noProof/>
          <w:sz w:val="24"/>
        </w:rPr>
        <w:t>1.</w:t>
      </w:r>
      <w:r w:rsidRPr="00914BAB">
        <w:rPr>
          <w:rFonts w:cstheme="minorBidi"/>
          <w:noProof/>
          <w:sz w:val="24"/>
          <w:lang w:eastAsia="ja-JP"/>
        </w:rPr>
        <w:tab/>
      </w:r>
      <w:r w:rsidRPr="00914BAB">
        <w:rPr>
          <w:noProof/>
          <w:sz w:val="24"/>
        </w:rPr>
        <w:t>Introduction</w:t>
      </w:r>
      <w:r w:rsidRPr="00914BAB">
        <w:rPr>
          <w:noProof/>
          <w:sz w:val="24"/>
        </w:rPr>
        <w:tab/>
      </w:r>
      <w:r w:rsidRPr="00914BAB">
        <w:rPr>
          <w:noProof/>
          <w:sz w:val="24"/>
        </w:rPr>
        <w:fldChar w:fldCharType="begin"/>
      </w:r>
      <w:r w:rsidRPr="00914BAB">
        <w:rPr>
          <w:noProof/>
          <w:sz w:val="24"/>
        </w:rPr>
        <w:instrText xml:space="preserve"> PAGEREF _Toc292953268 \h </w:instrText>
      </w:r>
      <w:r w:rsidRPr="00914BAB">
        <w:rPr>
          <w:noProof/>
          <w:sz w:val="24"/>
        </w:rPr>
      </w:r>
      <w:r w:rsidRPr="00914BAB">
        <w:rPr>
          <w:noProof/>
          <w:sz w:val="24"/>
        </w:rPr>
        <w:fldChar w:fldCharType="separate"/>
      </w:r>
      <w:r w:rsidR="00DB7747">
        <w:rPr>
          <w:noProof/>
          <w:sz w:val="24"/>
        </w:rPr>
        <w:t>2</w:t>
      </w:r>
      <w:r w:rsidRPr="00914BAB">
        <w:rPr>
          <w:noProof/>
          <w:sz w:val="24"/>
        </w:rPr>
        <w:fldChar w:fldCharType="end"/>
      </w:r>
    </w:p>
    <w:p w14:paraId="2B301175" w14:textId="713529EB" w:rsidR="00B26608" w:rsidRPr="00914BAB" w:rsidRDefault="00B26608">
      <w:pPr>
        <w:pStyle w:val="TOC1"/>
        <w:tabs>
          <w:tab w:val="left" w:pos="399"/>
          <w:tab w:val="right" w:leader="dot" w:pos="9016"/>
        </w:tabs>
        <w:rPr>
          <w:rFonts w:cstheme="minorBidi"/>
          <w:noProof/>
          <w:sz w:val="24"/>
          <w:lang w:eastAsia="ja-JP"/>
        </w:rPr>
      </w:pPr>
      <w:r w:rsidRPr="00914BAB">
        <w:rPr>
          <w:noProof/>
          <w:sz w:val="24"/>
        </w:rPr>
        <w:t>2.</w:t>
      </w:r>
      <w:r w:rsidRPr="00914BAB">
        <w:rPr>
          <w:rFonts w:cstheme="minorBidi"/>
          <w:noProof/>
          <w:sz w:val="24"/>
          <w:lang w:eastAsia="ja-JP"/>
        </w:rPr>
        <w:tab/>
      </w:r>
      <w:r w:rsidRPr="00914BAB">
        <w:rPr>
          <w:noProof/>
          <w:sz w:val="24"/>
          <w:shd w:val="clear" w:color="auto" w:fill="FFFFFF"/>
        </w:rPr>
        <w:t>Methodology</w:t>
      </w:r>
      <w:r w:rsidRPr="00914BAB">
        <w:rPr>
          <w:noProof/>
          <w:sz w:val="24"/>
        </w:rPr>
        <w:tab/>
      </w:r>
      <w:r w:rsidRPr="00914BAB">
        <w:rPr>
          <w:noProof/>
          <w:sz w:val="24"/>
        </w:rPr>
        <w:fldChar w:fldCharType="begin"/>
      </w:r>
      <w:r w:rsidRPr="00914BAB">
        <w:rPr>
          <w:noProof/>
          <w:sz w:val="24"/>
        </w:rPr>
        <w:instrText xml:space="preserve"> PAGEREF _Toc292953269 \h </w:instrText>
      </w:r>
      <w:r w:rsidRPr="00914BAB">
        <w:rPr>
          <w:noProof/>
          <w:sz w:val="24"/>
        </w:rPr>
      </w:r>
      <w:r w:rsidRPr="00914BAB">
        <w:rPr>
          <w:noProof/>
          <w:sz w:val="24"/>
        </w:rPr>
        <w:fldChar w:fldCharType="separate"/>
      </w:r>
      <w:r w:rsidR="00DB7747">
        <w:rPr>
          <w:noProof/>
          <w:sz w:val="24"/>
        </w:rPr>
        <w:t>3</w:t>
      </w:r>
      <w:r w:rsidRPr="00914BAB">
        <w:rPr>
          <w:noProof/>
          <w:sz w:val="24"/>
        </w:rPr>
        <w:fldChar w:fldCharType="end"/>
      </w:r>
    </w:p>
    <w:p w14:paraId="6E1A8C91" w14:textId="5CD0255A" w:rsidR="00B26608" w:rsidRPr="00914BAB" w:rsidRDefault="00B26608">
      <w:pPr>
        <w:pStyle w:val="TOC2"/>
        <w:tabs>
          <w:tab w:val="left" w:pos="769"/>
          <w:tab w:val="right" w:leader="dot" w:pos="9016"/>
        </w:tabs>
        <w:rPr>
          <w:rFonts w:cstheme="minorBidi"/>
          <w:noProof/>
          <w:sz w:val="24"/>
          <w:lang w:eastAsia="ja-JP"/>
        </w:rPr>
      </w:pPr>
      <w:r w:rsidRPr="00914BAB">
        <w:rPr>
          <w:noProof/>
          <w:sz w:val="24"/>
        </w:rPr>
        <w:t>2.1.</w:t>
      </w:r>
      <w:r w:rsidRPr="00914BAB">
        <w:rPr>
          <w:rFonts w:cstheme="minorBidi"/>
          <w:noProof/>
          <w:sz w:val="24"/>
          <w:lang w:eastAsia="ja-JP"/>
        </w:rPr>
        <w:tab/>
      </w:r>
      <w:r w:rsidRPr="00914BAB">
        <w:rPr>
          <w:noProof/>
          <w:sz w:val="24"/>
        </w:rPr>
        <w:t>Calculation Approach</w:t>
      </w:r>
      <w:r w:rsidRPr="00914BAB">
        <w:rPr>
          <w:noProof/>
          <w:sz w:val="24"/>
        </w:rPr>
        <w:tab/>
      </w:r>
      <w:r w:rsidRPr="00914BAB">
        <w:rPr>
          <w:noProof/>
          <w:sz w:val="24"/>
        </w:rPr>
        <w:fldChar w:fldCharType="begin"/>
      </w:r>
      <w:r w:rsidRPr="00914BAB">
        <w:rPr>
          <w:noProof/>
          <w:sz w:val="24"/>
        </w:rPr>
        <w:instrText xml:space="preserve"> PAGEREF _Toc292953270 \h </w:instrText>
      </w:r>
      <w:r w:rsidRPr="00914BAB">
        <w:rPr>
          <w:noProof/>
          <w:sz w:val="24"/>
        </w:rPr>
      </w:r>
      <w:r w:rsidRPr="00914BAB">
        <w:rPr>
          <w:noProof/>
          <w:sz w:val="24"/>
        </w:rPr>
        <w:fldChar w:fldCharType="separate"/>
      </w:r>
      <w:r w:rsidR="00DB7747">
        <w:rPr>
          <w:noProof/>
          <w:sz w:val="24"/>
        </w:rPr>
        <w:t>3</w:t>
      </w:r>
      <w:r w:rsidRPr="00914BAB">
        <w:rPr>
          <w:noProof/>
          <w:sz w:val="24"/>
        </w:rPr>
        <w:fldChar w:fldCharType="end"/>
      </w:r>
    </w:p>
    <w:p w14:paraId="0B8F996E" w14:textId="04D8260E"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2.1.1.</w:t>
      </w:r>
      <w:r w:rsidRPr="00914BAB">
        <w:rPr>
          <w:rFonts w:cstheme="minorBidi"/>
          <w:noProof/>
          <w:sz w:val="24"/>
          <w:lang w:eastAsia="ja-JP"/>
        </w:rPr>
        <w:tab/>
      </w:r>
      <w:r w:rsidRPr="00914BAB">
        <w:rPr>
          <w:noProof/>
          <w:sz w:val="24"/>
        </w:rPr>
        <w:t>Buildings:  Commercial and Residential</w:t>
      </w:r>
      <w:r w:rsidRPr="00914BAB">
        <w:rPr>
          <w:noProof/>
          <w:sz w:val="24"/>
        </w:rPr>
        <w:tab/>
      </w:r>
      <w:r w:rsidRPr="00914BAB">
        <w:rPr>
          <w:noProof/>
          <w:sz w:val="24"/>
        </w:rPr>
        <w:fldChar w:fldCharType="begin"/>
      </w:r>
      <w:r w:rsidRPr="00914BAB">
        <w:rPr>
          <w:noProof/>
          <w:sz w:val="24"/>
        </w:rPr>
        <w:instrText xml:space="preserve"> PAGEREF _Toc292953271 \h </w:instrText>
      </w:r>
      <w:r w:rsidRPr="00914BAB">
        <w:rPr>
          <w:noProof/>
          <w:sz w:val="24"/>
        </w:rPr>
      </w:r>
      <w:r w:rsidRPr="00914BAB">
        <w:rPr>
          <w:noProof/>
          <w:sz w:val="24"/>
        </w:rPr>
        <w:fldChar w:fldCharType="separate"/>
      </w:r>
      <w:r w:rsidR="00DB7747">
        <w:rPr>
          <w:noProof/>
          <w:sz w:val="24"/>
        </w:rPr>
        <w:t>4</w:t>
      </w:r>
      <w:r w:rsidRPr="00914BAB">
        <w:rPr>
          <w:noProof/>
          <w:sz w:val="24"/>
        </w:rPr>
        <w:fldChar w:fldCharType="end"/>
      </w:r>
    </w:p>
    <w:p w14:paraId="1EFDC317" w14:textId="5C15C8ED"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2.1.2.</w:t>
      </w:r>
      <w:r w:rsidRPr="00914BAB">
        <w:rPr>
          <w:rFonts w:cstheme="minorBidi"/>
          <w:noProof/>
          <w:sz w:val="24"/>
          <w:lang w:eastAsia="ja-JP"/>
        </w:rPr>
        <w:tab/>
      </w:r>
      <w:r w:rsidRPr="00914BAB">
        <w:rPr>
          <w:noProof/>
          <w:sz w:val="24"/>
        </w:rPr>
        <w:t>Transport: Passenger transport and freight transport</w:t>
      </w:r>
      <w:r w:rsidRPr="00914BAB">
        <w:rPr>
          <w:noProof/>
          <w:sz w:val="24"/>
        </w:rPr>
        <w:tab/>
      </w:r>
      <w:r w:rsidRPr="00914BAB">
        <w:rPr>
          <w:noProof/>
          <w:sz w:val="24"/>
        </w:rPr>
        <w:fldChar w:fldCharType="begin"/>
      </w:r>
      <w:r w:rsidRPr="00914BAB">
        <w:rPr>
          <w:noProof/>
          <w:sz w:val="24"/>
        </w:rPr>
        <w:instrText xml:space="preserve"> PAGEREF _Toc292953272 \h </w:instrText>
      </w:r>
      <w:r w:rsidRPr="00914BAB">
        <w:rPr>
          <w:noProof/>
          <w:sz w:val="24"/>
        </w:rPr>
      </w:r>
      <w:r w:rsidRPr="00914BAB">
        <w:rPr>
          <w:noProof/>
          <w:sz w:val="24"/>
        </w:rPr>
        <w:fldChar w:fldCharType="separate"/>
      </w:r>
      <w:r w:rsidR="00DB7747">
        <w:rPr>
          <w:noProof/>
          <w:sz w:val="24"/>
        </w:rPr>
        <w:t>6</w:t>
      </w:r>
      <w:r w:rsidRPr="00914BAB">
        <w:rPr>
          <w:noProof/>
          <w:sz w:val="24"/>
        </w:rPr>
        <w:fldChar w:fldCharType="end"/>
      </w:r>
    </w:p>
    <w:p w14:paraId="083210B1" w14:textId="43AE95B9"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2.1.3.</w:t>
      </w:r>
      <w:r w:rsidRPr="00914BAB">
        <w:rPr>
          <w:rFonts w:cstheme="minorBidi"/>
          <w:noProof/>
          <w:sz w:val="24"/>
          <w:lang w:eastAsia="ja-JP"/>
        </w:rPr>
        <w:tab/>
      </w:r>
      <w:r w:rsidRPr="00914BAB">
        <w:rPr>
          <w:noProof/>
          <w:sz w:val="24"/>
        </w:rPr>
        <w:t>Waste</w:t>
      </w:r>
      <w:r w:rsidRPr="00914BAB">
        <w:rPr>
          <w:noProof/>
          <w:sz w:val="24"/>
        </w:rPr>
        <w:tab/>
      </w:r>
      <w:r w:rsidRPr="00914BAB">
        <w:rPr>
          <w:noProof/>
          <w:sz w:val="24"/>
        </w:rPr>
        <w:fldChar w:fldCharType="begin"/>
      </w:r>
      <w:r w:rsidRPr="00914BAB">
        <w:rPr>
          <w:noProof/>
          <w:sz w:val="24"/>
        </w:rPr>
        <w:instrText xml:space="preserve"> PAGEREF _Toc292953273 \h </w:instrText>
      </w:r>
      <w:r w:rsidRPr="00914BAB">
        <w:rPr>
          <w:noProof/>
          <w:sz w:val="24"/>
        </w:rPr>
      </w:r>
      <w:r w:rsidRPr="00914BAB">
        <w:rPr>
          <w:noProof/>
          <w:sz w:val="24"/>
        </w:rPr>
        <w:fldChar w:fldCharType="separate"/>
      </w:r>
      <w:r w:rsidR="00DB7747">
        <w:rPr>
          <w:noProof/>
          <w:sz w:val="24"/>
        </w:rPr>
        <w:t>10</w:t>
      </w:r>
      <w:r w:rsidRPr="00914BAB">
        <w:rPr>
          <w:noProof/>
          <w:sz w:val="24"/>
        </w:rPr>
        <w:fldChar w:fldCharType="end"/>
      </w:r>
    </w:p>
    <w:p w14:paraId="03B706C9" w14:textId="2F1CDFC7" w:rsidR="00B26608" w:rsidRPr="00914BAB" w:rsidRDefault="00B26608">
      <w:pPr>
        <w:pStyle w:val="TOC2"/>
        <w:tabs>
          <w:tab w:val="left" w:pos="769"/>
          <w:tab w:val="right" w:leader="dot" w:pos="9016"/>
        </w:tabs>
        <w:rPr>
          <w:rFonts w:cstheme="minorBidi"/>
          <w:noProof/>
          <w:sz w:val="24"/>
          <w:lang w:eastAsia="ja-JP"/>
        </w:rPr>
      </w:pPr>
      <w:r w:rsidRPr="00914BAB">
        <w:rPr>
          <w:noProof/>
          <w:sz w:val="24"/>
        </w:rPr>
        <w:t>2.2.</w:t>
      </w:r>
      <w:r w:rsidRPr="00914BAB">
        <w:rPr>
          <w:rFonts w:cstheme="minorBidi"/>
          <w:noProof/>
          <w:sz w:val="24"/>
          <w:lang w:eastAsia="ja-JP"/>
        </w:rPr>
        <w:tab/>
      </w:r>
      <w:r w:rsidRPr="00914BAB">
        <w:rPr>
          <w:noProof/>
          <w:sz w:val="24"/>
        </w:rPr>
        <w:t>Baseline Data Sources and Assumptions</w:t>
      </w:r>
      <w:r w:rsidRPr="00914BAB">
        <w:rPr>
          <w:noProof/>
          <w:sz w:val="24"/>
        </w:rPr>
        <w:tab/>
      </w:r>
      <w:r w:rsidRPr="00914BAB">
        <w:rPr>
          <w:noProof/>
          <w:sz w:val="24"/>
        </w:rPr>
        <w:fldChar w:fldCharType="begin"/>
      </w:r>
      <w:r w:rsidRPr="00914BAB">
        <w:rPr>
          <w:noProof/>
          <w:sz w:val="24"/>
        </w:rPr>
        <w:instrText xml:space="preserve"> PAGEREF _Toc292953274 \h </w:instrText>
      </w:r>
      <w:r w:rsidRPr="00914BAB">
        <w:rPr>
          <w:noProof/>
          <w:sz w:val="24"/>
        </w:rPr>
      </w:r>
      <w:r w:rsidRPr="00914BAB">
        <w:rPr>
          <w:noProof/>
          <w:sz w:val="24"/>
        </w:rPr>
        <w:fldChar w:fldCharType="separate"/>
      </w:r>
      <w:r w:rsidR="00DB7747">
        <w:rPr>
          <w:noProof/>
          <w:sz w:val="24"/>
        </w:rPr>
        <w:t>11</w:t>
      </w:r>
      <w:r w:rsidRPr="00914BAB">
        <w:rPr>
          <w:noProof/>
          <w:sz w:val="24"/>
        </w:rPr>
        <w:fldChar w:fldCharType="end"/>
      </w:r>
    </w:p>
    <w:p w14:paraId="1F8BEE24" w14:textId="7CA81132"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2.2.1.</w:t>
      </w:r>
      <w:r w:rsidRPr="00914BAB">
        <w:rPr>
          <w:rFonts w:cstheme="minorBidi"/>
          <w:noProof/>
          <w:sz w:val="24"/>
          <w:lang w:eastAsia="ja-JP"/>
        </w:rPr>
        <w:tab/>
      </w:r>
      <w:r w:rsidRPr="00914BAB">
        <w:rPr>
          <w:noProof/>
          <w:sz w:val="24"/>
        </w:rPr>
        <w:t>Buildings: Commercial and Residential</w:t>
      </w:r>
      <w:r w:rsidRPr="00914BAB">
        <w:rPr>
          <w:noProof/>
          <w:sz w:val="24"/>
        </w:rPr>
        <w:tab/>
      </w:r>
      <w:r w:rsidRPr="00914BAB">
        <w:rPr>
          <w:noProof/>
          <w:sz w:val="24"/>
        </w:rPr>
        <w:fldChar w:fldCharType="begin"/>
      </w:r>
      <w:r w:rsidRPr="00914BAB">
        <w:rPr>
          <w:noProof/>
          <w:sz w:val="24"/>
        </w:rPr>
        <w:instrText xml:space="preserve"> PAGEREF _Toc292953275 \h </w:instrText>
      </w:r>
      <w:r w:rsidRPr="00914BAB">
        <w:rPr>
          <w:noProof/>
          <w:sz w:val="24"/>
        </w:rPr>
      </w:r>
      <w:r w:rsidRPr="00914BAB">
        <w:rPr>
          <w:noProof/>
          <w:sz w:val="24"/>
        </w:rPr>
        <w:fldChar w:fldCharType="separate"/>
      </w:r>
      <w:r w:rsidR="00DB7747">
        <w:rPr>
          <w:noProof/>
          <w:sz w:val="24"/>
        </w:rPr>
        <w:t>11</w:t>
      </w:r>
      <w:r w:rsidRPr="00914BAB">
        <w:rPr>
          <w:noProof/>
          <w:sz w:val="24"/>
        </w:rPr>
        <w:fldChar w:fldCharType="end"/>
      </w:r>
    </w:p>
    <w:p w14:paraId="563B997E" w14:textId="1E4D6EA3"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2.2.2.</w:t>
      </w:r>
      <w:r w:rsidRPr="00914BAB">
        <w:rPr>
          <w:rFonts w:cstheme="minorBidi"/>
          <w:noProof/>
          <w:sz w:val="24"/>
          <w:lang w:eastAsia="ja-JP"/>
        </w:rPr>
        <w:tab/>
      </w:r>
      <w:r w:rsidRPr="00914BAB">
        <w:rPr>
          <w:noProof/>
          <w:sz w:val="24"/>
        </w:rPr>
        <w:t>Transport: Passenger transport and freight transport</w:t>
      </w:r>
      <w:r w:rsidRPr="00914BAB">
        <w:rPr>
          <w:noProof/>
          <w:sz w:val="24"/>
        </w:rPr>
        <w:tab/>
      </w:r>
      <w:r w:rsidRPr="00914BAB">
        <w:rPr>
          <w:noProof/>
          <w:sz w:val="24"/>
        </w:rPr>
        <w:fldChar w:fldCharType="begin"/>
      </w:r>
      <w:r w:rsidRPr="00914BAB">
        <w:rPr>
          <w:noProof/>
          <w:sz w:val="24"/>
        </w:rPr>
        <w:instrText xml:space="preserve"> PAGEREF _Toc292953276 \h </w:instrText>
      </w:r>
      <w:r w:rsidRPr="00914BAB">
        <w:rPr>
          <w:noProof/>
          <w:sz w:val="24"/>
        </w:rPr>
      </w:r>
      <w:r w:rsidRPr="00914BAB">
        <w:rPr>
          <w:noProof/>
          <w:sz w:val="24"/>
        </w:rPr>
        <w:fldChar w:fldCharType="separate"/>
      </w:r>
      <w:r w:rsidR="00DB7747">
        <w:rPr>
          <w:noProof/>
          <w:sz w:val="24"/>
        </w:rPr>
        <w:t>12</w:t>
      </w:r>
      <w:r w:rsidRPr="00914BAB">
        <w:rPr>
          <w:noProof/>
          <w:sz w:val="24"/>
        </w:rPr>
        <w:fldChar w:fldCharType="end"/>
      </w:r>
    </w:p>
    <w:p w14:paraId="477C5C60" w14:textId="05844684"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2.2.3.</w:t>
      </w:r>
      <w:r w:rsidRPr="00914BAB">
        <w:rPr>
          <w:rFonts w:cstheme="minorBidi"/>
          <w:noProof/>
          <w:sz w:val="24"/>
          <w:lang w:eastAsia="ja-JP"/>
        </w:rPr>
        <w:tab/>
      </w:r>
      <w:r w:rsidRPr="00914BAB">
        <w:rPr>
          <w:noProof/>
          <w:sz w:val="24"/>
        </w:rPr>
        <w:t>Waste</w:t>
      </w:r>
      <w:r w:rsidRPr="00914BAB">
        <w:rPr>
          <w:noProof/>
          <w:sz w:val="24"/>
        </w:rPr>
        <w:tab/>
      </w:r>
      <w:r w:rsidRPr="00914BAB">
        <w:rPr>
          <w:noProof/>
          <w:sz w:val="24"/>
        </w:rPr>
        <w:fldChar w:fldCharType="begin"/>
      </w:r>
      <w:r w:rsidRPr="00914BAB">
        <w:rPr>
          <w:noProof/>
          <w:sz w:val="24"/>
        </w:rPr>
        <w:instrText xml:space="preserve"> PAGEREF _Toc292953277 \h </w:instrText>
      </w:r>
      <w:r w:rsidRPr="00914BAB">
        <w:rPr>
          <w:noProof/>
          <w:sz w:val="24"/>
        </w:rPr>
      </w:r>
      <w:r w:rsidRPr="00914BAB">
        <w:rPr>
          <w:noProof/>
          <w:sz w:val="24"/>
        </w:rPr>
        <w:fldChar w:fldCharType="separate"/>
      </w:r>
      <w:r w:rsidR="00DB7747">
        <w:rPr>
          <w:noProof/>
          <w:sz w:val="24"/>
        </w:rPr>
        <w:t>12</w:t>
      </w:r>
      <w:r w:rsidRPr="00914BAB">
        <w:rPr>
          <w:noProof/>
          <w:sz w:val="24"/>
        </w:rPr>
        <w:fldChar w:fldCharType="end"/>
      </w:r>
    </w:p>
    <w:p w14:paraId="08F0B468" w14:textId="7C33EF78" w:rsidR="00B26608" w:rsidRPr="00914BAB" w:rsidRDefault="00B26608">
      <w:pPr>
        <w:pStyle w:val="TOC2"/>
        <w:tabs>
          <w:tab w:val="left" w:pos="769"/>
          <w:tab w:val="right" w:leader="dot" w:pos="9016"/>
        </w:tabs>
        <w:rPr>
          <w:rFonts w:cstheme="minorBidi"/>
          <w:noProof/>
          <w:sz w:val="24"/>
          <w:lang w:eastAsia="ja-JP"/>
        </w:rPr>
      </w:pPr>
      <w:r w:rsidRPr="00914BAB">
        <w:rPr>
          <w:noProof/>
          <w:sz w:val="24"/>
        </w:rPr>
        <w:t>2.3.</w:t>
      </w:r>
      <w:r w:rsidRPr="00914BAB">
        <w:rPr>
          <w:rFonts w:cstheme="minorBidi"/>
          <w:noProof/>
          <w:sz w:val="24"/>
          <w:lang w:eastAsia="ja-JP"/>
        </w:rPr>
        <w:tab/>
      </w:r>
      <w:r w:rsidRPr="00914BAB">
        <w:rPr>
          <w:noProof/>
          <w:sz w:val="24"/>
        </w:rPr>
        <w:t>Urban Action Data Sources and Assumptions</w:t>
      </w:r>
      <w:r w:rsidRPr="00914BAB">
        <w:rPr>
          <w:noProof/>
          <w:sz w:val="24"/>
        </w:rPr>
        <w:tab/>
      </w:r>
      <w:r w:rsidRPr="00914BAB">
        <w:rPr>
          <w:noProof/>
          <w:sz w:val="24"/>
        </w:rPr>
        <w:fldChar w:fldCharType="begin"/>
      </w:r>
      <w:r w:rsidRPr="00914BAB">
        <w:rPr>
          <w:noProof/>
          <w:sz w:val="24"/>
        </w:rPr>
        <w:instrText xml:space="preserve"> PAGEREF _Toc292953278 \h </w:instrText>
      </w:r>
      <w:r w:rsidRPr="00914BAB">
        <w:rPr>
          <w:noProof/>
          <w:sz w:val="24"/>
        </w:rPr>
      </w:r>
      <w:r w:rsidRPr="00914BAB">
        <w:rPr>
          <w:noProof/>
          <w:sz w:val="24"/>
        </w:rPr>
        <w:fldChar w:fldCharType="separate"/>
      </w:r>
      <w:r w:rsidR="00DB7747">
        <w:rPr>
          <w:noProof/>
          <w:sz w:val="24"/>
        </w:rPr>
        <w:t>13</w:t>
      </w:r>
      <w:r w:rsidRPr="00914BAB">
        <w:rPr>
          <w:noProof/>
          <w:sz w:val="24"/>
        </w:rPr>
        <w:fldChar w:fldCharType="end"/>
      </w:r>
    </w:p>
    <w:p w14:paraId="1545B1FB" w14:textId="3B94DDAF"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2.3.1.</w:t>
      </w:r>
      <w:r w:rsidRPr="00914BAB">
        <w:rPr>
          <w:rFonts w:cstheme="minorBidi"/>
          <w:noProof/>
          <w:sz w:val="24"/>
          <w:lang w:eastAsia="ja-JP"/>
        </w:rPr>
        <w:tab/>
      </w:r>
      <w:r w:rsidRPr="00914BAB">
        <w:rPr>
          <w:noProof/>
          <w:sz w:val="24"/>
        </w:rPr>
        <w:t>Buildings: Commercial and Residential</w:t>
      </w:r>
      <w:r w:rsidRPr="00914BAB">
        <w:rPr>
          <w:noProof/>
          <w:sz w:val="24"/>
        </w:rPr>
        <w:tab/>
      </w:r>
      <w:r w:rsidRPr="00914BAB">
        <w:rPr>
          <w:noProof/>
          <w:sz w:val="24"/>
        </w:rPr>
        <w:fldChar w:fldCharType="begin"/>
      </w:r>
      <w:r w:rsidRPr="00914BAB">
        <w:rPr>
          <w:noProof/>
          <w:sz w:val="24"/>
        </w:rPr>
        <w:instrText xml:space="preserve"> PAGEREF _Toc292953279 \h </w:instrText>
      </w:r>
      <w:r w:rsidRPr="00914BAB">
        <w:rPr>
          <w:noProof/>
          <w:sz w:val="24"/>
        </w:rPr>
      </w:r>
      <w:r w:rsidRPr="00914BAB">
        <w:rPr>
          <w:noProof/>
          <w:sz w:val="24"/>
        </w:rPr>
        <w:fldChar w:fldCharType="separate"/>
      </w:r>
      <w:r w:rsidR="00DB7747">
        <w:rPr>
          <w:noProof/>
          <w:sz w:val="24"/>
        </w:rPr>
        <w:t>13</w:t>
      </w:r>
      <w:r w:rsidRPr="00914BAB">
        <w:rPr>
          <w:noProof/>
          <w:sz w:val="24"/>
        </w:rPr>
        <w:fldChar w:fldCharType="end"/>
      </w:r>
    </w:p>
    <w:p w14:paraId="2DC9A681" w14:textId="541D435B"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2.3.2.</w:t>
      </w:r>
      <w:r w:rsidRPr="00914BAB">
        <w:rPr>
          <w:rFonts w:cstheme="minorBidi"/>
          <w:noProof/>
          <w:sz w:val="24"/>
          <w:lang w:eastAsia="ja-JP"/>
        </w:rPr>
        <w:tab/>
      </w:r>
      <w:r w:rsidRPr="00914BAB">
        <w:rPr>
          <w:noProof/>
          <w:sz w:val="24"/>
        </w:rPr>
        <w:t>Passenger transport</w:t>
      </w:r>
      <w:r w:rsidRPr="00914BAB">
        <w:rPr>
          <w:noProof/>
          <w:sz w:val="24"/>
        </w:rPr>
        <w:tab/>
      </w:r>
      <w:r w:rsidRPr="00914BAB">
        <w:rPr>
          <w:noProof/>
          <w:sz w:val="24"/>
        </w:rPr>
        <w:fldChar w:fldCharType="begin"/>
      </w:r>
      <w:r w:rsidRPr="00914BAB">
        <w:rPr>
          <w:noProof/>
          <w:sz w:val="24"/>
        </w:rPr>
        <w:instrText xml:space="preserve"> PAGEREF _Toc292953280 \h </w:instrText>
      </w:r>
      <w:r w:rsidRPr="00914BAB">
        <w:rPr>
          <w:noProof/>
          <w:sz w:val="24"/>
        </w:rPr>
      </w:r>
      <w:r w:rsidRPr="00914BAB">
        <w:rPr>
          <w:noProof/>
          <w:sz w:val="24"/>
        </w:rPr>
        <w:fldChar w:fldCharType="separate"/>
      </w:r>
      <w:r w:rsidR="00DB7747">
        <w:rPr>
          <w:noProof/>
          <w:sz w:val="24"/>
        </w:rPr>
        <w:t>15</w:t>
      </w:r>
      <w:r w:rsidRPr="00914BAB">
        <w:rPr>
          <w:noProof/>
          <w:sz w:val="24"/>
        </w:rPr>
        <w:fldChar w:fldCharType="end"/>
      </w:r>
    </w:p>
    <w:p w14:paraId="2C055ECF" w14:textId="05D7A286" w:rsidR="00B26608" w:rsidRPr="00914BAB" w:rsidRDefault="00B26608">
      <w:pPr>
        <w:pStyle w:val="TOC3"/>
        <w:tabs>
          <w:tab w:val="left" w:pos="1138"/>
          <w:tab w:val="right" w:leader="dot" w:pos="9016"/>
        </w:tabs>
        <w:rPr>
          <w:rFonts w:cstheme="minorBidi"/>
          <w:noProof/>
          <w:sz w:val="24"/>
          <w:lang w:eastAsia="ja-JP"/>
        </w:rPr>
      </w:pPr>
      <w:r w:rsidRPr="00914BAB">
        <w:rPr>
          <w:noProof/>
          <w:sz w:val="24"/>
        </w:rPr>
        <w:t>2.3.3.</w:t>
      </w:r>
      <w:r w:rsidRPr="00914BAB">
        <w:rPr>
          <w:rFonts w:cstheme="minorBidi"/>
          <w:noProof/>
          <w:sz w:val="24"/>
          <w:lang w:eastAsia="ja-JP"/>
        </w:rPr>
        <w:tab/>
      </w:r>
      <w:r w:rsidRPr="00914BAB">
        <w:rPr>
          <w:noProof/>
          <w:sz w:val="24"/>
        </w:rPr>
        <w:t>Waste</w:t>
      </w:r>
      <w:r w:rsidRPr="00914BAB">
        <w:rPr>
          <w:noProof/>
          <w:sz w:val="24"/>
        </w:rPr>
        <w:tab/>
      </w:r>
      <w:r w:rsidRPr="00914BAB">
        <w:rPr>
          <w:noProof/>
          <w:sz w:val="24"/>
        </w:rPr>
        <w:fldChar w:fldCharType="begin"/>
      </w:r>
      <w:r w:rsidRPr="00914BAB">
        <w:rPr>
          <w:noProof/>
          <w:sz w:val="24"/>
        </w:rPr>
        <w:instrText xml:space="preserve"> PAGEREF _Toc292953281 \h </w:instrText>
      </w:r>
      <w:r w:rsidRPr="00914BAB">
        <w:rPr>
          <w:noProof/>
          <w:sz w:val="24"/>
        </w:rPr>
      </w:r>
      <w:r w:rsidRPr="00914BAB">
        <w:rPr>
          <w:noProof/>
          <w:sz w:val="24"/>
        </w:rPr>
        <w:fldChar w:fldCharType="separate"/>
      </w:r>
      <w:r w:rsidR="00DB7747">
        <w:rPr>
          <w:noProof/>
          <w:sz w:val="24"/>
        </w:rPr>
        <w:t>17</w:t>
      </w:r>
      <w:r w:rsidRPr="00914BAB">
        <w:rPr>
          <w:noProof/>
          <w:sz w:val="24"/>
        </w:rPr>
        <w:fldChar w:fldCharType="end"/>
      </w:r>
    </w:p>
    <w:p w14:paraId="6512EAA9" w14:textId="78495B93" w:rsidR="00B26608" w:rsidRPr="00914BAB" w:rsidRDefault="00B26608">
      <w:pPr>
        <w:pStyle w:val="TOC2"/>
        <w:tabs>
          <w:tab w:val="left" w:pos="769"/>
          <w:tab w:val="right" w:leader="dot" w:pos="9016"/>
        </w:tabs>
        <w:rPr>
          <w:rFonts w:cstheme="minorBidi"/>
          <w:noProof/>
          <w:sz w:val="24"/>
          <w:lang w:eastAsia="ja-JP"/>
        </w:rPr>
      </w:pPr>
      <w:r w:rsidRPr="00914BAB">
        <w:rPr>
          <w:noProof/>
          <w:sz w:val="24"/>
        </w:rPr>
        <w:t>2.4.</w:t>
      </w:r>
      <w:r w:rsidRPr="00914BAB">
        <w:rPr>
          <w:rFonts w:cstheme="minorBidi"/>
          <w:noProof/>
          <w:sz w:val="24"/>
          <w:lang w:eastAsia="ja-JP"/>
        </w:rPr>
        <w:tab/>
      </w:r>
      <w:r w:rsidRPr="00914BAB">
        <w:rPr>
          <w:noProof/>
          <w:sz w:val="24"/>
        </w:rPr>
        <w:t>Limitations</w:t>
      </w:r>
      <w:r w:rsidRPr="00914BAB">
        <w:rPr>
          <w:noProof/>
          <w:sz w:val="24"/>
        </w:rPr>
        <w:tab/>
      </w:r>
      <w:r w:rsidRPr="00914BAB">
        <w:rPr>
          <w:noProof/>
          <w:sz w:val="24"/>
        </w:rPr>
        <w:fldChar w:fldCharType="begin"/>
      </w:r>
      <w:r w:rsidRPr="00914BAB">
        <w:rPr>
          <w:noProof/>
          <w:sz w:val="24"/>
        </w:rPr>
        <w:instrText xml:space="preserve"> PAGEREF _Toc292953282 \h </w:instrText>
      </w:r>
      <w:r w:rsidRPr="00914BAB">
        <w:rPr>
          <w:noProof/>
          <w:sz w:val="24"/>
        </w:rPr>
      </w:r>
      <w:r w:rsidRPr="00914BAB">
        <w:rPr>
          <w:noProof/>
          <w:sz w:val="24"/>
        </w:rPr>
        <w:fldChar w:fldCharType="separate"/>
      </w:r>
      <w:r w:rsidR="00DB7747">
        <w:rPr>
          <w:noProof/>
          <w:sz w:val="24"/>
        </w:rPr>
        <w:t>18</w:t>
      </w:r>
      <w:r w:rsidRPr="00914BAB">
        <w:rPr>
          <w:noProof/>
          <w:sz w:val="24"/>
        </w:rPr>
        <w:fldChar w:fldCharType="end"/>
      </w:r>
    </w:p>
    <w:p w14:paraId="21C14FD4" w14:textId="2A38D844" w:rsidR="00B26608" w:rsidRPr="00914BAB" w:rsidRDefault="00B26608">
      <w:pPr>
        <w:pStyle w:val="TOC1"/>
        <w:tabs>
          <w:tab w:val="left" w:pos="399"/>
          <w:tab w:val="right" w:leader="dot" w:pos="9016"/>
        </w:tabs>
        <w:rPr>
          <w:rFonts w:cstheme="minorBidi"/>
          <w:noProof/>
          <w:sz w:val="24"/>
          <w:lang w:eastAsia="ja-JP"/>
        </w:rPr>
      </w:pPr>
      <w:r w:rsidRPr="00914BAB">
        <w:rPr>
          <w:noProof/>
          <w:sz w:val="24"/>
        </w:rPr>
        <w:t>3.</w:t>
      </w:r>
      <w:r w:rsidRPr="00914BAB">
        <w:rPr>
          <w:rFonts w:cstheme="minorBidi"/>
          <w:noProof/>
          <w:sz w:val="24"/>
          <w:lang w:eastAsia="ja-JP"/>
        </w:rPr>
        <w:tab/>
      </w:r>
      <w:r w:rsidRPr="00914BAB">
        <w:rPr>
          <w:noProof/>
          <w:sz w:val="24"/>
        </w:rPr>
        <w:t>Results</w:t>
      </w:r>
      <w:r w:rsidRPr="00914BAB">
        <w:rPr>
          <w:noProof/>
          <w:sz w:val="24"/>
        </w:rPr>
        <w:tab/>
      </w:r>
      <w:r w:rsidRPr="00914BAB">
        <w:rPr>
          <w:noProof/>
          <w:sz w:val="24"/>
        </w:rPr>
        <w:fldChar w:fldCharType="begin"/>
      </w:r>
      <w:r w:rsidRPr="00914BAB">
        <w:rPr>
          <w:noProof/>
          <w:sz w:val="24"/>
        </w:rPr>
        <w:instrText xml:space="preserve"> PAGEREF _Toc292953283 \h </w:instrText>
      </w:r>
      <w:r w:rsidRPr="00914BAB">
        <w:rPr>
          <w:noProof/>
          <w:sz w:val="24"/>
        </w:rPr>
      </w:r>
      <w:r w:rsidRPr="00914BAB">
        <w:rPr>
          <w:noProof/>
          <w:sz w:val="24"/>
        </w:rPr>
        <w:fldChar w:fldCharType="separate"/>
      </w:r>
      <w:r w:rsidR="00DB7747">
        <w:rPr>
          <w:noProof/>
          <w:sz w:val="24"/>
        </w:rPr>
        <w:t>19</w:t>
      </w:r>
      <w:r w:rsidRPr="00914BAB">
        <w:rPr>
          <w:noProof/>
          <w:sz w:val="24"/>
        </w:rPr>
        <w:fldChar w:fldCharType="end"/>
      </w:r>
    </w:p>
    <w:p w14:paraId="10204A37" w14:textId="1FE5B069" w:rsidR="00B26608" w:rsidRPr="00914BAB" w:rsidRDefault="00B26608">
      <w:pPr>
        <w:pStyle w:val="TOC2"/>
        <w:tabs>
          <w:tab w:val="left" w:pos="769"/>
          <w:tab w:val="right" w:leader="dot" w:pos="9016"/>
        </w:tabs>
        <w:rPr>
          <w:rFonts w:cstheme="minorBidi"/>
          <w:noProof/>
          <w:sz w:val="24"/>
          <w:lang w:eastAsia="ja-JP"/>
        </w:rPr>
      </w:pPr>
      <w:r w:rsidRPr="00914BAB">
        <w:rPr>
          <w:noProof/>
          <w:sz w:val="24"/>
        </w:rPr>
        <w:t>3.1.</w:t>
      </w:r>
      <w:r w:rsidRPr="00914BAB">
        <w:rPr>
          <w:rFonts w:cstheme="minorBidi"/>
          <w:noProof/>
          <w:sz w:val="24"/>
          <w:lang w:eastAsia="ja-JP"/>
        </w:rPr>
        <w:tab/>
      </w:r>
      <w:r w:rsidRPr="00914BAB">
        <w:rPr>
          <w:noProof/>
          <w:sz w:val="24"/>
        </w:rPr>
        <w:t>Central Projections</w:t>
      </w:r>
      <w:r w:rsidRPr="00914BAB">
        <w:rPr>
          <w:noProof/>
          <w:sz w:val="24"/>
        </w:rPr>
        <w:tab/>
      </w:r>
      <w:r w:rsidRPr="00914BAB">
        <w:rPr>
          <w:noProof/>
          <w:sz w:val="24"/>
        </w:rPr>
        <w:fldChar w:fldCharType="begin"/>
      </w:r>
      <w:r w:rsidRPr="00914BAB">
        <w:rPr>
          <w:noProof/>
          <w:sz w:val="24"/>
        </w:rPr>
        <w:instrText xml:space="preserve"> PAGEREF _Toc292953284 \h </w:instrText>
      </w:r>
      <w:r w:rsidRPr="00914BAB">
        <w:rPr>
          <w:noProof/>
          <w:sz w:val="24"/>
        </w:rPr>
      </w:r>
      <w:r w:rsidRPr="00914BAB">
        <w:rPr>
          <w:noProof/>
          <w:sz w:val="24"/>
        </w:rPr>
        <w:fldChar w:fldCharType="separate"/>
      </w:r>
      <w:r w:rsidR="00DB7747">
        <w:rPr>
          <w:noProof/>
          <w:sz w:val="24"/>
        </w:rPr>
        <w:t>19</w:t>
      </w:r>
      <w:r w:rsidRPr="00914BAB">
        <w:rPr>
          <w:noProof/>
          <w:sz w:val="24"/>
        </w:rPr>
        <w:fldChar w:fldCharType="end"/>
      </w:r>
    </w:p>
    <w:p w14:paraId="41CBDD6C" w14:textId="1B8D84B0" w:rsidR="00B26608" w:rsidRPr="00914BAB" w:rsidRDefault="00B26608">
      <w:pPr>
        <w:pStyle w:val="TOC2"/>
        <w:tabs>
          <w:tab w:val="left" w:pos="769"/>
          <w:tab w:val="right" w:leader="dot" w:pos="9016"/>
        </w:tabs>
        <w:rPr>
          <w:rFonts w:cstheme="minorBidi"/>
          <w:noProof/>
          <w:sz w:val="24"/>
          <w:lang w:eastAsia="ja-JP"/>
        </w:rPr>
      </w:pPr>
      <w:r w:rsidRPr="00914BAB">
        <w:rPr>
          <w:noProof/>
          <w:sz w:val="24"/>
        </w:rPr>
        <w:t>3.2.</w:t>
      </w:r>
      <w:r w:rsidRPr="00914BAB">
        <w:rPr>
          <w:rFonts w:cstheme="minorBidi"/>
          <w:noProof/>
          <w:sz w:val="24"/>
          <w:lang w:eastAsia="ja-JP"/>
        </w:rPr>
        <w:tab/>
      </w:r>
      <w:r w:rsidRPr="00914BAB">
        <w:rPr>
          <w:noProof/>
          <w:sz w:val="24"/>
        </w:rPr>
        <w:t>Sensitivity Analysis</w:t>
      </w:r>
      <w:r w:rsidRPr="00914BAB">
        <w:rPr>
          <w:noProof/>
          <w:sz w:val="24"/>
        </w:rPr>
        <w:tab/>
      </w:r>
      <w:r w:rsidRPr="00914BAB">
        <w:rPr>
          <w:noProof/>
          <w:sz w:val="24"/>
        </w:rPr>
        <w:fldChar w:fldCharType="begin"/>
      </w:r>
      <w:r w:rsidRPr="00914BAB">
        <w:rPr>
          <w:noProof/>
          <w:sz w:val="24"/>
        </w:rPr>
        <w:instrText xml:space="preserve"> PAGEREF _Toc292953285 \h </w:instrText>
      </w:r>
      <w:r w:rsidRPr="00914BAB">
        <w:rPr>
          <w:noProof/>
          <w:sz w:val="24"/>
        </w:rPr>
      </w:r>
      <w:r w:rsidRPr="00914BAB">
        <w:rPr>
          <w:noProof/>
          <w:sz w:val="24"/>
        </w:rPr>
        <w:fldChar w:fldCharType="separate"/>
      </w:r>
      <w:r w:rsidR="00DB7747">
        <w:rPr>
          <w:noProof/>
          <w:sz w:val="24"/>
        </w:rPr>
        <w:t>23</w:t>
      </w:r>
      <w:r w:rsidRPr="00914BAB">
        <w:rPr>
          <w:noProof/>
          <w:sz w:val="24"/>
        </w:rPr>
        <w:fldChar w:fldCharType="end"/>
      </w:r>
    </w:p>
    <w:p w14:paraId="44FA4FFA" w14:textId="5CF66796" w:rsidR="00B26608" w:rsidRPr="00914BAB" w:rsidRDefault="00B26608">
      <w:pPr>
        <w:pStyle w:val="TOC2"/>
        <w:tabs>
          <w:tab w:val="left" w:pos="769"/>
          <w:tab w:val="right" w:leader="dot" w:pos="9016"/>
        </w:tabs>
        <w:rPr>
          <w:rFonts w:cstheme="minorBidi"/>
          <w:noProof/>
          <w:sz w:val="24"/>
          <w:lang w:eastAsia="ja-JP"/>
        </w:rPr>
      </w:pPr>
      <w:r w:rsidRPr="00914BAB">
        <w:rPr>
          <w:noProof/>
          <w:sz w:val="24"/>
        </w:rPr>
        <w:t>3.3.</w:t>
      </w:r>
      <w:r w:rsidRPr="00914BAB">
        <w:rPr>
          <w:rFonts w:cstheme="minorBidi"/>
          <w:noProof/>
          <w:sz w:val="24"/>
          <w:lang w:eastAsia="ja-JP"/>
        </w:rPr>
        <w:tab/>
      </w:r>
      <w:r w:rsidRPr="00914BAB">
        <w:rPr>
          <w:noProof/>
          <w:sz w:val="24"/>
        </w:rPr>
        <w:t>Comparisons with other Assessments</w:t>
      </w:r>
      <w:r w:rsidRPr="00914BAB">
        <w:rPr>
          <w:noProof/>
          <w:sz w:val="24"/>
        </w:rPr>
        <w:tab/>
      </w:r>
      <w:r w:rsidRPr="00914BAB">
        <w:rPr>
          <w:noProof/>
          <w:sz w:val="24"/>
        </w:rPr>
        <w:fldChar w:fldCharType="begin"/>
      </w:r>
      <w:r w:rsidRPr="00914BAB">
        <w:rPr>
          <w:noProof/>
          <w:sz w:val="24"/>
        </w:rPr>
        <w:instrText xml:space="preserve"> PAGEREF _Toc292953286 \h </w:instrText>
      </w:r>
      <w:r w:rsidRPr="00914BAB">
        <w:rPr>
          <w:noProof/>
          <w:sz w:val="24"/>
        </w:rPr>
      </w:r>
      <w:r w:rsidRPr="00914BAB">
        <w:rPr>
          <w:noProof/>
          <w:sz w:val="24"/>
        </w:rPr>
        <w:fldChar w:fldCharType="separate"/>
      </w:r>
      <w:r w:rsidR="00DB7747">
        <w:rPr>
          <w:noProof/>
          <w:sz w:val="24"/>
        </w:rPr>
        <w:t>24</w:t>
      </w:r>
      <w:r w:rsidRPr="00914BAB">
        <w:rPr>
          <w:noProof/>
          <w:sz w:val="24"/>
        </w:rPr>
        <w:fldChar w:fldCharType="end"/>
      </w:r>
    </w:p>
    <w:p w14:paraId="51DAF832" w14:textId="75BDD37D" w:rsidR="00B26608" w:rsidRPr="00914BAB" w:rsidRDefault="00B26608">
      <w:pPr>
        <w:pStyle w:val="TOC1"/>
        <w:tabs>
          <w:tab w:val="left" w:pos="399"/>
          <w:tab w:val="right" w:leader="dot" w:pos="9016"/>
        </w:tabs>
        <w:rPr>
          <w:rFonts w:cstheme="minorBidi"/>
          <w:noProof/>
          <w:sz w:val="24"/>
          <w:lang w:eastAsia="ja-JP"/>
        </w:rPr>
      </w:pPr>
      <w:r w:rsidRPr="00914BAB">
        <w:rPr>
          <w:noProof/>
          <w:sz w:val="24"/>
        </w:rPr>
        <w:t>4.</w:t>
      </w:r>
      <w:r w:rsidRPr="00914BAB">
        <w:rPr>
          <w:rFonts w:cstheme="minorBidi"/>
          <w:noProof/>
          <w:sz w:val="24"/>
          <w:lang w:eastAsia="ja-JP"/>
        </w:rPr>
        <w:tab/>
      </w:r>
      <w:r w:rsidRPr="00914BAB">
        <w:rPr>
          <w:noProof/>
          <w:sz w:val="24"/>
        </w:rPr>
        <w:t>Conclusion</w:t>
      </w:r>
      <w:r w:rsidRPr="00914BAB">
        <w:rPr>
          <w:noProof/>
          <w:sz w:val="24"/>
        </w:rPr>
        <w:tab/>
      </w:r>
      <w:r w:rsidRPr="00914BAB">
        <w:rPr>
          <w:noProof/>
          <w:sz w:val="24"/>
        </w:rPr>
        <w:fldChar w:fldCharType="begin"/>
      </w:r>
      <w:r w:rsidRPr="00914BAB">
        <w:rPr>
          <w:noProof/>
          <w:sz w:val="24"/>
        </w:rPr>
        <w:instrText xml:space="preserve"> PAGEREF _Toc292953287 \h </w:instrText>
      </w:r>
      <w:r w:rsidRPr="00914BAB">
        <w:rPr>
          <w:noProof/>
          <w:sz w:val="24"/>
        </w:rPr>
      </w:r>
      <w:r w:rsidRPr="00914BAB">
        <w:rPr>
          <w:noProof/>
          <w:sz w:val="24"/>
        </w:rPr>
        <w:fldChar w:fldCharType="separate"/>
      </w:r>
      <w:r w:rsidR="00DB7747">
        <w:rPr>
          <w:noProof/>
          <w:sz w:val="24"/>
        </w:rPr>
        <w:t>26</w:t>
      </w:r>
      <w:r w:rsidRPr="00914BAB">
        <w:rPr>
          <w:noProof/>
          <w:sz w:val="24"/>
        </w:rPr>
        <w:fldChar w:fldCharType="end"/>
      </w:r>
    </w:p>
    <w:p w14:paraId="58706FDA" w14:textId="2CF48D2A" w:rsidR="00B26608" w:rsidRPr="00914BAB" w:rsidRDefault="00B26608">
      <w:pPr>
        <w:pStyle w:val="TOC1"/>
        <w:tabs>
          <w:tab w:val="left" w:pos="399"/>
          <w:tab w:val="right" w:leader="dot" w:pos="9016"/>
        </w:tabs>
        <w:rPr>
          <w:rFonts w:cstheme="minorBidi"/>
          <w:noProof/>
          <w:sz w:val="24"/>
          <w:lang w:eastAsia="ja-JP"/>
        </w:rPr>
      </w:pPr>
      <w:r w:rsidRPr="00914BAB">
        <w:rPr>
          <w:noProof/>
          <w:sz w:val="24"/>
        </w:rPr>
        <w:t>5.</w:t>
      </w:r>
      <w:r w:rsidRPr="00914BAB">
        <w:rPr>
          <w:rFonts w:cstheme="minorBidi"/>
          <w:noProof/>
          <w:sz w:val="24"/>
          <w:lang w:eastAsia="ja-JP"/>
        </w:rPr>
        <w:tab/>
      </w:r>
      <w:r w:rsidRPr="00914BAB">
        <w:rPr>
          <w:noProof/>
          <w:sz w:val="24"/>
        </w:rPr>
        <w:t>References</w:t>
      </w:r>
      <w:r w:rsidRPr="00914BAB">
        <w:rPr>
          <w:noProof/>
          <w:sz w:val="24"/>
        </w:rPr>
        <w:tab/>
      </w:r>
      <w:r w:rsidRPr="00914BAB">
        <w:rPr>
          <w:noProof/>
          <w:sz w:val="24"/>
        </w:rPr>
        <w:fldChar w:fldCharType="begin"/>
      </w:r>
      <w:r w:rsidRPr="00914BAB">
        <w:rPr>
          <w:noProof/>
          <w:sz w:val="24"/>
        </w:rPr>
        <w:instrText xml:space="preserve"> PAGEREF _Toc292953288 \h </w:instrText>
      </w:r>
      <w:r w:rsidRPr="00914BAB">
        <w:rPr>
          <w:noProof/>
          <w:sz w:val="24"/>
        </w:rPr>
      </w:r>
      <w:r w:rsidRPr="00914BAB">
        <w:rPr>
          <w:noProof/>
          <w:sz w:val="24"/>
        </w:rPr>
        <w:fldChar w:fldCharType="separate"/>
      </w:r>
      <w:r w:rsidR="00DB7747">
        <w:rPr>
          <w:noProof/>
          <w:sz w:val="24"/>
        </w:rPr>
        <w:t>28</w:t>
      </w:r>
      <w:r w:rsidRPr="00914BAB">
        <w:rPr>
          <w:noProof/>
          <w:sz w:val="24"/>
        </w:rPr>
        <w:fldChar w:fldCharType="end"/>
      </w:r>
    </w:p>
    <w:p w14:paraId="63461B34" w14:textId="4D601D6E" w:rsidR="0015286F" w:rsidRPr="00914BAB" w:rsidRDefault="002013F7" w:rsidP="002013F7">
      <w:pPr>
        <w:rPr>
          <w:sz w:val="24"/>
        </w:rPr>
      </w:pPr>
      <w:r w:rsidRPr="00914BAB">
        <w:rPr>
          <w:sz w:val="24"/>
        </w:rPr>
        <w:fldChar w:fldCharType="end"/>
      </w:r>
    </w:p>
    <w:p w14:paraId="3C6FB278" w14:textId="77777777" w:rsidR="007F4744" w:rsidRPr="00914BAB" w:rsidRDefault="007F4744">
      <w:pPr>
        <w:spacing w:before="0" w:after="200"/>
        <w:rPr>
          <w:rFonts w:eastAsiaTheme="majorEastAsia"/>
          <w:b/>
          <w:bCs/>
          <w:sz w:val="24"/>
        </w:rPr>
      </w:pPr>
      <w:r w:rsidRPr="00914BAB">
        <w:rPr>
          <w:sz w:val="24"/>
        </w:rPr>
        <w:br w:type="page"/>
      </w:r>
    </w:p>
    <w:p w14:paraId="138E7DD9" w14:textId="75090E84" w:rsidR="00911D69" w:rsidRPr="00914BAB" w:rsidRDefault="00AE6D23" w:rsidP="005914B3">
      <w:pPr>
        <w:pStyle w:val="Heading1"/>
        <w:rPr>
          <w:sz w:val="24"/>
          <w:szCs w:val="24"/>
        </w:rPr>
      </w:pPr>
      <w:bookmarkStart w:id="1" w:name="_Toc292953268"/>
      <w:r w:rsidRPr="00914BAB">
        <w:rPr>
          <w:sz w:val="24"/>
          <w:szCs w:val="24"/>
        </w:rPr>
        <w:lastRenderedPageBreak/>
        <w:t>Introduction</w:t>
      </w:r>
      <w:bookmarkEnd w:id="1"/>
      <w:r w:rsidR="007D2FF3" w:rsidRPr="00914BAB">
        <w:rPr>
          <w:sz w:val="24"/>
          <w:szCs w:val="24"/>
        </w:rPr>
        <w:t xml:space="preserve"> </w:t>
      </w:r>
    </w:p>
    <w:p w14:paraId="58E0D571" w14:textId="4470CFCA" w:rsidR="00DA3515" w:rsidRPr="00914BAB" w:rsidRDefault="00A2383D" w:rsidP="007D442D">
      <w:pPr>
        <w:rPr>
          <w:sz w:val="24"/>
          <w:shd w:val="clear" w:color="auto" w:fill="FFFFFF"/>
        </w:rPr>
      </w:pPr>
      <w:r w:rsidRPr="00914BAB">
        <w:rPr>
          <w:sz w:val="24"/>
          <w:shd w:val="clear" w:color="auto" w:fill="FFFFFF"/>
        </w:rPr>
        <w:t>This technical no</w:t>
      </w:r>
      <w:r w:rsidR="007721A6" w:rsidRPr="00914BAB">
        <w:rPr>
          <w:sz w:val="24"/>
          <w:shd w:val="clear" w:color="auto" w:fill="FFFFFF"/>
        </w:rPr>
        <w:t>te outlines the methodology used to estimate</w:t>
      </w:r>
      <w:r w:rsidRPr="00914BAB">
        <w:rPr>
          <w:sz w:val="24"/>
          <w:shd w:val="clear" w:color="auto" w:fill="FFFFFF"/>
        </w:rPr>
        <w:t xml:space="preserve"> </w:t>
      </w:r>
      <w:r w:rsidR="007721A6" w:rsidRPr="00914BAB">
        <w:rPr>
          <w:sz w:val="24"/>
          <w:shd w:val="clear" w:color="auto" w:fill="FFFFFF"/>
        </w:rPr>
        <w:t>the</w:t>
      </w:r>
      <w:r w:rsidR="00316954" w:rsidRPr="00914BAB">
        <w:rPr>
          <w:sz w:val="24"/>
          <w:shd w:val="clear" w:color="auto" w:fill="FFFFFF"/>
        </w:rPr>
        <w:t xml:space="preserve"> </w:t>
      </w:r>
      <w:r w:rsidR="00914BAB">
        <w:rPr>
          <w:sz w:val="24"/>
          <w:shd w:val="clear" w:color="auto" w:fill="FFFFFF"/>
        </w:rPr>
        <w:t xml:space="preserve">direct </w:t>
      </w:r>
      <w:r w:rsidR="00316954" w:rsidRPr="00914BAB">
        <w:rPr>
          <w:sz w:val="24"/>
          <w:shd w:val="clear" w:color="auto" w:fill="FFFFFF"/>
        </w:rPr>
        <w:t>costs</w:t>
      </w:r>
      <w:r w:rsidR="007721A6" w:rsidRPr="00914BAB">
        <w:rPr>
          <w:sz w:val="24"/>
          <w:shd w:val="clear" w:color="auto" w:fill="FFFFFF"/>
        </w:rPr>
        <w:t xml:space="preserve"> and </w:t>
      </w:r>
      <w:r w:rsidR="00914BAB">
        <w:rPr>
          <w:sz w:val="24"/>
          <w:shd w:val="clear" w:color="auto" w:fill="FFFFFF"/>
        </w:rPr>
        <w:t>benefits</w:t>
      </w:r>
      <w:r w:rsidR="00316954" w:rsidRPr="00914BAB">
        <w:rPr>
          <w:sz w:val="24"/>
          <w:shd w:val="clear" w:color="auto" w:fill="FFFFFF"/>
        </w:rPr>
        <w:t xml:space="preserve"> </w:t>
      </w:r>
      <w:r w:rsidR="00914BAB">
        <w:rPr>
          <w:sz w:val="24"/>
          <w:shd w:val="clear" w:color="auto" w:fill="FFFFFF"/>
        </w:rPr>
        <w:t>of the levels of urban action proposed</w:t>
      </w:r>
      <w:r w:rsidR="007D442D" w:rsidRPr="00914BAB">
        <w:rPr>
          <w:sz w:val="24"/>
          <w:shd w:val="clear" w:color="auto" w:fill="FFFFFF"/>
        </w:rPr>
        <w:t xml:space="preserve"> by</w:t>
      </w:r>
      <w:r w:rsidR="00911D69" w:rsidRPr="00914BAB">
        <w:rPr>
          <w:sz w:val="24"/>
          <w:shd w:val="clear" w:color="auto" w:fill="FFFFFF"/>
        </w:rPr>
        <w:t xml:space="preserve"> Erickson and Tempest (2014)</w:t>
      </w:r>
      <w:r w:rsidR="00EA463D" w:rsidRPr="00914BAB">
        <w:rPr>
          <w:sz w:val="24"/>
          <w:shd w:val="clear" w:color="auto" w:fill="FFFFFF"/>
        </w:rPr>
        <w:t>.</w:t>
      </w:r>
      <w:r w:rsidR="00FA78D4" w:rsidRPr="00914BAB">
        <w:rPr>
          <w:sz w:val="24"/>
          <w:shd w:val="clear" w:color="auto" w:fill="FFFFFF"/>
        </w:rPr>
        <w:t xml:space="preserve"> </w:t>
      </w:r>
      <w:r w:rsidR="00EA463D" w:rsidRPr="00914BAB">
        <w:rPr>
          <w:sz w:val="24"/>
          <w:shd w:val="clear" w:color="auto" w:fill="FFFFFF"/>
        </w:rPr>
        <w:t>Th</w:t>
      </w:r>
      <w:r w:rsidRPr="00914BAB">
        <w:rPr>
          <w:sz w:val="24"/>
          <w:shd w:val="clear" w:color="auto" w:fill="FFFFFF"/>
        </w:rPr>
        <w:t>is</w:t>
      </w:r>
      <w:r w:rsidR="00EA463D" w:rsidRPr="00914BAB">
        <w:rPr>
          <w:sz w:val="24"/>
          <w:shd w:val="clear" w:color="auto" w:fill="FFFFFF"/>
        </w:rPr>
        <w:t xml:space="preserve"> </w:t>
      </w:r>
      <w:r w:rsidR="00914BAB">
        <w:rPr>
          <w:sz w:val="24"/>
          <w:shd w:val="clear" w:color="auto" w:fill="FFFFFF"/>
        </w:rPr>
        <w:t xml:space="preserve">urban action scenario </w:t>
      </w:r>
      <w:r w:rsidR="00911D69" w:rsidRPr="00914BAB">
        <w:rPr>
          <w:sz w:val="24"/>
          <w:shd w:val="clear" w:color="auto" w:fill="FFFFFF"/>
        </w:rPr>
        <w:t>involves</w:t>
      </w:r>
      <w:r w:rsidR="00E26AB3" w:rsidRPr="00914BAB">
        <w:rPr>
          <w:sz w:val="24"/>
          <w:shd w:val="clear" w:color="auto" w:fill="FFFFFF"/>
        </w:rPr>
        <w:t xml:space="preserve"> an</w:t>
      </w:r>
      <w:r w:rsidR="00911D69" w:rsidRPr="00914BAB">
        <w:rPr>
          <w:sz w:val="24"/>
          <w:shd w:val="clear" w:color="auto" w:fill="FFFFFF"/>
        </w:rPr>
        <w:t xml:space="preserve"> ambitious </w:t>
      </w:r>
      <w:r w:rsidR="00E26AB3" w:rsidRPr="00914BAB">
        <w:rPr>
          <w:sz w:val="24"/>
          <w:shd w:val="clear" w:color="auto" w:fill="FFFFFF"/>
        </w:rPr>
        <w:t xml:space="preserve">implementation programme </w:t>
      </w:r>
      <w:r w:rsidR="00914BAB">
        <w:rPr>
          <w:sz w:val="24"/>
          <w:shd w:val="clear" w:color="auto" w:fill="FFFFFF"/>
        </w:rPr>
        <w:t>for</w:t>
      </w:r>
      <w:r w:rsidR="00FA78D4" w:rsidRPr="00914BAB">
        <w:rPr>
          <w:sz w:val="24"/>
          <w:shd w:val="clear" w:color="auto" w:fill="FFFFFF"/>
        </w:rPr>
        <w:t xml:space="preserve"> 11</w:t>
      </w:r>
      <w:r w:rsidR="00911D69" w:rsidRPr="00914BAB">
        <w:rPr>
          <w:sz w:val="24"/>
          <w:shd w:val="clear" w:color="auto" w:fill="FFFFFF"/>
        </w:rPr>
        <w:t xml:space="preserve"> mitigation measures </w:t>
      </w:r>
      <w:r w:rsidR="00914BAB">
        <w:rPr>
          <w:sz w:val="24"/>
          <w:shd w:val="clear" w:color="auto" w:fill="FFFFFF"/>
        </w:rPr>
        <w:t>in</w:t>
      </w:r>
      <w:r w:rsidR="00911D69" w:rsidRPr="00914BAB">
        <w:rPr>
          <w:sz w:val="24"/>
          <w:shd w:val="clear" w:color="auto" w:fill="FFFFFF"/>
        </w:rPr>
        <w:t xml:space="preserve"> the building, transport and waste sectors</w:t>
      </w:r>
      <w:r w:rsidR="00E26AB3" w:rsidRPr="00914BAB">
        <w:rPr>
          <w:sz w:val="24"/>
          <w:shd w:val="clear" w:color="auto" w:fill="FFFFFF"/>
        </w:rPr>
        <w:t xml:space="preserve">, deployed </w:t>
      </w:r>
      <w:r w:rsidR="00316954" w:rsidRPr="00914BAB">
        <w:rPr>
          <w:sz w:val="24"/>
          <w:shd w:val="clear" w:color="auto" w:fill="FFFFFF"/>
        </w:rPr>
        <w:t>throughout</w:t>
      </w:r>
      <w:r w:rsidR="00E26AB3" w:rsidRPr="00914BAB">
        <w:rPr>
          <w:sz w:val="24"/>
          <w:shd w:val="clear" w:color="auto" w:fill="FFFFFF"/>
        </w:rPr>
        <w:t xml:space="preserve"> </w:t>
      </w:r>
      <w:r w:rsidR="00EA0679" w:rsidRPr="00914BAB">
        <w:rPr>
          <w:sz w:val="24"/>
          <w:shd w:val="clear" w:color="auto" w:fill="FFFFFF"/>
        </w:rPr>
        <w:t>99% of the world’s</w:t>
      </w:r>
      <w:r w:rsidR="00E26AB3" w:rsidRPr="00914BAB">
        <w:rPr>
          <w:sz w:val="24"/>
          <w:shd w:val="clear" w:color="auto" w:fill="FFFFFF"/>
        </w:rPr>
        <w:t xml:space="preserve"> urban</w:t>
      </w:r>
      <w:r w:rsidR="00EA0679" w:rsidRPr="00914BAB">
        <w:rPr>
          <w:sz w:val="24"/>
          <w:shd w:val="clear" w:color="auto" w:fill="FFFFFF"/>
        </w:rPr>
        <w:t xml:space="preserve"> areas, </w:t>
      </w:r>
      <w:r w:rsidR="007D442D" w:rsidRPr="00914BAB">
        <w:rPr>
          <w:sz w:val="24"/>
          <w:shd w:val="clear" w:color="auto" w:fill="FFFFFF"/>
        </w:rPr>
        <w:t>consider</w:t>
      </w:r>
      <w:r w:rsidR="00D038F0" w:rsidRPr="00914BAB">
        <w:rPr>
          <w:sz w:val="24"/>
          <w:shd w:val="clear" w:color="auto" w:fill="FFFFFF"/>
        </w:rPr>
        <w:t>ing</w:t>
      </w:r>
      <w:r w:rsidR="007D442D" w:rsidRPr="00914BAB">
        <w:rPr>
          <w:sz w:val="24"/>
          <w:shd w:val="clear" w:color="auto" w:fill="FFFFFF"/>
        </w:rPr>
        <w:t xml:space="preserve"> an urban population of 3.9 billion in 2015, rising to 6.3 billion in 2050.</w:t>
      </w:r>
    </w:p>
    <w:p w14:paraId="02C550F1" w14:textId="7820493E" w:rsidR="00D038F0" w:rsidRPr="00914BAB" w:rsidRDefault="00914BAB" w:rsidP="00547A34">
      <w:pPr>
        <w:rPr>
          <w:sz w:val="24"/>
          <w:shd w:val="clear" w:color="auto" w:fill="FFFFFF"/>
        </w:rPr>
      </w:pPr>
      <w:r>
        <w:rPr>
          <w:sz w:val="24"/>
          <w:shd w:val="clear" w:color="auto" w:fill="FFFFFF"/>
        </w:rPr>
        <w:t>The baseline developed</w:t>
      </w:r>
      <w:r w:rsidR="007D442D" w:rsidRPr="00914BAB">
        <w:rPr>
          <w:sz w:val="24"/>
          <w:shd w:val="clear" w:color="auto" w:fill="FFFFFF"/>
        </w:rPr>
        <w:t xml:space="preserve"> by E</w:t>
      </w:r>
      <w:r>
        <w:rPr>
          <w:sz w:val="24"/>
          <w:shd w:val="clear" w:color="auto" w:fill="FFFFFF"/>
        </w:rPr>
        <w:t>rickson and Tempest (2014)</w:t>
      </w:r>
      <w:r w:rsidR="007D442D" w:rsidRPr="00914BAB">
        <w:rPr>
          <w:sz w:val="24"/>
          <w:shd w:val="clear" w:color="auto" w:fill="FFFFFF"/>
        </w:rPr>
        <w:t xml:space="preserve"> draws heavily from the Energy Technology Perspectives of the International Energy Agency (IEA, 2014</w:t>
      </w:r>
      <w:r w:rsidR="00BC591E" w:rsidRPr="00914BAB">
        <w:rPr>
          <w:sz w:val="24"/>
          <w:shd w:val="clear" w:color="auto" w:fill="FFFFFF"/>
        </w:rPr>
        <w:t>a</w:t>
      </w:r>
      <w:r w:rsidR="007D442D" w:rsidRPr="00914BAB">
        <w:rPr>
          <w:sz w:val="24"/>
          <w:shd w:val="clear" w:color="auto" w:fill="FFFFFF"/>
        </w:rPr>
        <w:t>)</w:t>
      </w:r>
      <w:r w:rsidR="00FC462E" w:rsidRPr="00914BAB">
        <w:rPr>
          <w:sz w:val="24"/>
          <w:shd w:val="clear" w:color="auto" w:fill="FFFFFF"/>
        </w:rPr>
        <w:t xml:space="preserve"> and s</w:t>
      </w:r>
      <w:r w:rsidR="007D442D" w:rsidRPr="00914BAB">
        <w:rPr>
          <w:sz w:val="24"/>
          <w:shd w:val="clear" w:color="auto" w:fill="FFFFFF"/>
        </w:rPr>
        <w:t>pecifically</w:t>
      </w:r>
      <w:r w:rsidR="00FC462E" w:rsidRPr="00914BAB">
        <w:rPr>
          <w:sz w:val="24"/>
        </w:rPr>
        <w:t xml:space="preserve"> the </w:t>
      </w:r>
      <w:r w:rsidR="00FC462E" w:rsidRPr="00914BAB">
        <w:rPr>
          <w:iCs/>
          <w:sz w:val="24"/>
          <w:shd w:val="clear" w:color="auto" w:fill="FFFFFF"/>
        </w:rPr>
        <w:t>4DS</w:t>
      </w:r>
      <w:r w:rsidR="00FC462E" w:rsidRPr="00914BAB">
        <w:rPr>
          <w:sz w:val="24"/>
          <w:shd w:val="clear" w:color="auto" w:fill="FFFFFF"/>
        </w:rPr>
        <w:t xml:space="preserve"> scenario, which in turn follows the </w:t>
      </w:r>
      <w:r w:rsidR="00FC462E" w:rsidRPr="00914BAB">
        <w:rPr>
          <w:iCs/>
          <w:sz w:val="24"/>
          <w:shd w:val="clear" w:color="auto" w:fill="FFFFFF"/>
        </w:rPr>
        <w:t>New Policies Scenario</w:t>
      </w:r>
      <w:r w:rsidR="00FC462E" w:rsidRPr="00914BAB">
        <w:rPr>
          <w:sz w:val="24"/>
          <w:shd w:val="clear" w:color="auto" w:fill="FFFFFF"/>
        </w:rPr>
        <w:t xml:space="preserve"> of the World Energy Outlook (IEA 2013).</w:t>
      </w:r>
      <w:r w:rsidR="0026735E" w:rsidRPr="00914BAB">
        <w:rPr>
          <w:sz w:val="24"/>
          <w:shd w:val="clear" w:color="auto" w:fill="FFFFFF"/>
        </w:rPr>
        <w:t xml:space="preserve"> </w:t>
      </w:r>
      <w:r w:rsidR="00812A3D" w:rsidRPr="00914BAB">
        <w:rPr>
          <w:sz w:val="24"/>
          <w:shd w:val="clear" w:color="auto" w:fill="FFFFFF"/>
        </w:rPr>
        <w:t>This scenario</w:t>
      </w:r>
      <w:r w:rsidR="0026735E" w:rsidRPr="00914BAB">
        <w:rPr>
          <w:sz w:val="24"/>
          <w:shd w:val="clear" w:color="auto" w:fill="FFFFFF"/>
        </w:rPr>
        <w:t xml:space="preserve"> </w:t>
      </w:r>
      <w:r w:rsidR="00812A3D" w:rsidRPr="00914BAB">
        <w:rPr>
          <w:sz w:val="24"/>
          <w:shd w:val="clear" w:color="auto" w:fill="FFFFFF"/>
        </w:rPr>
        <w:t>includes</w:t>
      </w:r>
      <w:r w:rsidR="0026735E" w:rsidRPr="00914BAB">
        <w:rPr>
          <w:sz w:val="24"/>
          <w:shd w:val="clear" w:color="auto" w:fill="FFFFFF"/>
        </w:rPr>
        <w:t xml:space="preserve"> </w:t>
      </w:r>
      <w:r w:rsidR="00547A34" w:rsidRPr="00914BAB">
        <w:rPr>
          <w:sz w:val="24"/>
          <w:shd w:val="clear" w:color="auto" w:fill="FFFFFF"/>
        </w:rPr>
        <w:t xml:space="preserve">changes </w:t>
      </w:r>
      <w:r w:rsidR="0026735E" w:rsidRPr="00914BAB">
        <w:rPr>
          <w:sz w:val="24"/>
          <w:shd w:val="clear" w:color="auto" w:fill="FFFFFF"/>
        </w:rPr>
        <w:t xml:space="preserve">in energy </w:t>
      </w:r>
      <w:r w:rsidR="00812A3D" w:rsidRPr="00914BAB">
        <w:rPr>
          <w:sz w:val="24"/>
          <w:shd w:val="clear" w:color="auto" w:fill="FFFFFF"/>
        </w:rPr>
        <w:t xml:space="preserve">use </w:t>
      </w:r>
      <w:r w:rsidR="0026735E" w:rsidRPr="00914BAB">
        <w:rPr>
          <w:sz w:val="24"/>
          <w:shd w:val="clear" w:color="auto" w:fill="FFFFFF"/>
        </w:rPr>
        <w:t xml:space="preserve">and </w:t>
      </w:r>
      <w:r w:rsidR="00812A3D" w:rsidRPr="00914BAB">
        <w:rPr>
          <w:sz w:val="24"/>
          <w:shd w:val="clear" w:color="auto" w:fill="FFFFFF"/>
        </w:rPr>
        <w:t>emissions</w:t>
      </w:r>
      <w:r w:rsidR="0026735E" w:rsidRPr="00914BAB">
        <w:rPr>
          <w:sz w:val="24"/>
          <w:shd w:val="clear" w:color="auto" w:fill="FFFFFF"/>
        </w:rPr>
        <w:t xml:space="preserve"> that may be expected to occur due to market forces and policie</w:t>
      </w:r>
      <w:r w:rsidR="00156F9E" w:rsidRPr="00914BAB">
        <w:rPr>
          <w:sz w:val="24"/>
          <w:shd w:val="clear" w:color="auto" w:fill="FFFFFF"/>
        </w:rPr>
        <w:t>s that are currently proposed but</w:t>
      </w:r>
      <w:r w:rsidR="0026735E" w:rsidRPr="00914BAB">
        <w:rPr>
          <w:sz w:val="24"/>
          <w:shd w:val="clear" w:color="auto" w:fill="FFFFFF"/>
        </w:rPr>
        <w:t xml:space="preserve"> </w:t>
      </w:r>
      <w:r w:rsidR="00D038F0" w:rsidRPr="00914BAB">
        <w:rPr>
          <w:sz w:val="24"/>
          <w:shd w:val="clear" w:color="auto" w:fill="FFFFFF"/>
        </w:rPr>
        <w:t>await</w:t>
      </w:r>
      <w:r w:rsidR="00B910B7" w:rsidRPr="00914BAB">
        <w:rPr>
          <w:sz w:val="24"/>
          <w:shd w:val="clear" w:color="auto" w:fill="FFFFFF"/>
        </w:rPr>
        <w:t xml:space="preserve"> formal</w:t>
      </w:r>
      <w:r w:rsidR="0026735E" w:rsidRPr="00914BAB">
        <w:rPr>
          <w:sz w:val="24"/>
          <w:shd w:val="clear" w:color="auto" w:fill="FFFFFF"/>
        </w:rPr>
        <w:t xml:space="preserve"> </w:t>
      </w:r>
      <w:r w:rsidR="00D038F0" w:rsidRPr="00914BAB">
        <w:rPr>
          <w:sz w:val="24"/>
          <w:shd w:val="clear" w:color="auto" w:fill="FFFFFF"/>
        </w:rPr>
        <w:t>implementation, and incorporates IEA forecasts for GDP and population growth</w:t>
      </w:r>
      <w:r w:rsidR="00D038F0" w:rsidRPr="00914BAB">
        <w:rPr>
          <w:rStyle w:val="FootnoteReference"/>
          <w:sz w:val="24"/>
          <w:shd w:val="clear" w:color="auto" w:fill="FFFFFF"/>
        </w:rPr>
        <w:footnoteReference w:id="1"/>
      </w:r>
      <w:r w:rsidR="00D038F0" w:rsidRPr="00914BAB">
        <w:rPr>
          <w:sz w:val="24"/>
          <w:shd w:val="clear" w:color="auto" w:fill="FFFFFF"/>
        </w:rPr>
        <w:t xml:space="preserve">. </w:t>
      </w:r>
    </w:p>
    <w:p w14:paraId="66BEE1A0" w14:textId="5F22C31F" w:rsidR="00B910B7" w:rsidRPr="00914BAB" w:rsidRDefault="00D37087" w:rsidP="007D2FF3">
      <w:pPr>
        <w:rPr>
          <w:sz w:val="24"/>
          <w:shd w:val="clear" w:color="auto" w:fill="FFFFFF"/>
        </w:rPr>
      </w:pPr>
      <w:r w:rsidRPr="00914BAB">
        <w:rPr>
          <w:sz w:val="24"/>
          <w:shd w:val="clear" w:color="auto" w:fill="FFFFFF"/>
        </w:rPr>
        <w:t xml:space="preserve">In comparison, the </w:t>
      </w:r>
      <w:r w:rsidRPr="00914BAB">
        <w:rPr>
          <w:iCs/>
          <w:sz w:val="24"/>
          <w:shd w:val="clear" w:color="auto" w:fill="FFFFFF"/>
        </w:rPr>
        <w:t>urban action scenario</w:t>
      </w:r>
      <w:r w:rsidRPr="00914BAB">
        <w:rPr>
          <w:sz w:val="24"/>
          <w:shd w:val="clear" w:color="auto" w:fill="FFFFFF"/>
        </w:rPr>
        <w:t xml:space="preserve"> assumes a programme of far more ambitious mitigation. Deployment of </w:t>
      </w:r>
      <w:r w:rsidR="007E02D3" w:rsidRPr="00914BAB">
        <w:rPr>
          <w:sz w:val="24"/>
          <w:shd w:val="clear" w:color="auto" w:fill="FFFFFF"/>
        </w:rPr>
        <w:t xml:space="preserve">measures </w:t>
      </w:r>
      <w:r w:rsidRPr="00914BAB">
        <w:rPr>
          <w:sz w:val="24"/>
          <w:shd w:val="clear" w:color="auto" w:fill="FFFFFF"/>
        </w:rPr>
        <w:t xml:space="preserve">is based upon a variety of sources, most prominently the IEA’s </w:t>
      </w:r>
      <w:r w:rsidRPr="00914BAB">
        <w:rPr>
          <w:iCs/>
          <w:sz w:val="24"/>
          <w:shd w:val="clear" w:color="auto" w:fill="FFFFFF"/>
        </w:rPr>
        <w:t>2DS</w:t>
      </w:r>
      <w:r w:rsidRPr="00914BAB">
        <w:rPr>
          <w:sz w:val="24"/>
          <w:shd w:val="clear" w:color="auto" w:fill="FFFFFF"/>
        </w:rPr>
        <w:t xml:space="preserve"> scenario (IEA, 2014</w:t>
      </w:r>
      <w:r w:rsidR="00BC591E" w:rsidRPr="00914BAB">
        <w:rPr>
          <w:sz w:val="24"/>
          <w:shd w:val="clear" w:color="auto" w:fill="FFFFFF"/>
        </w:rPr>
        <w:t>a</w:t>
      </w:r>
      <w:r w:rsidRPr="00914BAB">
        <w:rPr>
          <w:sz w:val="24"/>
          <w:shd w:val="clear" w:color="auto" w:fill="FFFFFF"/>
        </w:rPr>
        <w:t>)</w:t>
      </w:r>
      <w:r w:rsidR="00511C6B" w:rsidRPr="00914BAB">
        <w:rPr>
          <w:sz w:val="24"/>
          <w:shd w:val="clear" w:color="auto" w:fill="FFFFFF"/>
        </w:rPr>
        <w:t xml:space="preserve"> in which emissions are reduced to levels consistent with the international goal to limit long-term temperature rise to 2°</w:t>
      </w:r>
      <w:r w:rsidR="000C4145" w:rsidRPr="00914BAB">
        <w:rPr>
          <w:sz w:val="24"/>
          <w:shd w:val="clear" w:color="auto" w:fill="FFFFFF"/>
        </w:rPr>
        <w:t>C</w:t>
      </w:r>
      <w:r w:rsidR="00511C6B" w:rsidRPr="00914BAB">
        <w:rPr>
          <w:sz w:val="24"/>
          <w:shd w:val="clear" w:color="auto" w:fill="FFFFFF"/>
        </w:rPr>
        <w:t xml:space="preserve"> by stabilising atmospheric CO</w:t>
      </w:r>
      <w:r w:rsidR="00511C6B" w:rsidRPr="00914BAB">
        <w:rPr>
          <w:sz w:val="24"/>
          <w:shd w:val="clear" w:color="auto" w:fill="FFFFFF"/>
        </w:rPr>
        <w:softHyphen/>
      </w:r>
      <w:r w:rsidR="00511C6B" w:rsidRPr="00914BAB">
        <w:rPr>
          <w:sz w:val="24"/>
          <w:shd w:val="clear" w:color="auto" w:fill="FFFFFF"/>
          <w:vertAlign w:val="subscript"/>
        </w:rPr>
        <w:t>2</w:t>
      </w:r>
      <w:r w:rsidR="00511C6B" w:rsidRPr="00914BAB">
        <w:rPr>
          <w:sz w:val="24"/>
          <w:shd w:val="clear" w:color="auto" w:fill="FFFFFF"/>
        </w:rPr>
        <w:t xml:space="preserve"> concentrations to 450ppm by 2100. Accordingly, measures in the three sectors – buildings, transport, and waste – reduce GHG emissions substantially due to dramatic increases in energy efficiency</w:t>
      </w:r>
      <w:r w:rsidR="004E529F" w:rsidRPr="00914BAB">
        <w:rPr>
          <w:sz w:val="24"/>
          <w:shd w:val="clear" w:color="auto" w:fill="FFFFFF"/>
        </w:rPr>
        <w:t>, deployment of renewable energy</w:t>
      </w:r>
      <w:r w:rsidR="00511C6B" w:rsidRPr="00914BAB">
        <w:rPr>
          <w:sz w:val="24"/>
          <w:shd w:val="clear" w:color="auto" w:fill="FFFFFF"/>
        </w:rPr>
        <w:t xml:space="preserve">, </w:t>
      </w:r>
      <w:r w:rsidR="00CF5E3F" w:rsidRPr="00914BAB">
        <w:rPr>
          <w:sz w:val="24"/>
          <w:shd w:val="clear" w:color="auto" w:fill="FFFFFF"/>
        </w:rPr>
        <w:t>more compact and connected urban development</w:t>
      </w:r>
      <w:r w:rsidR="00511C6B" w:rsidRPr="00914BAB">
        <w:rPr>
          <w:sz w:val="24"/>
          <w:shd w:val="clear" w:color="auto" w:fill="FFFFFF"/>
        </w:rPr>
        <w:t>,</w:t>
      </w:r>
      <w:r w:rsidR="00CF5E3F" w:rsidRPr="00914BAB">
        <w:rPr>
          <w:sz w:val="24"/>
          <w:shd w:val="clear" w:color="auto" w:fill="FFFFFF"/>
        </w:rPr>
        <w:t xml:space="preserve"> and better management of waste</w:t>
      </w:r>
      <w:r w:rsidR="00511C6B" w:rsidRPr="00914BAB">
        <w:rPr>
          <w:sz w:val="24"/>
          <w:shd w:val="clear" w:color="auto" w:fill="FFFFFF"/>
        </w:rPr>
        <w:t>.</w:t>
      </w:r>
      <w:r w:rsidR="00CF5E3F" w:rsidRPr="00914BAB">
        <w:rPr>
          <w:sz w:val="24"/>
          <w:shd w:val="clear" w:color="auto" w:fill="FFFFFF"/>
        </w:rPr>
        <w:t xml:space="preserve"> These emissions reductions are achieved in the action scenario </w:t>
      </w:r>
      <w:r w:rsidR="00647745" w:rsidRPr="00914BAB">
        <w:rPr>
          <w:sz w:val="24"/>
          <w:shd w:val="clear" w:color="auto" w:fill="FFFFFF"/>
        </w:rPr>
        <w:t>despite</w:t>
      </w:r>
      <w:r w:rsidR="00CF5E3F" w:rsidRPr="00914BAB">
        <w:rPr>
          <w:sz w:val="24"/>
          <w:shd w:val="clear" w:color="auto" w:fill="FFFFFF"/>
        </w:rPr>
        <w:t xml:space="preserve"> forecast</w:t>
      </w:r>
      <w:r w:rsidR="009E3CF7" w:rsidRPr="00914BAB">
        <w:rPr>
          <w:sz w:val="24"/>
          <w:shd w:val="clear" w:color="auto" w:fill="FFFFFF"/>
        </w:rPr>
        <w:t>ed</w:t>
      </w:r>
      <w:r w:rsidR="00CF5E3F" w:rsidRPr="00914BAB">
        <w:rPr>
          <w:sz w:val="24"/>
          <w:shd w:val="clear" w:color="auto" w:fill="FFFFFF"/>
        </w:rPr>
        <w:t xml:space="preserve"> </w:t>
      </w:r>
      <w:r w:rsidR="009E3CF7" w:rsidRPr="00914BAB">
        <w:rPr>
          <w:sz w:val="24"/>
          <w:shd w:val="clear" w:color="auto" w:fill="FFFFFF"/>
        </w:rPr>
        <w:t>growth</w:t>
      </w:r>
      <w:r w:rsidR="00647745" w:rsidRPr="00914BAB">
        <w:rPr>
          <w:sz w:val="24"/>
          <w:shd w:val="clear" w:color="auto" w:fill="FFFFFF"/>
        </w:rPr>
        <w:t xml:space="preserve"> rates</w:t>
      </w:r>
      <w:r w:rsidR="009E3CF7" w:rsidRPr="00914BAB">
        <w:rPr>
          <w:sz w:val="24"/>
          <w:shd w:val="clear" w:color="auto" w:fill="FFFFFF"/>
        </w:rPr>
        <w:t xml:space="preserve"> in</w:t>
      </w:r>
      <w:r w:rsidR="00CF5E3F" w:rsidRPr="00914BAB">
        <w:rPr>
          <w:sz w:val="24"/>
          <w:shd w:val="clear" w:color="auto" w:fill="FFFFFF"/>
        </w:rPr>
        <w:t xml:space="preserve"> GDP and population remain</w:t>
      </w:r>
      <w:r w:rsidR="00647745" w:rsidRPr="00914BAB">
        <w:rPr>
          <w:sz w:val="24"/>
          <w:shd w:val="clear" w:color="auto" w:fill="FFFFFF"/>
        </w:rPr>
        <w:t>ing</w:t>
      </w:r>
      <w:r w:rsidR="00CF5E3F" w:rsidRPr="00914BAB">
        <w:rPr>
          <w:sz w:val="24"/>
          <w:shd w:val="clear" w:color="auto" w:fill="FFFFFF"/>
        </w:rPr>
        <w:t xml:space="preserve"> equal to </w:t>
      </w:r>
      <w:r w:rsidR="00647745" w:rsidRPr="00914BAB">
        <w:rPr>
          <w:sz w:val="24"/>
          <w:shd w:val="clear" w:color="auto" w:fill="FFFFFF"/>
        </w:rPr>
        <w:t>those</w:t>
      </w:r>
      <w:r w:rsidR="00CF5E3F" w:rsidRPr="00914BAB">
        <w:rPr>
          <w:sz w:val="24"/>
          <w:shd w:val="clear" w:color="auto" w:fill="FFFFFF"/>
        </w:rPr>
        <w:t xml:space="preserve"> in the baseline scenario.</w:t>
      </w:r>
    </w:p>
    <w:p w14:paraId="17B485CA" w14:textId="0FAB8C87" w:rsidR="000616F0" w:rsidRPr="00914BAB" w:rsidRDefault="00914BAB" w:rsidP="000616F0">
      <w:pPr>
        <w:rPr>
          <w:sz w:val="24"/>
          <w:shd w:val="clear" w:color="auto" w:fill="FFFFFF"/>
        </w:rPr>
      </w:pPr>
      <w:r>
        <w:rPr>
          <w:sz w:val="24"/>
          <w:shd w:val="clear" w:color="auto" w:fill="FFFFFF"/>
        </w:rPr>
        <w:t xml:space="preserve">Erickson and Tempest (2014) note that </w:t>
      </w:r>
      <w:r w:rsidR="00647745" w:rsidRPr="00914BAB">
        <w:rPr>
          <w:sz w:val="24"/>
          <w:shd w:val="clear" w:color="auto" w:fill="FFFFFF"/>
        </w:rPr>
        <w:t>these city-scale measures have largely been absent from previous</w:t>
      </w:r>
      <w:r w:rsidR="00647745" w:rsidRPr="00914BAB">
        <w:rPr>
          <w:sz w:val="24"/>
        </w:rPr>
        <w:t xml:space="preserve"> </w:t>
      </w:r>
      <w:r w:rsidR="00647745" w:rsidRPr="00914BAB">
        <w:rPr>
          <w:sz w:val="24"/>
          <w:shd w:val="clear" w:color="auto" w:fill="FFFFFF"/>
        </w:rPr>
        <w:t xml:space="preserve">assessments of mitigation potential and hence represent an opportunity for the deepening of </w:t>
      </w:r>
      <w:r w:rsidR="00D859A8" w:rsidRPr="00914BAB">
        <w:rPr>
          <w:sz w:val="24"/>
          <w:shd w:val="clear" w:color="auto" w:fill="FFFFFF"/>
        </w:rPr>
        <w:t xml:space="preserve">governments’ </w:t>
      </w:r>
      <w:r w:rsidR="00647745" w:rsidRPr="00914BAB">
        <w:rPr>
          <w:sz w:val="24"/>
          <w:shd w:val="clear" w:color="auto" w:fill="FFFFFF"/>
        </w:rPr>
        <w:t>mitigation efforts and commitments.</w:t>
      </w:r>
      <w:r w:rsidR="00812A3D" w:rsidRPr="00914BAB">
        <w:rPr>
          <w:sz w:val="24"/>
          <w:shd w:val="clear" w:color="auto" w:fill="FFFFFF"/>
        </w:rPr>
        <w:t xml:space="preserve"> Further, these actions are generally within the scope of local government, and therein highlight the potential for action in urban areas.</w:t>
      </w:r>
    </w:p>
    <w:p w14:paraId="2EF91F0B" w14:textId="0CAF62E7" w:rsidR="00E26AB3" w:rsidRPr="00914BAB" w:rsidRDefault="00E26AB3" w:rsidP="000616F0">
      <w:pPr>
        <w:rPr>
          <w:sz w:val="24"/>
          <w:shd w:val="clear" w:color="auto" w:fill="FFFFFF"/>
        </w:rPr>
      </w:pPr>
      <w:r w:rsidRPr="00914BAB">
        <w:rPr>
          <w:sz w:val="24"/>
          <w:shd w:val="clear" w:color="auto" w:fill="FFFFFF"/>
        </w:rPr>
        <w:t>Here we expand upon the work of Erickson and Tempest (2014) by estimating the</w:t>
      </w:r>
      <w:r w:rsidR="009753B9" w:rsidRPr="00914BAB">
        <w:rPr>
          <w:sz w:val="24"/>
          <w:shd w:val="clear" w:color="auto" w:fill="FFFFFF"/>
        </w:rPr>
        <w:t xml:space="preserve"> additional</w:t>
      </w:r>
      <w:r w:rsidRPr="00914BAB">
        <w:rPr>
          <w:sz w:val="24"/>
          <w:shd w:val="clear" w:color="auto" w:fill="FFFFFF"/>
        </w:rPr>
        <w:t xml:space="preserve"> </w:t>
      </w:r>
      <w:r w:rsidR="00914BAB">
        <w:rPr>
          <w:sz w:val="24"/>
          <w:shd w:val="clear" w:color="auto" w:fill="FFFFFF"/>
        </w:rPr>
        <w:t>costs</w:t>
      </w:r>
      <w:r w:rsidRPr="00914BAB">
        <w:rPr>
          <w:sz w:val="24"/>
          <w:shd w:val="clear" w:color="auto" w:fill="FFFFFF"/>
        </w:rPr>
        <w:t xml:space="preserve"> </w:t>
      </w:r>
      <w:r w:rsidR="00812A3D" w:rsidRPr="00914BAB">
        <w:rPr>
          <w:sz w:val="24"/>
          <w:shd w:val="clear" w:color="auto" w:fill="FFFFFF"/>
        </w:rPr>
        <w:t xml:space="preserve">and </w:t>
      </w:r>
      <w:r w:rsidRPr="00914BAB">
        <w:rPr>
          <w:sz w:val="24"/>
          <w:shd w:val="clear" w:color="auto" w:fill="FFFFFF"/>
        </w:rPr>
        <w:t xml:space="preserve">benefits </w:t>
      </w:r>
      <w:r w:rsidR="00914BAB">
        <w:rPr>
          <w:sz w:val="24"/>
          <w:shd w:val="clear" w:color="auto" w:fill="FFFFFF"/>
        </w:rPr>
        <w:t xml:space="preserve">associated with </w:t>
      </w:r>
      <w:r w:rsidRPr="00914BAB">
        <w:rPr>
          <w:sz w:val="24"/>
          <w:shd w:val="clear" w:color="auto" w:fill="FFFFFF"/>
        </w:rPr>
        <w:t>such a programme of mitigation.</w:t>
      </w:r>
      <w:r w:rsidR="00DB26CB" w:rsidRPr="00914BAB">
        <w:rPr>
          <w:sz w:val="24"/>
          <w:shd w:val="clear" w:color="auto" w:fill="FFFFFF"/>
        </w:rPr>
        <w:t xml:space="preserve"> In the following sections we describe, (</w:t>
      </w:r>
      <w:proofErr w:type="spellStart"/>
      <w:r w:rsidR="00DB26CB" w:rsidRPr="00914BAB">
        <w:rPr>
          <w:sz w:val="24"/>
          <w:shd w:val="clear" w:color="auto" w:fill="FFFFFF"/>
        </w:rPr>
        <w:t>i</w:t>
      </w:r>
      <w:proofErr w:type="spellEnd"/>
      <w:r w:rsidR="00DB26CB" w:rsidRPr="00914BAB">
        <w:rPr>
          <w:sz w:val="24"/>
          <w:shd w:val="clear" w:color="auto" w:fill="FFFFFF"/>
        </w:rPr>
        <w:t xml:space="preserve">) our methodology, data sources, and the limitations that arise from </w:t>
      </w:r>
      <w:r w:rsidR="009753B9" w:rsidRPr="00914BAB">
        <w:rPr>
          <w:sz w:val="24"/>
          <w:shd w:val="clear" w:color="auto" w:fill="FFFFFF"/>
        </w:rPr>
        <w:t>our</w:t>
      </w:r>
      <w:r w:rsidR="00DB26CB" w:rsidRPr="00914BAB">
        <w:rPr>
          <w:sz w:val="24"/>
          <w:shd w:val="clear" w:color="auto" w:fill="FFFFFF"/>
        </w:rPr>
        <w:t xml:space="preserve"> approach, (ii) </w:t>
      </w:r>
      <w:r w:rsidR="009753B9" w:rsidRPr="00914BAB">
        <w:rPr>
          <w:sz w:val="24"/>
          <w:shd w:val="clear" w:color="auto" w:fill="FFFFFF"/>
        </w:rPr>
        <w:t>the</w:t>
      </w:r>
      <w:r w:rsidR="00DB26CB" w:rsidRPr="00914BAB">
        <w:rPr>
          <w:sz w:val="24"/>
          <w:shd w:val="clear" w:color="auto" w:fill="FFFFFF"/>
        </w:rPr>
        <w:t xml:space="preserve"> main results and a comparison of these with other studies and (iii) our conclusions and recommendations. </w:t>
      </w:r>
    </w:p>
    <w:p w14:paraId="42FF59A4" w14:textId="1A9B9CE6" w:rsidR="007F4744" w:rsidRPr="00914BAB" w:rsidRDefault="00A2383D" w:rsidP="007F4744">
      <w:pPr>
        <w:rPr>
          <w:sz w:val="24"/>
          <w:shd w:val="clear" w:color="auto" w:fill="FFFFFF"/>
        </w:rPr>
      </w:pPr>
      <w:r w:rsidRPr="00914BAB">
        <w:rPr>
          <w:sz w:val="24"/>
          <w:shd w:val="clear" w:color="auto" w:fill="FFFFFF"/>
        </w:rPr>
        <w:t>I</w:t>
      </w:r>
      <w:r w:rsidR="007E02D3" w:rsidRPr="00914BAB">
        <w:rPr>
          <w:sz w:val="24"/>
          <w:shd w:val="clear" w:color="auto" w:fill="FFFFFF"/>
        </w:rPr>
        <w:t>t is important to emphasise that such p</w:t>
      </w:r>
      <w:r w:rsidR="00AD1056" w:rsidRPr="00914BAB">
        <w:rPr>
          <w:sz w:val="24"/>
          <w:shd w:val="clear" w:color="auto" w:fill="FFFFFF"/>
        </w:rPr>
        <w:t>rojections of investments needs</w:t>
      </w:r>
      <w:r w:rsidR="00B54122" w:rsidRPr="00914BAB">
        <w:rPr>
          <w:sz w:val="24"/>
          <w:shd w:val="clear" w:color="auto" w:fill="FFFFFF"/>
        </w:rPr>
        <w:t xml:space="preserve"> and cost-</w:t>
      </w:r>
      <w:r w:rsidR="009753B9" w:rsidRPr="00914BAB">
        <w:rPr>
          <w:sz w:val="24"/>
          <w:shd w:val="clear" w:color="auto" w:fill="FFFFFF"/>
        </w:rPr>
        <w:t>savings</w:t>
      </w:r>
      <w:r w:rsidR="00AD1056" w:rsidRPr="00914BAB">
        <w:rPr>
          <w:sz w:val="24"/>
          <w:shd w:val="clear" w:color="auto" w:fill="FFFFFF"/>
        </w:rPr>
        <w:t>, especially over long time periods, carry a high level of uncertainty and comparisons with alternative estimates are challenged by differences in methodology and assumptions. These estimates</w:t>
      </w:r>
      <w:r w:rsidR="007D2FF3" w:rsidRPr="00914BAB">
        <w:rPr>
          <w:sz w:val="24"/>
          <w:shd w:val="clear" w:color="auto" w:fill="FFFFFF"/>
        </w:rPr>
        <w:t xml:space="preserve"> should therefore be seen as </w:t>
      </w:r>
      <w:r w:rsidR="00AD1056" w:rsidRPr="00914BAB">
        <w:rPr>
          <w:sz w:val="24"/>
          <w:shd w:val="clear" w:color="auto" w:fill="FFFFFF"/>
        </w:rPr>
        <w:t>high level estimate</w:t>
      </w:r>
      <w:r w:rsidR="007D2FF3" w:rsidRPr="00914BAB">
        <w:rPr>
          <w:sz w:val="24"/>
          <w:shd w:val="clear" w:color="auto" w:fill="FFFFFF"/>
        </w:rPr>
        <w:t>s</w:t>
      </w:r>
      <w:r w:rsidR="00AD1056" w:rsidRPr="00914BAB">
        <w:rPr>
          <w:sz w:val="24"/>
          <w:shd w:val="clear" w:color="auto" w:fill="FFFFFF"/>
        </w:rPr>
        <w:t xml:space="preserve"> of the investment needs and </w:t>
      </w:r>
      <w:r w:rsidR="00AD1056" w:rsidRPr="00914BAB">
        <w:rPr>
          <w:sz w:val="24"/>
          <w:shd w:val="clear" w:color="auto" w:fill="FFFFFF"/>
        </w:rPr>
        <w:lastRenderedPageBreak/>
        <w:t>economic potential of an ambitious set of urban climate mitigation actions, but not as a business case or macroeconomic analysis of</w:t>
      </w:r>
      <w:r w:rsidR="007F4744" w:rsidRPr="00914BAB">
        <w:rPr>
          <w:sz w:val="24"/>
          <w:shd w:val="clear" w:color="auto" w:fill="FFFFFF"/>
        </w:rPr>
        <w:t xml:space="preserve"> the impact of these scenarios.</w:t>
      </w:r>
    </w:p>
    <w:p w14:paraId="2A563732" w14:textId="77777777" w:rsidR="007F4744" w:rsidRPr="00914BAB" w:rsidRDefault="007F4744" w:rsidP="007F4744">
      <w:pPr>
        <w:rPr>
          <w:sz w:val="24"/>
          <w:shd w:val="clear" w:color="auto" w:fill="FFFFFF"/>
        </w:rPr>
      </w:pPr>
    </w:p>
    <w:p w14:paraId="632F6E7A" w14:textId="241E6D4D" w:rsidR="009B4924" w:rsidRPr="00914BAB" w:rsidRDefault="00CC50B1" w:rsidP="00CC50B1">
      <w:pPr>
        <w:pStyle w:val="Heading1"/>
        <w:rPr>
          <w:sz w:val="24"/>
          <w:szCs w:val="24"/>
          <w:shd w:val="clear" w:color="auto" w:fill="FFFFFF"/>
        </w:rPr>
      </w:pPr>
      <w:bookmarkStart w:id="2" w:name="_Toc292953269"/>
      <w:r w:rsidRPr="00914BAB">
        <w:rPr>
          <w:sz w:val="24"/>
          <w:szCs w:val="24"/>
          <w:shd w:val="clear" w:color="auto" w:fill="FFFFFF"/>
        </w:rPr>
        <w:t>Methodology</w:t>
      </w:r>
      <w:bookmarkEnd w:id="2"/>
      <w:r w:rsidRPr="00914BAB">
        <w:rPr>
          <w:sz w:val="24"/>
          <w:szCs w:val="24"/>
          <w:shd w:val="clear" w:color="auto" w:fill="FFFFFF"/>
        </w:rPr>
        <w:t xml:space="preserve"> </w:t>
      </w:r>
    </w:p>
    <w:p w14:paraId="42B28ACB" w14:textId="5EDEF633" w:rsidR="00CC50B1" w:rsidRPr="00914BAB" w:rsidRDefault="00CC50B1" w:rsidP="00CC50B1">
      <w:pPr>
        <w:pStyle w:val="Heading2"/>
        <w:rPr>
          <w:szCs w:val="24"/>
        </w:rPr>
      </w:pPr>
      <w:bookmarkStart w:id="3" w:name="_Toc292953270"/>
      <w:r w:rsidRPr="00914BAB">
        <w:rPr>
          <w:szCs w:val="24"/>
        </w:rPr>
        <w:t>Calculation</w:t>
      </w:r>
      <w:r w:rsidR="00A2383D" w:rsidRPr="00914BAB">
        <w:rPr>
          <w:szCs w:val="24"/>
        </w:rPr>
        <w:t xml:space="preserve"> Approach</w:t>
      </w:r>
      <w:bookmarkEnd w:id="3"/>
    </w:p>
    <w:p w14:paraId="36170C8C" w14:textId="3F71EAB8" w:rsidR="00CC50B1" w:rsidRPr="00914BAB" w:rsidRDefault="007F4744" w:rsidP="008B07CF">
      <w:pPr>
        <w:rPr>
          <w:sz w:val="24"/>
        </w:rPr>
      </w:pPr>
      <w:r w:rsidRPr="00914BAB">
        <w:rPr>
          <w:sz w:val="24"/>
        </w:rPr>
        <w:t>Estimating</w:t>
      </w:r>
      <w:r w:rsidR="009753B9" w:rsidRPr="00914BAB">
        <w:rPr>
          <w:sz w:val="24"/>
        </w:rPr>
        <w:t xml:space="preserve"> the </w:t>
      </w:r>
      <w:r w:rsidR="003A64B4" w:rsidRPr="00914BAB">
        <w:rPr>
          <w:sz w:val="24"/>
        </w:rPr>
        <w:t>economic case for</w:t>
      </w:r>
      <w:r w:rsidR="009753B9" w:rsidRPr="00914BAB">
        <w:rPr>
          <w:sz w:val="24"/>
        </w:rPr>
        <w:t xml:space="preserve"> </w:t>
      </w:r>
      <w:r w:rsidR="00914BAB">
        <w:rPr>
          <w:sz w:val="24"/>
        </w:rPr>
        <w:t xml:space="preserve">the </w:t>
      </w:r>
      <w:r w:rsidR="009753B9" w:rsidRPr="00914BAB">
        <w:rPr>
          <w:iCs/>
          <w:sz w:val="24"/>
        </w:rPr>
        <w:t>urban action scenario</w:t>
      </w:r>
      <w:r w:rsidR="009753B9" w:rsidRPr="00914BAB">
        <w:rPr>
          <w:sz w:val="24"/>
        </w:rPr>
        <w:t xml:space="preserve"> </w:t>
      </w:r>
      <w:r w:rsidR="003A64B4" w:rsidRPr="00914BAB">
        <w:rPr>
          <w:sz w:val="24"/>
        </w:rPr>
        <w:t>in Erickson and Tempest (2014) requires a large number of data sources and sector specific assumptions</w:t>
      </w:r>
      <w:r w:rsidR="009753B9" w:rsidRPr="00914BAB">
        <w:rPr>
          <w:sz w:val="24"/>
        </w:rPr>
        <w:t>. However, the general</w:t>
      </w:r>
      <w:r w:rsidR="001B5BA6" w:rsidRPr="00914BAB">
        <w:rPr>
          <w:sz w:val="24"/>
        </w:rPr>
        <w:t xml:space="preserve"> cost-benefit</w:t>
      </w:r>
      <w:r w:rsidR="009753B9" w:rsidRPr="00914BAB">
        <w:rPr>
          <w:sz w:val="24"/>
        </w:rPr>
        <w:t xml:space="preserve"> procedure</w:t>
      </w:r>
      <w:r w:rsidR="00FF07FA" w:rsidRPr="00914BAB">
        <w:rPr>
          <w:sz w:val="24"/>
        </w:rPr>
        <w:t xml:space="preserve"> implement</w:t>
      </w:r>
      <w:r w:rsidR="003A64B4" w:rsidRPr="00914BAB">
        <w:rPr>
          <w:sz w:val="24"/>
        </w:rPr>
        <w:t>ed</w:t>
      </w:r>
      <w:r w:rsidR="009753B9" w:rsidRPr="00914BAB">
        <w:rPr>
          <w:sz w:val="24"/>
        </w:rPr>
        <w:t xml:space="preserve"> is consistent </w:t>
      </w:r>
      <w:r w:rsidR="003A64B4" w:rsidRPr="00914BAB">
        <w:rPr>
          <w:sz w:val="24"/>
        </w:rPr>
        <w:t>across</w:t>
      </w:r>
      <w:r w:rsidR="009753B9" w:rsidRPr="00914BAB">
        <w:rPr>
          <w:sz w:val="24"/>
        </w:rPr>
        <w:t xml:space="preserve"> measures</w:t>
      </w:r>
      <w:r w:rsidRPr="00914BAB">
        <w:rPr>
          <w:sz w:val="24"/>
        </w:rPr>
        <w:t>.</w:t>
      </w:r>
      <w:r w:rsidR="009753B9" w:rsidRPr="00914BAB">
        <w:rPr>
          <w:sz w:val="24"/>
        </w:rPr>
        <w:t xml:space="preserve"> </w:t>
      </w:r>
      <w:r w:rsidR="003A64B4" w:rsidRPr="00914BAB">
        <w:rPr>
          <w:sz w:val="24"/>
        </w:rPr>
        <w:t>F</w:t>
      </w:r>
      <w:r w:rsidRPr="00914BAB">
        <w:rPr>
          <w:sz w:val="24"/>
        </w:rPr>
        <w:t>irst</w:t>
      </w:r>
      <w:r w:rsidR="003A64B4" w:rsidRPr="00914BAB">
        <w:rPr>
          <w:sz w:val="24"/>
        </w:rPr>
        <w:t>,</w:t>
      </w:r>
      <w:r w:rsidR="009753B9" w:rsidRPr="00914BAB">
        <w:rPr>
          <w:sz w:val="24"/>
        </w:rPr>
        <w:t xml:space="preserve"> the</w:t>
      </w:r>
      <w:r w:rsidRPr="00914BAB">
        <w:rPr>
          <w:sz w:val="24"/>
        </w:rPr>
        <w:t xml:space="preserve"> additional</w:t>
      </w:r>
      <w:r w:rsidR="009753B9" w:rsidRPr="00914BAB">
        <w:rPr>
          <w:sz w:val="24"/>
        </w:rPr>
        <w:t xml:space="preserve"> </w:t>
      </w:r>
      <w:r w:rsidRPr="00914BAB">
        <w:rPr>
          <w:sz w:val="24"/>
        </w:rPr>
        <w:t xml:space="preserve">investment </w:t>
      </w:r>
      <w:r w:rsidR="009753B9" w:rsidRPr="00914BAB">
        <w:rPr>
          <w:sz w:val="24"/>
        </w:rPr>
        <w:t>costs</w:t>
      </w:r>
      <w:r w:rsidRPr="00914BAB">
        <w:rPr>
          <w:sz w:val="24"/>
        </w:rPr>
        <w:t xml:space="preserve"> of the action scenario</w:t>
      </w:r>
      <w:r w:rsidR="00FA68BB" w:rsidRPr="00914BAB">
        <w:rPr>
          <w:sz w:val="24"/>
        </w:rPr>
        <w:t xml:space="preserve"> are</w:t>
      </w:r>
      <w:r w:rsidR="003A64B4" w:rsidRPr="00914BAB">
        <w:rPr>
          <w:sz w:val="24"/>
        </w:rPr>
        <w:t xml:space="preserve"> calculated</w:t>
      </w:r>
      <w:r w:rsidR="009753B9" w:rsidRPr="00914BAB">
        <w:rPr>
          <w:sz w:val="24"/>
        </w:rPr>
        <w:t xml:space="preserve"> </w:t>
      </w:r>
      <w:r w:rsidR="008B07CF" w:rsidRPr="00914BAB">
        <w:rPr>
          <w:sz w:val="24"/>
        </w:rPr>
        <w:t xml:space="preserve">by </w:t>
      </w:r>
      <w:r w:rsidR="003A64B4" w:rsidRPr="00914BAB">
        <w:rPr>
          <w:sz w:val="24"/>
        </w:rPr>
        <w:t>drawing on</w:t>
      </w:r>
      <w:r w:rsidRPr="00914BAB">
        <w:rPr>
          <w:sz w:val="24"/>
        </w:rPr>
        <w:t xml:space="preserve"> data describing the </w:t>
      </w:r>
      <w:r w:rsidR="003A64B4" w:rsidRPr="00914BAB">
        <w:rPr>
          <w:sz w:val="24"/>
        </w:rPr>
        <w:t>cost of</w:t>
      </w:r>
      <w:r w:rsidR="009753B9" w:rsidRPr="00914BAB">
        <w:rPr>
          <w:sz w:val="24"/>
        </w:rPr>
        <w:t xml:space="preserve"> advanced (more efficient) technologies</w:t>
      </w:r>
      <w:r w:rsidR="008B07CF" w:rsidRPr="00914BAB">
        <w:rPr>
          <w:sz w:val="24"/>
        </w:rPr>
        <w:t xml:space="preserve"> relative to conventional technologies along with</w:t>
      </w:r>
      <w:r w:rsidR="009753B9" w:rsidRPr="00914BAB">
        <w:rPr>
          <w:sz w:val="24"/>
        </w:rPr>
        <w:t xml:space="preserve"> </w:t>
      </w:r>
      <w:r w:rsidR="003A64B4" w:rsidRPr="00914BAB">
        <w:rPr>
          <w:sz w:val="24"/>
        </w:rPr>
        <w:t xml:space="preserve">levels of </w:t>
      </w:r>
      <w:r w:rsidR="008B07CF" w:rsidRPr="00914BAB">
        <w:rPr>
          <w:sz w:val="24"/>
        </w:rPr>
        <w:t>implementation of the former</w:t>
      </w:r>
      <w:r w:rsidR="001A47F3" w:rsidRPr="00914BAB">
        <w:rPr>
          <w:sz w:val="24"/>
        </w:rPr>
        <w:t xml:space="preserve">. </w:t>
      </w:r>
      <w:r w:rsidR="003A64B4" w:rsidRPr="00914BAB">
        <w:rPr>
          <w:sz w:val="24"/>
        </w:rPr>
        <w:t>Second, e</w:t>
      </w:r>
      <w:r w:rsidR="001A47F3" w:rsidRPr="00914BAB">
        <w:rPr>
          <w:sz w:val="24"/>
        </w:rPr>
        <w:t>nergy cost-</w:t>
      </w:r>
      <w:r w:rsidRPr="00914BAB">
        <w:rPr>
          <w:sz w:val="24"/>
        </w:rPr>
        <w:t xml:space="preserve">savings are calculated by combining </w:t>
      </w:r>
      <w:r w:rsidR="00FF07FA" w:rsidRPr="00914BAB">
        <w:rPr>
          <w:sz w:val="24"/>
        </w:rPr>
        <w:t xml:space="preserve">forecasts of future energy prices with </w:t>
      </w:r>
      <w:r w:rsidRPr="00914BAB">
        <w:rPr>
          <w:sz w:val="24"/>
        </w:rPr>
        <w:t xml:space="preserve">the energy savings of the action scenario </w:t>
      </w:r>
      <w:r w:rsidR="00D36168" w:rsidRPr="00914BAB">
        <w:rPr>
          <w:sz w:val="24"/>
        </w:rPr>
        <w:t>relative to the baseline. T</w:t>
      </w:r>
      <w:r w:rsidRPr="00914BAB">
        <w:rPr>
          <w:sz w:val="24"/>
        </w:rPr>
        <w:t>he additiona</w:t>
      </w:r>
      <w:r w:rsidR="001A47F3" w:rsidRPr="00914BAB">
        <w:rPr>
          <w:sz w:val="24"/>
        </w:rPr>
        <w:t>l investment costs and the cost-</w:t>
      </w:r>
      <w:r w:rsidRPr="00914BAB">
        <w:rPr>
          <w:sz w:val="24"/>
        </w:rPr>
        <w:t>savings can</w:t>
      </w:r>
      <w:r w:rsidR="00D36168" w:rsidRPr="00914BAB">
        <w:rPr>
          <w:sz w:val="24"/>
        </w:rPr>
        <w:t xml:space="preserve"> then</w:t>
      </w:r>
      <w:r w:rsidRPr="00914BAB">
        <w:rPr>
          <w:sz w:val="24"/>
        </w:rPr>
        <w:t xml:space="preserve"> be compared</w:t>
      </w:r>
      <w:r w:rsidR="00402843" w:rsidRPr="00914BAB">
        <w:rPr>
          <w:sz w:val="24"/>
        </w:rPr>
        <w:t xml:space="preserve"> </w:t>
      </w:r>
      <w:r w:rsidR="001B5BA6" w:rsidRPr="00914BAB">
        <w:rPr>
          <w:sz w:val="24"/>
        </w:rPr>
        <w:t>to assess the overall economic case for each measure</w:t>
      </w:r>
      <w:r w:rsidR="00FF07FA" w:rsidRPr="00914BAB">
        <w:rPr>
          <w:sz w:val="24"/>
        </w:rPr>
        <w:t>,</w:t>
      </w:r>
      <w:r w:rsidR="001B5BA6" w:rsidRPr="00914BAB">
        <w:rPr>
          <w:sz w:val="24"/>
        </w:rPr>
        <w:t xml:space="preserve"> </w:t>
      </w:r>
      <w:r w:rsidR="00FF07FA" w:rsidRPr="00914BAB">
        <w:rPr>
          <w:sz w:val="24"/>
        </w:rPr>
        <w:t>each</w:t>
      </w:r>
      <w:r w:rsidR="001B5BA6" w:rsidRPr="00914BAB">
        <w:rPr>
          <w:sz w:val="24"/>
        </w:rPr>
        <w:t xml:space="preserve"> sector</w:t>
      </w:r>
      <w:r w:rsidR="00FF07FA" w:rsidRPr="00914BAB">
        <w:rPr>
          <w:sz w:val="24"/>
        </w:rPr>
        <w:t>,</w:t>
      </w:r>
      <w:r w:rsidR="001B5BA6" w:rsidRPr="00914BAB">
        <w:rPr>
          <w:sz w:val="24"/>
        </w:rPr>
        <w:t xml:space="preserve"> and for the full implementation of the</w:t>
      </w:r>
      <w:r w:rsidRPr="00914BAB">
        <w:rPr>
          <w:sz w:val="24"/>
        </w:rPr>
        <w:t xml:space="preserve"> </w:t>
      </w:r>
      <w:r w:rsidR="001B5BA6" w:rsidRPr="00914BAB">
        <w:rPr>
          <w:iCs/>
          <w:sz w:val="24"/>
        </w:rPr>
        <w:t>urban action scenario</w:t>
      </w:r>
      <w:r w:rsidR="001B5BA6" w:rsidRPr="00914BAB">
        <w:rPr>
          <w:sz w:val="24"/>
        </w:rPr>
        <w:t>.</w:t>
      </w:r>
      <w:r w:rsidR="001A47F3" w:rsidRPr="00914BAB">
        <w:rPr>
          <w:sz w:val="24"/>
        </w:rPr>
        <w:t xml:space="preserve"> All analysis described above is undertaken over a 2015-2050 time horizon.</w:t>
      </w:r>
    </w:p>
    <w:p w14:paraId="7935616C" w14:textId="556F9EA0" w:rsidR="00412E0D" w:rsidRPr="00914BAB" w:rsidRDefault="001B5BA6" w:rsidP="00CC50B1">
      <w:pPr>
        <w:rPr>
          <w:sz w:val="24"/>
        </w:rPr>
      </w:pPr>
      <w:r w:rsidRPr="00914BAB">
        <w:rPr>
          <w:sz w:val="24"/>
        </w:rPr>
        <w:t xml:space="preserve">Three assumptions, </w:t>
      </w:r>
      <w:r w:rsidR="00FF07FA" w:rsidRPr="00914BAB">
        <w:rPr>
          <w:sz w:val="24"/>
        </w:rPr>
        <w:t>which</w:t>
      </w:r>
      <w:r w:rsidRPr="00914BAB">
        <w:rPr>
          <w:sz w:val="24"/>
        </w:rPr>
        <w:t xml:space="preserve"> apply to all of the measures considered, have a particularly significant impact on the results</w:t>
      </w:r>
      <w:r w:rsidR="003A64B4" w:rsidRPr="00914BAB">
        <w:rPr>
          <w:sz w:val="24"/>
        </w:rPr>
        <w:t>:</w:t>
      </w:r>
      <w:r w:rsidRPr="00914BAB">
        <w:rPr>
          <w:sz w:val="24"/>
        </w:rPr>
        <w:t xml:space="preserve"> </w:t>
      </w:r>
      <w:r w:rsidR="003A64B4" w:rsidRPr="00914BAB">
        <w:rPr>
          <w:sz w:val="24"/>
        </w:rPr>
        <w:t>T</w:t>
      </w:r>
      <w:r w:rsidRPr="00914BAB">
        <w:rPr>
          <w:sz w:val="24"/>
        </w:rPr>
        <w:t>he discount rate, projections of future energy prices, and estimates of technological learnin</w:t>
      </w:r>
      <w:r w:rsidR="003A64B4" w:rsidRPr="00914BAB">
        <w:rPr>
          <w:sz w:val="24"/>
        </w:rPr>
        <w:t>g</w:t>
      </w:r>
      <w:r w:rsidRPr="00914BAB">
        <w:rPr>
          <w:sz w:val="24"/>
        </w:rPr>
        <w:t xml:space="preserve"> (which </w:t>
      </w:r>
      <w:r w:rsidR="00412E0D" w:rsidRPr="00914BAB">
        <w:rPr>
          <w:sz w:val="24"/>
        </w:rPr>
        <w:t>dictate</w:t>
      </w:r>
      <w:r w:rsidRPr="00914BAB">
        <w:rPr>
          <w:sz w:val="24"/>
        </w:rPr>
        <w:t xml:space="preserve"> how fast the costs of efficient technologies </w:t>
      </w:r>
      <w:r w:rsidR="00412E0D" w:rsidRPr="00914BAB">
        <w:rPr>
          <w:sz w:val="24"/>
        </w:rPr>
        <w:t>as expected to</w:t>
      </w:r>
      <w:r w:rsidRPr="00914BAB">
        <w:rPr>
          <w:sz w:val="24"/>
        </w:rPr>
        <w:t xml:space="preserve"> fall as production increases). We therefore test the sensitivity of our results to these assumptions</w:t>
      </w:r>
      <w:r w:rsidR="00FF07FA" w:rsidRPr="00914BAB">
        <w:rPr>
          <w:sz w:val="24"/>
        </w:rPr>
        <w:t xml:space="preserve"> by considering a range of values</w:t>
      </w:r>
      <w:r w:rsidR="003A64B4" w:rsidRPr="00914BAB">
        <w:rPr>
          <w:sz w:val="24"/>
        </w:rPr>
        <w:t>:</w:t>
      </w:r>
    </w:p>
    <w:p w14:paraId="3D8B072D" w14:textId="362F8F98" w:rsidR="00412E0D" w:rsidRPr="00914BAB" w:rsidRDefault="00412E0D" w:rsidP="00412E0D">
      <w:pPr>
        <w:pStyle w:val="ListParagraph"/>
        <w:numPr>
          <w:ilvl w:val="0"/>
          <w:numId w:val="14"/>
        </w:numPr>
        <w:rPr>
          <w:sz w:val="24"/>
        </w:rPr>
      </w:pPr>
      <w:r w:rsidRPr="00914BAB">
        <w:rPr>
          <w:sz w:val="24"/>
        </w:rPr>
        <w:t>We model the value of the energy savings using real (i.e. after inflation) annual price increases of 1%, 2.5% and 4%</w:t>
      </w:r>
      <w:r w:rsidR="001F030E" w:rsidRPr="00914BAB">
        <w:rPr>
          <w:rStyle w:val="FootnoteReference"/>
          <w:sz w:val="24"/>
        </w:rPr>
        <w:footnoteReference w:id="2"/>
      </w:r>
      <w:r w:rsidRPr="00914BAB">
        <w:rPr>
          <w:sz w:val="24"/>
        </w:rPr>
        <w:t xml:space="preserve">. </w:t>
      </w:r>
    </w:p>
    <w:p w14:paraId="3683E80D" w14:textId="46567362" w:rsidR="00412E0D" w:rsidRPr="00914BAB" w:rsidRDefault="00412E0D" w:rsidP="00412E0D">
      <w:pPr>
        <w:pStyle w:val="ListParagraph"/>
        <w:numPr>
          <w:ilvl w:val="0"/>
          <w:numId w:val="14"/>
        </w:numPr>
        <w:rPr>
          <w:sz w:val="24"/>
        </w:rPr>
      </w:pPr>
      <w:r w:rsidRPr="00914BAB">
        <w:rPr>
          <w:sz w:val="24"/>
        </w:rPr>
        <w:t>We apply three different</w:t>
      </w:r>
      <w:r w:rsidR="00440195" w:rsidRPr="00914BAB">
        <w:rPr>
          <w:sz w:val="24"/>
        </w:rPr>
        <w:t xml:space="preserve"> real</w:t>
      </w:r>
      <w:r w:rsidRPr="00914BAB">
        <w:rPr>
          <w:sz w:val="24"/>
        </w:rPr>
        <w:t xml:space="preserve"> discount rates to future energy savings: 1.4%, </w:t>
      </w:r>
      <w:r w:rsidR="001F030E" w:rsidRPr="00914BAB">
        <w:rPr>
          <w:sz w:val="24"/>
        </w:rPr>
        <w:t>3%</w:t>
      </w:r>
      <w:r w:rsidRPr="00914BAB">
        <w:rPr>
          <w:sz w:val="24"/>
        </w:rPr>
        <w:t>, and 5%.</w:t>
      </w:r>
      <w:r w:rsidR="001F030E" w:rsidRPr="00914BAB">
        <w:rPr>
          <w:rStyle w:val="FootnoteReference"/>
          <w:sz w:val="24"/>
        </w:rPr>
        <w:footnoteReference w:id="3"/>
      </w:r>
    </w:p>
    <w:p w14:paraId="5158552D" w14:textId="61E3B4D0" w:rsidR="00412E0D" w:rsidRPr="00914BAB" w:rsidRDefault="00412E0D" w:rsidP="00412E0D">
      <w:pPr>
        <w:pStyle w:val="ListParagraph"/>
        <w:numPr>
          <w:ilvl w:val="0"/>
          <w:numId w:val="14"/>
        </w:numPr>
        <w:rPr>
          <w:sz w:val="24"/>
        </w:rPr>
      </w:pPr>
      <w:r w:rsidRPr="00914BAB">
        <w:rPr>
          <w:sz w:val="24"/>
        </w:rPr>
        <w:t xml:space="preserve">We compare the impacts of standard and high technological learning rates, using rates specific to each measure, as </w:t>
      </w:r>
      <w:r w:rsidR="001F030E" w:rsidRPr="00914BAB">
        <w:rPr>
          <w:sz w:val="24"/>
        </w:rPr>
        <w:t>in the data sources table</w:t>
      </w:r>
      <w:r w:rsidRPr="00914BAB">
        <w:rPr>
          <w:sz w:val="24"/>
        </w:rPr>
        <w:t>.</w:t>
      </w:r>
    </w:p>
    <w:p w14:paraId="29996487" w14:textId="2381C471" w:rsidR="00412E0D" w:rsidRPr="00914BAB" w:rsidRDefault="008E4D5F" w:rsidP="00412E0D">
      <w:pPr>
        <w:rPr>
          <w:sz w:val="24"/>
        </w:rPr>
      </w:pPr>
      <w:r w:rsidRPr="00914BAB">
        <w:rPr>
          <w:sz w:val="24"/>
        </w:rPr>
        <w:t>A</w:t>
      </w:r>
      <w:r w:rsidR="00412E0D" w:rsidRPr="00914BAB">
        <w:rPr>
          <w:sz w:val="24"/>
        </w:rPr>
        <w:t xml:space="preserve">dditional costs and energy savings are estimated at a regional level </w:t>
      </w:r>
      <w:r w:rsidRPr="00914BAB">
        <w:rPr>
          <w:sz w:val="24"/>
        </w:rPr>
        <w:t>(where data allows)</w:t>
      </w:r>
      <w:r w:rsidR="00412E0D" w:rsidRPr="00914BAB">
        <w:rPr>
          <w:sz w:val="24"/>
        </w:rPr>
        <w:t xml:space="preserve"> using the regions considered by </w:t>
      </w:r>
      <w:r w:rsidR="00412E0D" w:rsidRPr="00914BAB">
        <w:rPr>
          <w:sz w:val="24"/>
          <w:shd w:val="clear" w:color="auto" w:fill="FFFFFF"/>
        </w:rPr>
        <w:t>Erickson and Tempest (2014)</w:t>
      </w:r>
      <w:r w:rsidR="00412E0D" w:rsidRPr="00914BAB">
        <w:rPr>
          <w:rStyle w:val="FootnoteReference"/>
          <w:sz w:val="24"/>
          <w:shd w:val="clear" w:color="auto" w:fill="FFFFFF"/>
        </w:rPr>
        <w:footnoteReference w:id="4"/>
      </w:r>
      <w:r w:rsidRPr="00914BAB">
        <w:rPr>
          <w:sz w:val="24"/>
          <w:shd w:val="clear" w:color="auto" w:fill="FFFFFF"/>
        </w:rPr>
        <w:t>, before they are aggregated in global estimates for</w:t>
      </w:r>
      <w:r w:rsidR="00EC20E3" w:rsidRPr="00914BAB">
        <w:rPr>
          <w:sz w:val="24"/>
          <w:shd w:val="clear" w:color="auto" w:fill="FFFFFF"/>
        </w:rPr>
        <w:t xml:space="preserve"> </w:t>
      </w:r>
      <w:r w:rsidRPr="00914BAB">
        <w:rPr>
          <w:sz w:val="24"/>
          <w:shd w:val="clear" w:color="auto" w:fill="FFFFFF"/>
        </w:rPr>
        <w:t xml:space="preserve">each measure. Where available, current energy prices are obtained </w:t>
      </w:r>
      <w:r w:rsidR="00B54122" w:rsidRPr="00914BAB">
        <w:rPr>
          <w:sz w:val="24"/>
          <w:shd w:val="clear" w:color="auto" w:fill="FFFFFF"/>
        </w:rPr>
        <w:t xml:space="preserve">for each of these regions </w:t>
      </w:r>
      <w:r w:rsidRPr="00914BAB">
        <w:rPr>
          <w:sz w:val="24"/>
          <w:shd w:val="clear" w:color="auto" w:fill="FFFFFF"/>
        </w:rPr>
        <w:t>from the IEA’s Energy prices and taxes database (2014)</w:t>
      </w:r>
      <w:r w:rsidR="00B54122" w:rsidRPr="00914BAB">
        <w:rPr>
          <w:rStyle w:val="FootnoteReference"/>
          <w:sz w:val="24"/>
          <w:shd w:val="clear" w:color="auto" w:fill="FFFFFF"/>
        </w:rPr>
        <w:footnoteReference w:id="5"/>
      </w:r>
      <w:r w:rsidR="003A64B4" w:rsidRPr="00914BAB">
        <w:rPr>
          <w:sz w:val="24"/>
          <w:shd w:val="clear" w:color="auto" w:fill="FFFFFF"/>
        </w:rPr>
        <w:t>.</w:t>
      </w:r>
      <w:r w:rsidRPr="00914BAB">
        <w:rPr>
          <w:sz w:val="24"/>
          <w:shd w:val="clear" w:color="auto" w:fill="FFFFFF"/>
        </w:rPr>
        <w:t xml:space="preserve"> </w:t>
      </w:r>
      <w:r w:rsidR="003A64B4" w:rsidRPr="00914BAB">
        <w:rPr>
          <w:sz w:val="24"/>
          <w:shd w:val="clear" w:color="auto" w:fill="FFFFFF"/>
        </w:rPr>
        <w:t>W</w:t>
      </w:r>
      <w:r w:rsidRPr="00914BAB">
        <w:rPr>
          <w:sz w:val="24"/>
          <w:shd w:val="clear" w:color="auto" w:fill="FFFFFF"/>
        </w:rPr>
        <w:t xml:space="preserve">here </w:t>
      </w:r>
      <w:r w:rsidR="003A64B4" w:rsidRPr="00914BAB">
        <w:rPr>
          <w:sz w:val="24"/>
          <w:shd w:val="clear" w:color="auto" w:fill="FFFFFF"/>
        </w:rPr>
        <w:t>regional energy price data is</w:t>
      </w:r>
      <w:r w:rsidRPr="00914BAB">
        <w:rPr>
          <w:sz w:val="24"/>
          <w:shd w:val="clear" w:color="auto" w:fill="FFFFFF"/>
        </w:rPr>
        <w:t xml:space="preserve"> not available</w:t>
      </w:r>
      <w:r w:rsidR="00FF07FA" w:rsidRPr="00914BAB">
        <w:rPr>
          <w:sz w:val="24"/>
          <w:shd w:val="clear" w:color="auto" w:fill="FFFFFF"/>
        </w:rPr>
        <w:t xml:space="preserve"> we assume that</w:t>
      </w:r>
      <w:r w:rsidRPr="00914BAB">
        <w:rPr>
          <w:sz w:val="24"/>
          <w:shd w:val="clear" w:color="auto" w:fill="FFFFFF"/>
        </w:rPr>
        <w:t xml:space="preserve"> data for countries nested within </w:t>
      </w:r>
      <w:r w:rsidRPr="00914BAB">
        <w:rPr>
          <w:sz w:val="24"/>
          <w:shd w:val="clear" w:color="auto" w:fill="FFFFFF"/>
        </w:rPr>
        <w:lastRenderedPageBreak/>
        <w:t>these regions is representative of the wider region.</w:t>
      </w:r>
      <w:r w:rsidR="004B09DE" w:rsidRPr="00914BAB">
        <w:rPr>
          <w:sz w:val="24"/>
          <w:shd w:val="clear" w:color="auto" w:fill="FFFFFF"/>
        </w:rPr>
        <w:t xml:space="preserve"> </w:t>
      </w:r>
      <w:r w:rsidR="00D36168" w:rsidRPr="00914BAB">
        <w:rPr>
          <w:sz w:val="24"/>
          <w:shd w:val="clear" w:color="auto" w:fill="FFFFFF"/>
        </w:rPr>
        <w:t>Throughout the analysis</w:t>
      </w:r>
      <w:r w:rsidR="0099158C" w:rsidRPr="00914BAB">
        <w:rPr>
          <w:sz w:val="24"/>
          <w:shd w:val="clear" w:color="auto" w:fill="FFFFFF"/>
        </w:rPr>
        <w:t xml:space="preserve"> real 2015 US dollars</w:t>
      </w:r>
      <w:r w:rsidR="00D36168" w:rsidRPr="00914BAB">
        <w:rPr>
          <w:sz w:val="24"/>
          <w:shd w:val="clear" w:color="auto" w:fill="FFFFFF"/>
        </w:rPr>
        <w:t xml:space="preserve"> are used</w:t>
      </w:r>
      <w:r w:rsidR="003A64B4" w:rsidRPr="00914BAB">
        <w:rPr>
          <w:sz w:val="24"/>
          <w:shd w:val="clear" w:color="auto" w:fill="FFFFFF"/>
        </w:rPr>
        <w:t>.</w:t>
      </w:r>
    </w:p>
    <w:p w14:paraId="284C55D3" w14:textId="77777777" w:rsidR="001B5BA6" w:rsidRPr="00914BAB" w:rsidRDefault="001B5BA6" w:rsidP="00CC50B1">
      <w:pPr>
        <w:rPr>
          <w:sz w:val="24"/>
        </w:rPr>
      </w:pPr>
    </w:p>
    <w:p w14:paraId="7C7CD443" w14:textId="7B858553" w:rsidR="004A7F5B" w:rsidRPr="00914BAB" w:rsidRDefault="004A7F5B" w:rsidP="004A7F5B">
      <w:pPr>
        <w:pStyle w:val="Heading3"/>
        <w:rPr>
          <w:sz w:val="24"/>
        </w:rPr>
      </w:pPr>
      <w:bookmarkStart w:id="4" w:name="_Toc292953271"/>
      <w:r w:rsidRPr="00914BAB">
        <w:rPr>
          <w:sz w:val="24"/>
        </w:rPr>
        <w:t>Buildings:  Commercial and Residential</w:t>
      </w:r>
      <w:bookmarkEnd w:id="4"/>
    </w:p>
    <w:p w14:paraId="3D2FED42" w14:textId="72ADC940" w:rsidR="00C07145" w:rsidRPr="00914BAB" w:rsidRDefault="00C07145" w:rsidP="004A7F5B">
      <w:pPr>
        <w:rPr>
          <w:i/>
          <w:iCs/>
          <w:sz w:val="24"/>
        </w:rPr>
      </w:pPr>
      <w:r w:rsidRPr="00914BAB">
        <w:rPr>
          <w:i/>
          <w:iCs/>
          <w:sz w:val="24"/>
        </w:rPr>
        <w:t>New buildings and Retrofits</w:t>
      </w:r>
    </w:p>
    <w:p w14:paraId="68BE0E85" w14:textId="673DB078" w:rsidR="00367D09" w:rsidRPr="00914BAB" w:rsidRDefault="00367D09" w:rsidP="00367D09">
      <w:pPr>
        <w:rPr>
          <w:sz w:val="24"/>
        </w:rPr>
      </w:pPr>
      <w:r w:rsidRPr="00914BAB">
        <w:rPr>
          <w:sz w:val="24"/>
        </w:rPr>
        <w:t>Estimating the economic case for new buildings and retrofits, in both the residential and commercial sectors, follows a consistent methodology. Our calculation process relies upon four core sets of data, derived for both the residential and commercial sectors:</w:t>
      </w:r>
    </w:p>
    <w:p w14:paraId="5E3FF5C2" w14:textId="35DDEAC0" w:rsidR="00367D09" w:rsidRPr="00914BAB" w:rsidRDefault="00367D09" w:rsidP="00367D09">
      <w:pPr>
        <w:pStyle w:val="ListParagraph"/>
        <w:numPr>
          <w:ilvl w:val="0"/>
          <w:numId w:val="18"/>
        </w:numPr>
        <w:ind w:left="426" w:hanging="284"/>
        <w:rPr>
          <w:sz w:val="24"/>
        </w:rPr>
      </w:pPr>
      <w:r w:rsidRPr="00914BAB">
        <w:rPr>
          <w:sz w:val="24"/>
        </w:rPr>
        <w:t>The additional installation costs per unit floor ($/m</w:t>
      </w:r>
      <w:r w:rsidRPr="00914BAB">
        <w:rPr>
          <w:sz w:val="24"/>
          <w:vertAlign w:val="superscript"/>
        </w:rPr>
        <w:t>2</w:t>
      </w:r>
      <w:r w:rsidRPr="00914BAB">
        <w:rPr>
          <w:sz w:val="24"/>
        </w:rPr>
        <w:t xml:space="preserve">) area for new buildings and retrofits in the </w:t>
      </w:r>
      <w:r w:rsidR="004679F0">
        <w:rPr>
          <w:sz w:val="24"/>
        </w:rPr>
        <w:t xml:space="preserve">urban </w:t>
      </w:r>
      <w:r w:rsidRPr="004679F0">
        <w:rPr>
          <w:iCs/>
          <w:sz w:val="24"/>
        </w:rPr>
        <w:t>action scenario</w:t>
      </w:r>
      <w:r w:rsidRPr="004679F0">
        <w:rPr>
          <w:sz w:val="24"/>
        </w:rPr>
        <w:t xml:space="preserve"> relative</w:t>
      </w:r>
      <w:r w:rsidRPr="00914BAB">
        <w:rPr>
          <w:sz w:val="24"/>
        </w:rPr>
        <w:t xml:space="preserve"> to the baseline</w:t>
      </w:r>
    </w:p>
    <w:p w14:paraId="56C3ED77" w14:textId="77777777" w:rsidR="00367D09" w:rsidRPr="00914BAB" w:rsidRDefault="00367D09" w:rsidP="00367D09">
      <w:pPr>
        <w:pStyle w:val="ListParagraph"/>
        <w:numPr>
          <w:ilvl w:val="0"/>
          <w:numId w:val="18"/>
        </w:numPr>
        <w:ind w:left="426" w:hanging="284"/>
        <w:rPr>
          <w:sz w:val="24"/>
        </w:rPr>
      </w:pPr>
      <w:r w:rsidRPr="00914BAB">
        <w:rPr>
          <w:sz w:val="24"/>
        </w:rPr>
        <w:t>Floor area installation rates (m</w:t>
      </w:r>
      <w:r w:rsidRPr="00914BAB">
        <w:rPr>
          <w:sz w:val="24"/>
          <w:vertAlign w:val="superscript"/>
        </w:rPr>
        <w:t>2</w:t>
      </w:r>
      <w:r w:rsidRPr="00914BAB">
        <w:rPr>
          <w:sz w:val="24"/>
        </w:rPr>
        <w:t>/</w:t>
      </w:r>
      <w:proofErr w:type="spellStart"/>
      <w:r w:rsidRPr="00914BAB">
        <w:rPr>
          <w:sz w:val="24"/>
        </w:rPr>
        <w:t>yr</w:t>
      </w:r>
      <w:proofErr w:type="spellEnd"/>
      <w:proofErr w:type="gramStart"/>
      <w:r w:rsidRPr="00914BAB">
        <w:rPr>
          <w:sz w:val="24"/>
        </w:rPr>
        <w:t>)  for</w:t>
      </w:r>
      <w:proofErr w:type="gramEnd"/>
      <w:r w:rsidRPr="00914BAB">
        <w:rPr>
          <w:sz w:val="24"/>
        </w:rPr>
        <w:t xml:space="preserve"> new buildings and retrofits </w:t>
      </w:r>
    </w:p>
    <w:p w14:paraId="3579CDD7" w14:textId="1D838CE9" w:rsidR="00367D09" w:rsidRPr="00914BAB" w:rsidRDefault="00367D09" w:rsidP="00367D09">
      <w:pPr>
        <w:pStyle w:val="ListParagraph"/>
        <w:numPr>
          <w:ilvl w:val="0"/>
          <w:numId w:val="18"/>
        </w:numPr>
        <w:ind w:left="426" w:hanging="284"/>
        <w:rPr>
          <w:sz w:val="24"/>
        </w:rPr>
      </w:pPr>
      <w:r w:rsidRPr="00914BAB">
        <w:rPr>
          <w:sz w:val="24"/>
        </w:rPr>
        <w:t>Annual energy savings (kWh/</w:t>
      </w:r>
      <w:proofErr w:type="spellStart"/>
      <w:r w:rsidRPr="00914BAB">
        <w:rPr>
          <w:sz w:val="24"/>
        </w:rPr>
        <w:t>yr</w:t>
      </w:r>
      <w:proofErr w:type="spellEnd"/>
      <w:r w:rsidRPr="00914BAB">
        <w:rPr>
          <w:sz w:val="24"/>
        </w:rPr>
        <w:t xml:space="preserve">) of the </w:t>
      </w:r>
      <w:r w:rsidR="004679F0">
        <w:rPr>
          <w:sz w:val="24"/>
        </w:rPr>
        <w:t xml:space="preserve">urban </w:t>
      </w:r>
      <w:r w:rsidRPr="004679F0">
        <w:rPr>
          <w:iCs/>
          <w:sz w:val="24"/>
        </w:rPr>
        <w:t>action scenario</w:t>
      </w:r>
      <w:r w:rsidRPr="004679F0">
        <w:rPr>
          <w:sz w:val="24"/>
        </w:rPr>
        <w:t xml:space="preserve"> </w:t>
      </w:r>
      <w:r w:rsidRPr="00914BAB">
        <w:rPr>
          <w:sz w:val="24"/>
        </w:rPr>
        <w:t>relative to the baseline, due to the advanced buildings</w:t>
      </w:r>
    </w:p>
    <w:p w14:paraId="1CDA8241" w14:textId="77777777" w:rsidR="00367D09" w:rsidRPr="00914BAB" w:rsidRDefault="00367D09" w:rsidP="00367D09">
      <w:pPr>
        <w:pStyle w:val="ListParagraph"/>
        <w:numPr>
          <w:ilvl w:val="0"/>
          <w:numId w:val="18"/>
        </w:numPr>
        <w:ind w:left="426" w:hanging="284"/>
        <w:rPr>
          <w:sz w:val="24"/>
        </w:rPr>
      </w:pPr>
      <w:r w:rsidRPr="00914BAB">
        <w:rPr>
          <w:sz w:val="24"/>
        </w:rPr>
        <w:t>The specific composition of fuels (%) that these energy savings consist of</w:t>
      </w:r>
    </w:p>
    <w:p w14:paraId="05C3C697" w14:textId="773EF79A" w:rsidR="00367D09" w:rsidRPr="00914BAB" w:rsidRDefault="00367D09" w:rsidP="00367D09">
      <w:pPr>
        <w:rPr>
          <w:sz w:val="24"/>
        </w:rPr>
      </w:pPr>
      <w:r w:rsidRPr="00914BAB">
        <w:rPr>
          <w:sz w:val="24"/>
        </w:rPr>
        <w:t>Once these datasets are derived, total additional costs are obtained by combining the installation costs with the installation rates, and energy cost-savings are obtained by combining total annual energy savings with the energy price forecasts, taking into account the specific fuel composition.</w:t>
      </w:r>
    </w:p>
    <w:p w14:paraId="42A65391" w14:textId="77777777" w:rsidR="00367D09" w:rsidRPr="00914BAB" w:rsidRDefault="00367D09" w:rsidP="00367D09">
      <w:pPr>
        <w:rPr>
          <w:sz w:val="24"/>
        </w:rPr>
      </w:pPr>
      <w:r w:rsidRPr="00914BAB">
        <w:rPr>
          <w:sz w:val="24"/>
        </w:rPr>
        <w:t>To calculate the first of these datasets, we use the current costs per unit floor area ($/m</w:t>
      </w:r>
      <w:r w:rsidRPr="00914BAB">
        <w:rPr>
          <w:sz w:val="24"/>
          <w:vertAlign w:val="superscript"/>
        </w:rPr>
        <w:t>2</w:t>
      </w:r>
      <w:r w:rsidRPr="00914BAB">
        <w:rPr>
          <w:sz w:val="24"/>
        </w:rPr>
        <w:t xml:space="preserve">) for conventional and advanced new builds (and retrofits), for the baseline and action scenarios, respectively, from the analysis of the Global Building Performance Network (GBPN; </w:t>
      </w:r>
      <w:proofErr w:type="spellStart"/>
      <w:r w:rsidRPr="00914BAB">
        <w:rPr>
          <w:sz w:val="24"/>
        </w:rPr>
        <w:t>Ürge-Vorsatz</w:t>
      </w:r>
      <w:proofErr w:type="spellEnd"/>
      <w:r w:rsidRPr="00914BAB">
        <w:rPr>
          <w:sz w:val="24"/>
        </w:rPr>
        <w:t xml:space="preserve"> et al., 2015). Costs supplied by GBPN correspond to the regions we analyse and are disaggregated into 17 climate zones within each of these regions. Therefore, using the share of buildings in each climate zone in each region, we aggregate these costs into </w:t>
      </w:r>
      <w:r w:rsidRPr="004679F0">
        <w:rPr>
          <w:iCs/>
          <w:sz w:val="24"/>
        </w:rPr>
        <w:t>regional costs per unit floor area</w:t>
      </w:r>
      <w:r w:rsidRPr="004679F0">
        <w:rPr>
          <w:sz w:val="24"/>
        </w:rPr>
        <w:t xml:space="preserve"> for</w:t>
      </w:r>
      <w:r w:rsidRPr="00914BAB">
        <w:rPr>
          <w:sz w:val="24"/>
        </w:rPr>
        <w:t xml:space="preserve"> both commercial and residential sectors, and in each case for both new builds and retrofits. Further details – including assumed technological learning rates – are included in the data sources table below.</w:t>
      </w:r>
    </w:p>
    <w:p w14:paraId="23058577" w14:textId="6E068472" w:rsidR="00367D09" w:rsidRPr="00914BAB" w:rsidRDefault="00367D09" w:rsidP="00367D09">
      <w:pPr>
        <w:rPr>
          <w:sz w:val="24"/>
        </w:rPr>
      </w:pPr>
      <w:r w:rsidRPr="00914BAB">
        <w:rPr>
          <w:sz w:val="24"/>
        </w:rPr>
        <w:t>Both the second and third of these datasets – floor area installation rates (m</w:t>
      </w:r>
      <w:r w:rsidRPr="00914BAB">
        <w:rPr>
          <w:sz w:val="24"/>
          <w:vertAlign w:val="superscript"/>
        </w:rPr>
        <w:t>2</w:t>
      </w:r>
      <w:r w:rsidRPr="00914BAB">
        <w:rPr>
          <w:sz w:val="24"/>
        </w:rPr>
        <w:t>/</w:t>
      </w:r>
      <w:proofErr w:type="spellStart"/>
      <w:r w:rsidRPr="00914BAB">
        <w:rPr>
          <w:sz w:val="24"/>
        </w:rPr>
        <w:t>yr</w:t>
      </w:r>
      <w:proofErr w:type="spellEnd"/>
      <w:r w:rsidRPr="00914BAB">
        <w:rPr>
          <w:sz w:val="24"/>
        </w:rPr>
        <w:t>) and annual electricity and fuel savings (kWh/</w:t>
      </w:r>
      <w:proofErr w:type="spellStart"/>
      <w:r w:rsidRPr="00914BAB">
        <w:rPr>
          <w:sz w:val="24"/>
        </w:rPr>
        <w:t>yr</w:t>
      </w:r>
      <w:proofErr w:type="spellEnd"/>
      <w:r w:rsidRPr="00914BAB">
        <w:rPr>
          <w:sz w:val="24"/>
        </w:rPr>
        <w:t>) due to the advanced buildings of the action scenario – are obtained directly from Erickson and Tempest (2014). As the floor installation rates are identical in the baseline and action scenarios, additional costs of the action scenario can be attributed fully to the higher costs of efficient buildings (rather than lower construction rates). For the fourth dataset, specific compositions of fuel savings are assumed to be the same as total compositions of fuels used within each region and sector</w:t>
      </w:r>
      <w:r w:rsidRPr="00914BAB">
        <w:rPr>
          <w:rStyle w:val="FootnoteReference"/>
          <w:sz w:val="24"/>
        </w:rPr>
        <w:footnoteReference w:id="6"/>
      </w:r>
      <w:r w:rsidRPr="00914BAB">
        <w:rPr>
          <w:sz w:val="24"/>
        </w:rPr>
        <w:t xml:space="preserve">. </w:t>
      </w:r>
    </w:p>
    <w:p w14:paraId="64165E79" w14:textId="77777777" w:rsidR="00367D09" w:rsidRPr="00914BAB" w:rsidRDefault="00367D09" w:rsidP="00367D09">
      <w:pPr>
        <w:spacing w:before="240"/>
        <w:rPr>
          <w:i/>
          <w:iCs/>
          <w:sz w:val="24"/>
        </w:rPr>
      </w:pPr>
      <w:r w:rsidRPr="00914BAB">
        <w:rPr>
          <w:i/>
          <w:iCs/>
          <w:sz w:val="24"/>
        </w:rPr>
        <w:t>Appliances and lighting</w:t>
      </w:r>
    </w:p>
    <w:p w14:paraId="49333281" w14:textId="04900752" w:rsidR="00367D09" w:rsidRPr="00914BAB" w:rsidRDefault="00367D09" w:rsidP="00367D09">
      <w:pPr>
        <w:rPr>
          <w:sz w:val="24"/>
        </w:rPr>
      </w:pPr>
      <w:r w:rsidRPr="00914BAB">
        <w:rPr>
          <w:sz w:val="24"/>
        </w:rPr>
        <w:lastRenderedPageBreak/>
        <w:t>Estimating costs of appliances and lighting involves a number of different assumptions. Our calculation process relies upon three core sets of data</w:t>
      </w:r>
      <w:r w:rsidR="00946551" w:rsidRPr="00914BAB">
        <w:rPr>
          <w:rStyle w:val="FootnoteReference"/>
          <w:sz w:val="24"/>
        </w:rPr>
        <w:footnoteReference w:id="7"/>
      </w:r>
      <w:r w:rsidRPr="00914BAB">
        <w:rPr>
          <w:sz w:val="24"/>
        </w:rPr>
        <w:t>:</w:t>
      </w:r>
    </w:p>
    <w:p w14:paraId="4C2563F1" w14:textId="77777777" w:rsidR="00367D09" w:rsidRPr="00914BAB" w:rsidRDefault="00367D09" w:rsidP="00367D09">
      <w:pPr>
        <w:pStyle w:val="ListParagraph"/>
        <w:numPr>
          <w:ilvl w:val="0"/>
          <w:numId w:val="19"/>
        </w:numPr>
        <w:ind w:left="426" w:hanging="284"/>
        <w:rPr>
          <w:sz w:val="24"/>
        </w:rPr>
      </w:pPr>
      <w:r w:rsidRPr="00914BAB">
        <w:rPr>
          <w:sz w:val="24"/>
        </w:rPr>
        <w:t>Cost to save a unit of electricity ($/kWh) via the installation of high efficiency lighting or appliances</w:t>
      </w:r>
    </w:p>
    <w:p w14:paraId="5177EFAA" w14:textId="5AC19338" w:rsidR="00367D09" w:rsidRPr="00914BAB" w:rsidRDefault="00367D09" w:rsidP="00367D09">
      <w:pPr>
        <w:pStyle w:val="ListParagraph"/>
        <w:numPr>
          <w:ilvl w:val="0"/>
          <w:numId w:val="19"/>
        </w:numPr>
        <w:ind w:left="426" w:hanging="284"/>
        <w:rPr>
          <w:sz w:val="24"/>
        </w:rPr>
      </w:pPr>
      <w:r w:rsidRPr="00914BAB">
        <w:rPr>
          <w:sz w:val="24"/>
        </w:rPr>
        <w:t>Annual electricity savings (kWh/</w:t>
      </w:r>
      <w:proofErr w:type="spellStart"/>
      <w:r w:rsidRPr="00914BAB">
        <w:rPr>
          <w:sz w:val="24"/>
        </w:rPr>
        <w:t>yr</w:t>
      </w:r>
      <w:proofErr w:type="spellEnd"/>
      <w:r w:rsidRPr="00914BAB">
        <w:rPr>
          <w:sz w:val="24"/>
        </w:rPr>
        <w:t xml:space="preserve">) in the </w:t>
      </w:r>
      <w:r w:rsidR="004679F0">
        <w:rPr>
          <w:sz w:val="24"/>
        </w:rPr>
        <w:t xml:space="preserve">urban </w:t>
      </w:r>
      <w:r w:rsidRPr="004679F0">
        <w:rPr>
          <w:iCs/>
          <w:sz w:val="24"/>
        </w:rPr>
        <w:t>action scenario</w:t>
      </w:r>
      <w:r w:rsidRPr="004679F0">
        <w:rPr>
          <w:sz w:val="24"/>
        </w:rPr>
        <w:t xml:space="preserve"> </w:t>
      </w:r>
      <w:r w:rsidRPr="00914BAB">
        <w:rPr>
          <w:sz w:val="24"/>
        </w:rPr>
        <w:t>due to both lighting and appliances</w:t>
      </w:r>
    </w:p>
    <w:p w14:paraId="013221CE" w14:textId="77777777" w:rsidR="00367D09" w:rsidRPr="00914BAB" w:rsidRDefault="00367D09" w:rsidP="00367D09">
      <w:pPr>
        <w:pStyle w:val="ListParagraph"/>
        <w:numPr>
          <w:ilvl w:val="0"/>
          <w:numId w:val="19"/>
        </w:numPr>
        <w:ind w:left="426" w:hanging="284"/>
        <w:rPr>
          <w:sz w:val="24"/>
        </w:rPr>
      </w:pPr>
      <w:r w:rsidRPr="00914BAB">
        <w:rPr>
          <w:sz w:val="24"/>
        </w:rPr>
        <w:t>The split of these electricity savings between appliances and lighting (%)</w:t>
      </w:r>
    </w:p>
    <w:p w14:paraId="7B479587" w14:textId="752BE395" w:rsidR="00367D09" w:rsidRPr="00914BAB" w:rsidRDefault="00402843" w:rsidP="00367D09">
      <w:pPr>
        <w:rPr>
          <w:sz w:val="24"/>
        </w:rPr>
      </w:pPr>
      <w:r w:rsidRPr="00914BAB">
        <w:rPr>
          <w:sz w:val="24"/>
        </w:rPr>
        <w:t>B</w:t>
      </w:r>
      <w:r w:rsidR="00367D09" w:rsidRPr="00914BAB">
        <w:rPr>
          <w:sz w:val="24"/>
        </w:rPr>
        <w:t xml:space="preserve">y splitting annual electricity savings into </w:t>
      </w:r>
      <w:r w:rsidR="002065FC" w:rsidRPr="00914BAB">
        <w:rPr>
          <w:sz w:val="24"/>
        </w:rPr>
        <w:t xml:space="preserve">savings from </w:t>
      </w:r>
      <w:r w:rsidR="00367D09" w:rsidRPr="00914BAB">
        <w:rPr>
          <w:sz w:val="24"/>
        </w:rPr>
        <w:t>lighting</w:t>
      </w:r>
      <w:r w:rsidR="002065FC" w:rsidRPr="00914BAB">
        <w:rPr>
          <w:sz w:val="24"/>
        </w:rPr>
        <w:t>,</w:t>
      </w:r>
      <w:r w:rsidR="00367D09" w:rsidRPr="00914BAB">
        <w:rPr>
          <w:sz w:val="24"/>
        </w:rPr>
        <w:t xml:space="preserve"> and </w:t>
      </w:r>
      <w:r w:rsidR="002065FC" w:rsidRPr="00914BAB">
        <w:rPr>
          <w:sz w:val="24"/>
        </w:rPr>
        <w:t xml:space="preserve">savings from </w:t>
      </w:r>
      <w:r w:rsidR="00367D09" w:rsidRPr="00914BAB">
        <w:rPr>
          <w:sz w:val="24"/>
        </w:rPr>
        <w:t>appliances</w:t>
      </w:r>
      <w:r w:rsidR="00367D09" w:rsidRPr="00914BAB">
        <w:rPr>
          <w:rStyle w:val="FootnoteReference"/>
          <w:sz w:val="24"/>
        </w:rPr>
        <w:footnoteReference w:id="8"/>
      </w:r>
      <w:r w:rsidR="00367D09" w:rsidRPr="00914BAB">
        <w:rPr>
          <w:sz w:val="24"/>
        </w:rPr>
        <w:t xml:space="preserve">, calculating the costs required to </w:t>
      </w:r>
      <w:r w:rsidR="004679F0">
        <w:rPr>
          <w:sz w:val="24"/>
        </w:rPr>
        <w:t>generate</w:t>
      </w:r>
      <w:r w:rsidR="00367D09" w:rsidRPr="00914BAB">
        <w:rPr>
          <w:sz w:val="24"/>
        </w:rPr>
        <w:t xml:space="preserve"> these savings using the costs per unit energy saved, and summing the</w:t>
      </w:r>
      <w:r w:rsidR="002065FC" w:rsidRPr="00914BAB">
        <w:rPr>
          <w:sz w:val="24"/>
        </w:rPr>
        <w:t>se</w:t>
      </w:r>
      <w:r w:rsidR="00367D09" w:rsidRPr="00914BAB">
        <w:rPr>
          <w:sz w:val="24"/>
        </w:rPr>
        <w:t xml:space="preserve"> results, the additional costs are obtained. Energy cost-savings are obtained by combining total annual electricity savings with the electricity price forecasts.</w:t>
      </w:r>
    </w:p>
    <w:p w14:paraId="04405701" w14:textId="5C492211" w:rsidR="00367D09" w:rsidRPr="00914BAB" w:rsidRDefault="00367D09" w:rsidP="000F0DEC">
      <w:pPr>
        <w:rPr>
          <w:sz w:val="24"/>
        </w:rPr>
      </w:pPr>
      <w:r w:rsidRPr="00914BAB">
        <w:rPr>
          <w:sz w:val="24"/>
        </w:rPr>
        <w:t>To derive the first of these datasets, average costs of appliances and lighting of various levels of efficiency (USD/toe energy consumption) are sourced from the IEA (IEA 2014c). We assume that the energy savings of the</w:t>
      </w:r>
      <w:r w:rsidRPr="004679F0">
        <w:rPr>
          <w:sz w:val="24"/>
        </w:rPr>
        <w:t xml:space="preserve"> </w:t>
      </w:r>
      <w:r w:rsidRPr="004679F0">
        <w:rPr>
          <w:iCs/>
          <w:sz w:val="24"/>
        </w:rPr>
        <w:t>urban action scenario</w:t>
      </w:r>
      <w:r w:rsidRPr="00914BAB">
        <w:rPr>
          <w:sz w:val="24"/>
        </w:rPr>
        <w:t xml:space="preserve"> are met via the installation of LED lighting and BAT (best available technology) appliances, and that technologies implemented in the baseline</w:t>
      </w:r>
      <w:r w:rsidR="000F0DEC" w:rsidRPr="00914BAB">
        <w:rPr>
          <w:rStyle w:val="FootnoteReference"/>
          <w:sz w:val="24"/>
        </w:rPr>
        <w:footnoteReference w:id="9"/>
      </w:r>
      <w:r w:rsidRPr="00914BAB">
        <w:rPr>
          <w:sz w:val="24"/>
        </w:rPr>
        <w:t xml:space="preserve"> would be incandescent lighting in the residential sector, linear florescent lighting in the commercial sector, and low efficiency appliances across both sectors. The costs and efficiencies of the technologies deployed in the action scenario relative to those in the baseline scenario allow </w:t>
      </w:r>
      <w:r w:rsidRPr="004679F0">
        <w:rPr>
          <w:sz w:val="24"/>
        </w:rPr>
        <w:t xml:space="preserve">the </w:t>
      </w:r>
      <w:r w:rsidRPr="004679F0">
        <w:rPr>
          <w:iCs/>
          <w:sz w:val="24"/>
        </w:rPr>
        <w:t>cost per kWh of energy saved</w:t>
      </w:r>
      <w:r w:rsidRPr="004679F0">
        <w:rPr>
          <w:sz w:val="24"/>
        </w:rPr>
        <w:t xml:space="preserve"> to</w:t>
      </w:r>
      <w:r w:rsidRPr="00914BAB">
        <w:rPr>
          <w:sz w:val="24"/>
        </w:rPr>
        <w:t xml:space="preserve"> be calculated for both appliances and lighting</w:t>
      </w:r>
      <w:r w:rsidRPr="00914BAB">
        <w:rPr>
          <w:rStyle w:val="FootnoteReference"/>
          <w:sz w:val="24"/>
        </w:rPr>
        <w:footnoteReference w:id="10"/>
      </w:r>
      <w:r w:rsidRPr="00914BAB">
        <w:rPr>
          <w:sz w:val="24"/>
        </w:rPr>
        <w:t xml:space="preserve">. Further details – including assumed technological learning rates – are included in the data sources table below. </w:t>
      </w:r>
    </w:p>
    <w:p w14:paraId="33568314" w14:textId="77777777" w:rsidR="00367D09" w:rsidRPr="00914BAB" w:rsidRDefault="00367D09" w:rsidP="00367D09">
      <w:pPr>
        <w:rPr>
          <w:sz w:val="24"/>
        </w:rPr>
      </w:pPr>
      <w:r w:rsidRPr="00914BAB">
        <w:rPr>
          <w:sz w:val="24"/>
        </w:rPr>
        <w:t xml:space="preserve">The second dataset, describing the kWh electricity savings per year achieved due to appliances and lighting in each region, is obtained directly from Erickson and Tempest (2014). The third, describing splits of electricity use between lighting and appliances for the residential and commercial sectors, is obtained from the </w:t>
      </w:r>
      <w:r w:rsidRPr="00914BAB">
        <w:rPr>
          <w:i/>
          <w:iCs/>
          <w:sz w:val="24"/>
        </w:rPr>
        <w:t>2DS</w:t>
      </w:r>
      <w:r w:rsidRPr="00914BAB">
        <w:rPr>
          <w:sz w:val="24"/>
        </w:rPr>
        <w:t xml:space="preserve"> scenario of the IEA (IEA, 2014a), which forecasts these splits out to 2050, at the OECD and non-OECD level.</w:t>
      </w:r>
    </w:p>
    <w:p w14:paraId="18EF5535" w14:textId="7FA9299D" w:rsidR="00367D09" w:rsidRPr="00914BAB" w:rsidRDefault="00367D09" w:rsidP="00367D09">
      <w:pPr>
        <w:spacing w:before="240"/>
        <w:rPr>
          <w:i/>
          <w:iCs/>
          <w:sz w:val="24"/>
        </w:rPr>
      </w:pPr>
      <w:r w:rsidRPr="00914BAB">
        <w:rPr>
          <w:i/>
          <w:iCs/>
          <w:sz w:val="24"/>
        </w:rPr>
        <w:t>Solar PV</w:t>
      </w:r>
      <w:r w:rsidR="000D45ED" w:rsidRPr="00914BAB">
        <w:rPr>
          <w:rStyle w:val="FootnoteReference"/>
          <w:i/>
          <w:iCs/>
          <w:sz w:val="24"/>
        </w:rPr>
        <w:footnoteReference w:id="11"/>
      </w:r>
    </w:p>
    <w:p w14:paraId="30A49BE9" w14:textId="77777777" w:rsidR="00367D09" w:rsidRPr="00914BAB" w:rsidRDefault="00367D09" w:rsidP="00367D09">
      <w:pPr>
        <w:rPr>
          <w:sz w:val="24"/>
        </w:rPr>
      </w:pPr>
      <w:r w:rsidRPr="00914BAB">
        <w:rPr>
          <w:sz w:val="24"/>
        </w:rPr>
        <w:lastRenderedPageBreak/>
        <w:t xml:space="preserve">Estimates of the costs of additional solar capacity installed in the </w:t>
      </w:r>
      <w:r w:rsidRPr="004679F0">
        <w:rPr>
          <w:iCs/>
          <w:sz w:val="24"/>
        </w:rPr>
        <w:t>urban action scenario</w:t>
      </w:r>
      <w:r w:rsidRPr="00914BAB">
        <w:rPr>
          <w:i/>
          <w:iCs/>
          <w:sz w:val="24"/>
        </w:rPr>
        <w:t xml:space="preserve"> </w:t>
      </w:r>
      <w:r w:rsidRPr="00914BAB">
        <w:rPr>
          <w:sz w:val="24"/>
        </w:rPr>
        <w:t>involve few assumptions relative to other measures within the building sector. Three core sets of data underlie the calculation process, each disaggregated by region:</w:t>
      </w:r>
    </w:p>
    <w:p w14:paraId="35FE0253" w14:textId="77777777" w:rsidR="00367D09" w:rsidRPr="00914BAB" w:rsidRDefault="00367D09" w:rsidP="00367D09">
      <w:pPr>
        <w:pStyle w:val="ListParagraph"/>
        <w:numPr>
          <w:ilvl w:val="0"/>
          <w:numId w:val="20"/>
        </w:numPr>
        <w:ind w:left="426" w:hanging="284"/>
        <w:rPr>
          <w:sz w:val="24"/>
        </w:rPr>
      </w:pPr>
      <w:r w:rsidRPr="00914BAB">
        <w:rPr>
          <w:sz w:val="24"/>
        </w:rPr>
        <w:t>Installation costs ($/kWh installed capacity) and annual running costs ($/</w:t>
      </w:r>
      <w:proofErr w:type="spellStart"/>
      <w:r w:rsidRPr="00914BAB">
        <w:rPr>
          <w:sz w:val="24"/>
        </w:rPr>
        <w:t>yr.kWh</w:t>
      </w:r>
      <w:proofErr w:type="spellEnd"/>
      <w:r w:rsidRPr="00914BAB">
        <w:rPr>
          <w:sz w:val="24"/>
        </w:rPr>
        <w:t xml:space="preserve"> installed capacity)</w:t>
      </w:r>
    </w:p>
    <w:p w14:paraId="6CAC0B55" w14:textId="77777777" w:rsidR="00367D09" w:rsidRPr="00914BAB" w:rsidRDefault="00367D09" w:rsidP="00367D09">
      <w:pPr>
        <w:pStyle w:val="ListParagraph"/>
        <w:numPr>
          <w:ilvl w:val="0"/>
          <w:numId w:val="20"/>
        </w:numPr>
        <w:ind w:left="426" w:hanging="284"/>
        <w:rPr>
          <w:sz w:val="24"/>
        </w:rPr>
      </w:pPr>
      <w:r w:rsidRPr="00914BAB">
        <w:rPr>
          <w:sz w:val="24"/>
        </w:rPr>
        <w:t>Capacity factors (%)</w:t>
      </w:r>
    </w:p>
    <w:p w14:paraId="1F3BAC46" w14:textId="2FC6CA22" w:rsidR="00367D09" w:rsidRPr="00914BAB" w:rsidRDefault="00367D09" w:rsidP="00367D09">
      <w:pPr>
        <w:pStyle w:val="ListParagraph"/>
        <w:numPr>
          <w:ilvl w:val="0"/>
          <w:numId w:val="20"/>
        </w:numPr>
        <w:ind w:left="426" w:hanging="284"/>
        <w:rPr>
          <w:sz w:val="24"/>
        </w:rPr>
      </w:pPr>
      <w:r w:rsidRPr="00914BAB">
        <w:rPr>
          <w:sz w:val="24"/>
        </w:rPr>
        <w:t>Annual electricity savings (kWh/</w:t>
      </w:r>
      <w:proofErr w:type="spellStart"/>
      <w:r w:rsidRPr="00914BAB">
        <w:rPr>
          <w:sz w:val="24"/>
        </w:rPr>
        <w:t>yr</w:t>
      </w:r>
      <w:proofErr w:type="spellEnd"/>
      <w:r w:rsidRPr="00914BAB">
        <w:rPr>
          <w:sz w:val="24"/>
        </w:rPr>
        <w:t xml:space="preserve">) due to additional PV installations in the </w:t>
      </w:r>
      <w:r w:rsidR="004679F0">
        <w:rPr>
          <w:sz w:val="24"/>
        </w:rPr>
        <w:t xml:space="preserve">urban </w:t>
      </w:r>
      <w:r w:rsidRPr="004679F0">
        <w:rPr>
          <w:iCs/>
          <w:sz w:val="24"/>
        </w:rPr>
        <w:t>action scenario</w:t>
      </w:r>
      <w:r w:rsidRPr="004679F0">
        <w:rPr>
          <w:sz w:val="24"/>
        </w:rPr>
        <w:t xml:space="preserve"> </w:t>
      </w:r>
      <w:r w:rsidRPr="00914BAB">
        <w:rPr>
          <w:sz w:val="24"/>
        </w:rPr>
        <w:t>relative to the baseline</w:t>
      </w:r>
    </w:p>
    <w:p w14:paraId="4F4CBE97" w14:textId="2A9EB886" w:rsidR="00367D09" w:rsidRPr="00914BAB" w:rsidRDefault="00367D09" w:rsidP="00367D09">
      <w:pPr>
        <w:rPr>
          <w:sz w:val="24"/>
        </w:rPr>
      </w:pPr>
      <w:r w:rsidRPr="00914BAB">
        <w:rPr>
          <w:sz w:val="24"/>
        </w:rPr>
        <w:t>Using these data, additional investment costs can be estimated by matching the installed capacity to the annual electricity savings – taking into account capacity factors and average panel lifetimes – and running costs of this installed capacity are then added to these investment costs. Again, energy cost-savings are obtained immediately by combining total annual electricity savings with the energy price forecasts.</w:t>
      </w:r>
    </w:p>
    <w:p w14:paraId="4E38736F" w14:textId="77777777" w:rsidR="00367D09" w:rsidRPr="00914BAB" w:rsidRDefault="00367D09" w:rsidP="00367D09">
      <w:pPr>
        <w:rPr>
          <w:sz w:val="24"/>
        </w:rPr>
      </w:pPr>
      <w:r w:rsidRPr="00914BAB">
        <w:rPr>
          <w:sz w:val="24"/>
        </w:rPr>
        <w:t xml:space="preserve">The first and second of these datasets are sourced from the </w:t>
      </w:r>
      <w:r w:rsidRPr="004679F0">
        <w:rPr>
          <w:iCs/>
          <w:sz w:val="24"/>
        </w:rPr>
        <w:t>450 Scenario</w:t>
      </w:r>
      <w:r w:rsidRPr="00914BAB">
        <w:rPr>
          <w:sz w:val="24"/>
        </w:rPr>
        <w:t xml:space="preserve"> of the World Energy Outlook (IEA 2014b), and these are disaggregated by region and include price forecasts to 2030. The third dataset is obtained directly from Erickson and Tempest (2014). Further details are included in the data sources table below.</w:t>
      </w:r>
    </w:p>
    <w:p w14:paraId="078C966A" w14:textId="77777777" w:rsidR="00856C46" w:rsidRPr="00914BAB" w:rsidRDefault="00856C46" w:rsidP="000F0DEC">
      <w:pPr>
        <w:spacing w:before="0"/>
        <w:rPr>
          <w:sz w:val="24"/>
        </w:rPr>
      </w:pPr>
    </w:p>
    <w:p w14:paraId="64560D99" w14:textId="77777777" w:rsidR="00A2383D" w:rsidRPr="00914BAB" w:rsidRDefault="00A2383D" w:rsidP="00A2383D">
      <w:pPr>
        <w:pStyle w:val="Heading3"/>
        <w:rPr>
          <w:sz w:val="24"/>
        </w:rPr>
      </w:pPr>
      <w:bookmarkStart w:id="5" w:name="_Toc292953272"/>
      <w:r w:rsidRPr="00914BAB">
        <w:rPr>
          <w:sz w:val="24"/>
        </w:rPr>
        <w:t>Transport: Passenger transport and freight transport</w:t>
      </w:r>
      <w:bookmarkEnd w:id="5"/>
    </w:p>
    <w:p w14:paraId="54548D9C" w14:textId="77777777" w:rsidR="00A2383D" w:rsidRPr="00914BAB" w:rsidRDefault="00A2383D" w:rsidP="00A2383D">
      <w:pPr>
        <w:rPr>
          <w:i/>
          <w:sz w:val="24"/>
        </w:rPr>
      </w:pPr>
      <w:r w:rsidRPr="00914BAB">
        <w:rPr>
          <w:i/>
          <w:sz w:val="24"/>
        </w:rPr>
        <w:t>Urban planning and reduced travel demand</w:t>
      </w:r>
    </w:p>
    <w:p w14:paraId="2BF9EA6E" w14:textId="77777777" w:rsidR="00A2383D" w:rsidRPr="00914BAB" w:rsidRDefault="00A2383D" w:rsidP="00A2383D">
      <w:pPr>
        <w:rPr>
          <w:sz w:val="24"/>
        </w:rPr>
      </w:pPr>
      <w:r w:rsidRPr="00914BAB">
        <w:rPr>
          <w:sz w:val="24"/>
        </w:rPr>
        <w:t xml:space="preserve">No costs are estimated for this measure, however, previously work for the NCE suggests that urban planning for compact and connected cities could reduce investment costs by $3 trillion between 2015 and 2030 (Floater et al 2014). </w:t>
      </w:r>
      <w:r w:rsidRPr="00914BAB">
        <w:rPr>
          <w:iCs/>
          <w:sz w:val="24"/>
          <w:shd w:val="clear" w:color="auto" w:fill="FFFFFF"/>
        </w:rPr>
        <w:t xml:space="preserve">This is further supported by work from the World Bank </w:t>
      </w:r>
      <w:r w:rsidRPr="00914BAB">
        <w:rPr>
          <w:iCs/>
          <w:sz w:val="24"/>
          <w:shd w:val="clear" w:color="auto" w:fill="FFFFFF"/>
          <w:lang w:val="en-US"/>
        </w:rPr>
        <w:t>who find that China could save up to US$1.4 trillion in infrastructure spending to 2030 if more compact urban forms were pursued (Zhang et al 2013).</w:t>
      </w:r>
    </w:p>
    <w:p w14:paraId="6B10ABD0" w14:textId="708FD099" w:rsidR="00A2383D" w:rsidRPr="00914BAB" w:rsidRDefault="00A2383D" w:rsidP="00FA68BB">
      <w:pPr>
        <w:rPr>
          <w:sz w:val="24"/>
        </w:rPr>
      </w:pPr>
      <w:r w:rsidRPr="00914BAB">
        <w:rPr>
          <w:sz w:val="24"/>
        </w:rPr>
        <w:t>Total energy savings are calculated using modal share data from Erickson and Tempest (2014) and regional energy intensity of transport data from the IEA 2DS and 4DS scenari</w:t>
      </w:r>
      <w:r w:rsidR="00D36168" w:rsidRPr="00914BAB">
        <w:rPr>
          <w:sz w:val="24"/>
        </w:rPr>
        <w:t xml:space="preserve">os (IEA, 2012). These data are </w:t>
      </w:r>
      <w:r w:rsidRPr="00914BAB">
        <w:rPr>
          <w:sz w:val="24"/>
        </w:rPr>
        <w:t xml:space="preserve">converted to fuel types using the regional specific data on energy use by fuel type from the IEA (2015) on the assumption that </w:t>
      </w:r>
      <w:r w:rsidR="00DF16EA">
        <w:rPr>
          <w:sz w:val="24"/>
        </w:rPr>
        <w:t>fuel use by energy type is not e</w:t>
      </w:r>
      <w:r w:rsidRPr="00914BAB">
        <w:rPr>
          <w:sz w:val="24"/>
        </w:rPr>
        <w:t>ffected by our scenario. Cost savings are then estimated using regional fuel price f</w:t>
      </w:r>
      <w:r w:rsidR="00FA68BB" w:rsidRPr="00914BAB">
        <w:rPr>
          <w:sz w:val="24"/>
        </w:rPr>
        <w:t xml:space="preserve">orecasts (as specified above). </w:t>
      </w:r>
    </w:p>
    <w:p w14:paraId="76CB6E20" w14:textId="0ACCDEDB" w:rsidR="00A2383D" w:rsidRPr="00914BAB" w:rsidRDefault="00A2383D" w:rsidP="00D04147">
      <w:pPr>
        <w:spacing w:before="240"/>
        <w:rPr>
          <w:i/>
          <w:sz w:val="24"/>
        </w:rPr>
      </w:pPr>
      <w:r w:rsidRPr="00914BAB">
        <w:rPr>
          <w:i/>
          <w:sz w:val="24"/>
        </w:rPr>
        <w:t>Mo</w:t>
      </w:r>
      <w:r w:rsidR="00FA68BB" w:rsidRPr="00914BAB">
        <w:rPr>
          <w:i/>
          <w:sz w:val="24"/>
        </w:rPr>
        <w:t>de shift and transit efficiency</w:t>
      </w:r>
      <w:r w:rsidR="00D04147" w:rsidRPr="00914BAB">
        <w:rPr>
          <w:i/>
          <w:sz w:val="24"/>
        </w:rPr>
        <w:t xml:space="preserve"> (passenger transport)</w:t>
      </w:r>
    </w:p>
    <w:p w14:paraId="37A887D8" w14:textId="3B4F37F5" w:rsidR="002370FC" w:rsidRPr="00914BAB" w:rsidRDefault="00A2383D" w:rsidP="00A2383D">
      <w:pPr>
        <w:rPr>
          <w:sz w:val="24"/>
        </w:rPr>
      </w:pPr>
      <w:r w:rsidRPr="00914BAB">
        <w:rPr>
          <w:sz w:val="24"/>
        </w:rPr>
        <w:t>The calculation of investment requirements for this measure is comprised of three elements: The cost of the mode shift, the cost of energy efficiency improvements</w:t>
      </w:r>
      <w:r w:rsidR="000C274B" w:rsidRPr="00914BAB">
        <w:rPr>
          <w:sz w:val="24"/>
        </w:rPr>
        <w:t xml:space="preserve"> for public transport vehicles</w:t>
      </w:r>
      <w:r w:rsidRPr="00914BAB">
        <w:rPr>
          <w:sz w:val="24"/>
        </w:rPr>
        <w:t>, and the cost of electrification of the</w:t>
      </w:r>
      <w:r w:rsidR="000C274B" w:rsidRPr="00914BAB">
        <w:rPr>
          <w:sz w:val="24"/>
        </w:rPr>
        <w:t xml:space="preserve"> public</w:t>
      </w:r>
      <w:r w:rsidRPr="00914BAB">
        <w:rPr>
          <w:sz w:val="24"/>
        </w:rPr>
        <w:t xml:space="preserve"> transport fleet.</w:t>
      </w:r>
      <w:r w:rsidR="002370FC" w:rsidRPr="00914BAB">
        <w:rPr>
          <w:sz w:val="24"/>
        </w:rPr>
        <w:t xml:space="preserve"> </w:t>
      </w:r>
    </w:p>
    <w:p w14:paraId="57704D6C" w14:textId="77CE0E66" w:rsidR="002370FC" w:rsidRPr="00914BAB" w:rsidRDefault="005648BC" w:rsidP="00A2383D">
      <w:pPr>
        <w:rPr>
          <w:sz w:val="24"/>
        </w:rPr>
      </w:pPr>
      <w:r w:rsidRPr="00914BAB">
        <w:rPr>
          <w:sz w:val="24"/>
        </w:rPr>
        <w:t>To calculate the investment requirements for the mode shift element the following data sets are drawn upon:</w:t>
      </w:r>
    </w:p>
    <w:p w14:paraId="2DE66EE0" w14:textId="77777777" w:rsidR="002370FC" w:rsidRPr="00914BAB" w:rsidRDefault="002370FC" w:rsidP="002370FC">
      <w:pPr>
        <w:pStyle w:val="ListParagraph"/>
        <w:numPr>
          <w:ilvl w:val="0"/>
          <w:numId w:val="21"/>
        </w:numPr>
        <w:rPr>
          <w:sz w:val="24"/>
        </w:rPr>
      </w:pPr>
      <w:r w:rsidRPr="00914BAB">
        <w:rPr>
          <w:sz w:val="24"/>
        </w:rPr>
        <w:lastRenderedPageBreak/>
        <w:t>The urban population by region</w:t>
      </w:r>
    </w:p>
    <w:p w14:paraId="7C3841BE" w14:textId="0B37B500" w:rsidR="002370FC" w:rsidRPr="00914BAB" w:rsidRDefault="002370FC" w:rsidP="002370FC">
      <w:pPr>
        <w:pStyle w:val="ListParagraph"/>
        <w:numPr>
          <w:ilvl w:val="0"/>
          <w:numId w:val="21"/>
        </w:numPr>
        <w:rPr>
          <w:sz w:val="24"/>
        </w:rPr>
      </w:pPr>
      <w:r w:rsidRPr="00914BAB">
        <w:rPr>
          <w:sz w:val="24"/>
        </w:rPr>
        <w:t>Annual regional per capita travel distance (km)</w:t>
      </w:r>
    </w:p>
    <w:p w14:paraId="153F02F9" w14:textId="73278734" w:rsidR="002370FC" w:rsidRPr="00914BAB" w:rsidRDefault="002370FC" w:rsidP="002370FC">
      <w:pPr>
        <w:pStyle w:val="ListParagraph"/>
        <w:numPr>
          <w:ilvl w:val="0"/>
          <w:numId w:val="21"/>
        </w:numPr>
        <w:rPr>
          <w:sz w:val="24"/>
        </w:rPr>
      </w:pPr>
      <w:r w:rsidRPr="00914BAB">
        <w:rPr>
          <w:sz w:val="24"/>
        </w:rPr>
        <w:t>Regional travel mode share (%)</w:t>
      </w:r>
    </w:p>
    <w:p w14:paraId="4624F207" w14:textId="5A0624AC" w:rsidR="002370FC" w:rsidRPr="00914BAB" w:rsidRDefault="002370FC" w:rsidP="002370FC">
      <w:pPr>
        <w:pStyle w:val="ListParagraph"/>
        <w:numPr>
          <w:ilvl w:val="0"/>
          <w:numId w:val="21"/>
        </w:numPr>
        <w:rPr>
          <w:sz w:val="24"/>
        </w:rPr>
      </w:pPr>
      <w:r w:rsidRPr="00914BAB">
        <w:rPr>
          <w:sz w:val="24"/>
        </w:rPr>
        <w:t>Vehicle occupancy figures</w:t>
      </w:r>
    </w:p>
    <w:p w14:paraId="5A967B54" w14:textId="4B35B88F" w:rsidR="002370FC" w:rsidRPr="00914BAB" w:rsidRDefault="002370FC" w:rsidP="002370FC">
      <w:pPr>
        <w:pStyle w:val="ListParagraph"/>
        <w:numPr>
          <w:ilvl w:val="0"/>
          <w:numId w:val="21"/>
        </w:numPr>
        <w:rPr>
          <w:sz w:val="24"/>
        </w:rPr>
      </w:pPr>
      <w:r w:rsidRPr="00914BAB">
        <w:rPr>
          <w:sz w:val="24"/>
        </w:rPr>
        <w:t xml:space="preserve">Vehicle-km per km infrastructure </w:t>
      </w:r>
    </w:p>
    <w:p w14:paraId="0152580F" w14:textId="69057049" w:rsidR="002370FC" w:rsidRPr="00914BAB" w:rsidRDefault="002370FC" w:rsidP="006B5EC8">
      <w:pPr>
        <w:pStyle w:val="ListParagraph"/>
        <w:numPr>
          <w:ilvl w:val="0"/>
          <w:numId w:val="21"/>
        </w:numPr>
        <w:rPr>
          <w:sz w:val="24"/>
        </w:rPr>
      </w:pPr>
      <w:r w:rsidRPr="00914BAB">
        <w:rPr>
          <w:sz w:val="24"/>
        </w:rPr>
        <w:t>Cost per km of infrastructure (millions 2015 USD)</w:t>
      </w:r>
    </w:p>
    <w:p w14:paraId="1984587E" w14:textId="4AC7BD3D" w:rsidR="00A2383D" w:rsidRPr="00914BAB" w:rsidRDefault="00A2383D" w:rsidP="00FA68BB">
      <w:pPr>
        <w:rPr>
          <w:sz w:val="24"/>
        </w:rPr>
      </w:pPr>
      <w:r w:rsidRPr="00914BAB">
        <w:rPr>
          <w:sz w:val="24"/>
        </w:rPr>
        <w:t>To calculate the investment requirements for the mode shift element, the change in person-km by transport mode</w:t>
      </w:r>
      <w:r w:rsidR="00F73276" w:rsidRPr="00914BAB">
        <w:rPr>
          <w:sz w:val="24"/>
        </w:rPr>
        <w:t xml:space="preserve"> and region</w:t>
      </w:r>
      <w:r w:rsidRPr="00914BAB">
        <w:rPr>
          <w:sz w:val="24"/>
        </w:rPr>
        <w:t xml:space="preserve"> </w:t>
      </w:r>
      <w:r w:rsidR="00F73276" w:rsidRPr="00914BAB">
        <w:rPr>
          <w:sz w:val="24"/>
        </w:rPr>
        <w:t xml:space="preserve">(under the baseline and </w:t>
      </w:r>
      <w:r w:rsidR="00D36168" w:rsidRPr="00914BAB">
        <w:rPr>
          <w:sz w:val="24"/>
        </w:rPr>
        <w:t xml:space="preserve">action </w:t>
      </w:r>
      <w:r w:rsidR="00F73276" w:rsidRPr="00914BAB">
        <w:rPr>
          <w:sz w:val="24"/>
        </w:rPr>
        <w:t xml:space="preserve">scenarios) </w:t>
      </w:r>
      <w:r w:rsidRPr="00914BAB">
        <w:rPr>
          <w:sz w:val="24"/>
        </w:rPr>
        <w:t>are calculated using</w:t>
      </w:r>
      <w:r w:rsidR="005648BC" w:rsidRPr="00914BAB">
        <w:rPr>
          <w:sz w:val="24"/>
        </w:rPr>
        <w:t xml:space="preserve"> data on the urban population by region,</w:t>
      </w:r>
      <w:r w:rsidRPr="00914BAB">
        <w:rPr>
          <w:sz w:val="24"/>
        </w:rPr>
        <w:t xml:space="preserve"> per capita annual transport demand</w:t>
      </w:r>
      <w:r w:rsidR="005648BC" w:rsidRPr="00914BAB">
        <w:rPr>
          <w:sz w:val="24"/>
        </w:rPr>
        <w:t>, and regional travel mode share</w:t>
      </w:r>
      <w:r w:rsidRPr="00914BAB">
        <w:rPr>
          <w:sz w:val="24"/>
        </w:rPr>
        <w:t xml:space="preserve"> estimates outlined </w:t>
      </w:r>
      <w:r w:rsidR="00AA7FC0" w:rsidRPr="00914BAB">
        <w:rPr>
          <w:sz w:val="24"/>
        </w:rPr>
        <w:t>in</w:t>
      </w:r>
      <w:r w:rsidRPr="00914BAB">
        <w:rPr>
          <w:sz w:val="24"/>
        </w:rPr>
        <w:t xml:space="preserve"> Erickson and Tempest (2014). Total </w:t>
      </w:r>
      <w:r w:rsidR="00FA68BB" w:rsidRPr="00914BAB">
        <w:rPr>
          <w:sz w:val="24"/>
        </w:rPr>
        <w:t>p</w:t>
      </w:r>
      <w:r w:rsidRPr="00914BAB">
        <w:rPr>
          <w:sz w:val="24"/>
        </w:rPr>
        <w:t xml:space="preserve">assenger-km for each transport mode are converted to vehicle-km using regional estimates of average vehicle occupancy. Vehicle-km by transport mode are converted to km of infrastructure using regional estimates of </w:t>
      </w:r>
      <w:r w:rsidR="00AA7FC0" w:rsidRPr="00914BAB">
        <w:rPr>
          <w:sz w:val="24"/>
        </w:rPr>
        <w:t xml:space="preserve">annual </w:t>
      </w:r>
      <w:r w:rsidRPr="00914BAB">
        <w:rPr>
          <w:sz w:val="24"/>
        </w:rPr>
        <w:t xml:space="preserve">vehicle-km per km of infrastructure and estimates of the cost per km of infrastructure are used to calculate investment costs. As listed below, these data are collected from </w:t>
      </w:r>
      <w:proofErr w:type="spellStart"/>
      <w:r w:rsidRPr="00914BAB">
        <w:rPr>
          <w:sz w:val="24"/>
        </w:rPr>
        <w:t>Dulac</w:t>
      </w:r>
      <w:proofErr w:type="spellEnd"/>
      <w:r w:rsidRPr="00914BAB">
        <w:rPr>
          <w:sz w:val="24"/>
        </w:rPr>
        <w:t xml:space="preserve"> (2014), </w:t>
      </w:r>
      <w:proofErr w:type="spellStart"/>
      <w:r w:rsidRPr="00914BAB">
        <w:rPr>
          <w:sz w:val="24"/>
        </w:rPr>
        <w:t>Replogle</w:t>
      </w:r>
      <w:proofErr w:type="spellEnd"/>
      <w:r w:rsidRPr="00914BAB">
        <w:rPr>
          <w:sz w:val="24"/>
        </w:rPr>
        <w:t xml:space="preserve"> and Fulton, (2014) and from consultation with experts. In most cases these data are only available at the OECD/non-OECD level.</w:t>
      </w:r>
    </w:p>
    <w:p w14:paraId="40761FD0" w14:textId="78926C96" w:rsidR="005648BC" w:rsidRPr="00914BAB" w:rsidRDefault="002370FC" w:rsidP="00D60D3B">
      <w:pPr>
        <w:rPr>
          <w:sz w:val="24"/>
        </w:rPr>
      </w:pPr>
      <w:r w:rsidRPr="00914BAB">
        <w:rPr>
          <w:sz w:val="24"/>
        </w:rPr>
        <w:t>To calculate the cost of</w:t>
      </w:r>
      <w:r w:rsidR="005648BC" w:rsidRPr="00914BAB">
        <w:rPr>
          <w:sz w:val="24"/>
        </w:rPr>
        <w:t xml:space="preserve"> energy efficiency improvements three additional data sources are used:</w:t>
      </w:r>
    </w:p>
    <w:p w14:paraId="74E3EFD0" w14:textId="77777777" w:rsidR="005648BC" w:rsidRPr="00914BAB" w:rsidRDefault="005648BC" w:rsidP="005648BC">
      <w:pPr>
        <w:pStyle w:val="ListParagraph"/>
        <w:numPr>
          <w:ilvl w:val="0"/>
          <w:numId w:val="22"/>
        </w:numPr>
        <w:rPr>
          <w:sz w:val="24"/>
        </w:rPr>
      </w:pPr>
      <w:r w:rsidRPr="00914BAB">
        <w:rPr>
          <w:sz w:val="24"/>
        </w:rPr>
        <w:t>Annual average travel distance by vehicle type (km)</w:t>
      </w:r>
    </w:p>
    <w:p w14:paraId="10938423" w14:textId="74DC019C" w:rsidR="005648BC" w:rsidRPr="00914BAB" w:rsidRDefault="005648BC" w:rsidP="005648BC">
      <w:pPr>
        <w:pStyle w:val="ListParagraph"/>
        <w:numPr>
          <w:ilvl w:val="0"/>
          <w:numId w:val="22"/>
        </w:numPr>
        <w:rPr>
          <w:sz w:val="24"/>
        </w:rPr>
      </w:pPr>
      <w:r w:rsidRPr="00914BAB">
        <w:rPr>
          <w:sz w:val="24"/>
        </w:rPr>
        <w:t>Energy expenditure per km by transport mode</w:t>
      </w:r>
      <w:r w:rsidR="00F73276" w:rsidRPr="00914BAB">
        <w:rPr>
          <w:sz w:val="24"/>
        </w:rPr>
        <w:t xml:space="preserve"> under the baseline and action scenarios</w:t>
      </w:r>
    </w:p>
    <w:p w14:paraId="3A5D127A" w14:textId="25EC3129" w:rsidR="005648BC" w:rsidRPr="00914BAB" w:rsidRDefault="005648BC" w:rsidP="005648BC">
      <w:pPr>
        <w:pStyle w:val="ListParagraph"/>
        <w:numPr>
          <w:ilvl w:val="0"/>
          <w:numId w:val="22"/>
        </w:numPr>
        <w:rPr>
          <w:sz w:val="24"/>
        </w:rPr>
      </w:pPr>
      <w:r w:rsidRPr="00914BAB">
        <w:rPr>
          <w:sz w:val="24"/>
        </w:rPr>
        <w:t>The cost per vehicle of energy efficiency improvements ($/%</w:t>
      </w:r>
      <w:r w:rsidR="00F73276" w:rsidRPr="00914BAB">
        <w:rPr>
          <w:sz w:val="24"/>
        </w:rPr>
        <w:t xml:space="preserve"> improvement in efficiency</w:t>
      </w:r>
      <w:r w:rsidRPr="00914BAB">
        <w:rPr>
          <w:sz w:val="24"/>
        </w:rPr>
        <w:t>)</w:t>
      </w:r>
    </w:p>
    <w:p w14:paraId="0543A754" w14:textId="2119EEF9" w:rsidR="00A2383D" w:rsidRPr="00914BAB" w:rsidRDefault="005648BC" w:rsidP="00D60D3B">
      <w:pPr>
        <w:rPr>
          <w:sz w:val="24"/>
        </w:rPr>
      </w:pPr>
      <w:r w:rsidRPr="00914BAB">
        <w:rPr>
          <w:sz w:val="24"/>
        </w:rPr>
        <w:t xml:space="preserve">Using the previously calculated total passenger-km by transport mode, the size of the transport fleet is estimated is calculated using regional estimates of annual average travel distance by vehicle type and vehicle occupancy estimates. </w:t>
      </w:r>
      <w:r w:rsidR="00A2383D" w:rsidRPr="00914BAB">
        <w:rPr>
          <w:sz w:val="24"/>
        </w:rPr>
        <w:t>The change in the efficiency of the fleet is then calculated by comparing the energy expenditure per km</w:t>
      </w:r>
      <w:r w:rsidRPr="00914BAB">
        <w:rPr>
          <w:sz w:val="24"/>
        </w:rPr>
        <w:t xml:space="preserve"> under the baseline and energy efficiency improvement scenarios</w:t>
      </w:r>
      <w:r w:rsidR="00A2383D" w:rsidRPr="00914BAB">
        <w:rPr>
          <w:sz w:val="24"/>
        </w:rPr>
        <w:t xml:space="preserve"> from </w:t>
      </w:r>
      <w:r w:rsidRPr="00914BAB">
        <w:rPr>
          <w:sz w:val="24"/>
        </w:rPr>
        <w:t xml:space="preserve">Erickson </w:t>
      </w:r>
      <w:r w:rsidR="00A2383D" w:rsidRPr="00914BAB">
        <w:rPr>
          <w:sz w:val="24"/>
        </w:rPr>
        <w:t xml:space="preserve">and Tempest (2014). </w:t>
      </w:r>
      <w:r w:rsidRPr="00914BAB">
        <w:rPr>
          <w:sz w:val="24"/>
        </w:rPr>
        <w:t xml:space="preserve">These data are available by region and transport mode. </w:t>
      </w:r>
      <w:r w:rsidR="00A2383D" w:rsidRPr="00914BAB">
        <w:rPr>
          <w:sz w:val="24"/>
        </w:rPr>
        <w:t xml:space="preserve">It is assumed that </w:t>
      </w:r>
      <w:r w:rsidR="0048459E" w:rsidRPr="00914BAB">
        <w:rPr>
          <w:sz w:val="24"/>
        </w:rPr>
        <w:t xml:space="preserve">the </w:t>
      </w:r>
      <w:r w:rsidR="00A2383D" w:rsidRPr="00914BAB">
        <w:rPr>
          <w:sz w:val="24"/>
        </w:rPr>
        <w:t>incr</w:t>
      </w:r>
      <w:r w:rsidR="0048459E" w:rsidRPr="00914BAB">
        <w:rPr>
          <w:sz w:val="24"/>
        </w:rPr>
        <w:t>ease in efficiency of the fleet</w:t>
      </w:r>
      <w:r w:rsidR="00A2383D" w:rsidRPr="00914BAB">
        <w:rPr>
          <w:sz w:val="24"/>
        </w:rPr>
        <w:t xml:space="preserve"> (over and above the baseline increase in efficiency), is the same as the increase in efficiency for each vehicle in the fleet. The cost of transit efficiency improvements is then drawn from the World Energy Investment Outlook </w:t>
      </w:r>
      <w:r w:rsidR="00D04147" w:rsidRPr="00914BAB">
        <w:rPr>
          <w:sz w:val="24"/>
        </w:rPr>
        <w:t>(</w:t>
      </w:r>
      <w:r w:rsidR="00A2383D" w:rsidRPr="00914BAB">
        <w:rPr>
          <w:sz w:val="24"/>
        </w:rPr>
        <w:t>IEA</w:t>
      </w:r>
      <w:r w:rsidR="00D04147" w:rsidRPr="00914BAB">
        <w:rPr>
          <w:sz w:val="24"/>
        </w:rPr>
        <w:t xml:space="preserve">, </w:t>
      </w:r>
      <w:r w:rsidR="00A2383D" w:rsidRPr="00914BAB">
        <w:rPr>
          <w:sz w:val="24"/>
        </w:rPr>
        <w:t>2014c) heavy-duty vehicle efficiency cost database and applied on a per vehicle basis. Only that portion of the fleet which is not part of the electrification scenario (below) is considered.</w:t>
      </w:r>
    </w:p>
    <w:p w14:paraId="0F76F4EB" w14:textId="2A62AF1C" w:rsidR="00A2383D" w:rsidRPr="00914BAB" w:rsidRDefault="00A2383D" w:rsidP="00A2383D">
      <w:pPr>
        <w:rPr>
          <w:sz w:val="24"/>
        </w:rPr>
      </w:pPr>
      <w:r w:rsidRPr="00914BAB">
        <w:rPr>
          <w:sz w:val="24"/>
        </w:rPr>
        <w:t>To calculate the cost of electrification, the size of the electrified fleet by region and transit mode type is calculated using the total size of the fleet (see above) and the IEA electrification scenario (IEA, 201</w:t>
      </w:r>
      <w:r w:rsidR="005648BC" w:rsidRPr="00914BAB">
        <w:rPr>
          <w:sz w:val="24"/>
        </w:rPr>
        <w:t>5</w:t>
      </w:r>
      <w:r w:rsidRPr="00914BAB">
        <w:rPr>
          <w:sz w:val="24"/>
        </w:rPr>
        <w:t xml:space="preserve">). The additional cost of these </w:t>
      </w:r>
      <w:r w:rsidR="00F62C45" w:rsidRPr="00914BAB">
        <w:rPr>
          <w:sz w:val="24"/>
        </w:rPr>
        <w:t>electrified vehicles is then applied to obtain total investment costs.</w:t>
      </w:r>
      <w:r w:rsidRPr="00914BAB">
        <w:rPr>
          <w:sz w:val="24"/>
        </w:rPr>
        <w:t xml:space="preserve"> </w:t>
      </w:r>
    </w:p>
    <w:p w14:paraId="1E56046A" w14:textId="0B873089" w:rsidR="00A2383D" w:rsidRPr="00914BAB" w:rsidRDefault="00A2383D" w:rsidP="00A2383D">
      <w:pPr>
        <w:rPr>
          <w:sz w:val="24"/>
        </w:rPr>
      </w:pPr>
      <w:r w:rsidRPr="00914BAB">
        <w:rPr>
          <w:sz w:val="24"/>
        </w:rPr>
        <w:lastRenderedPageBreak/>
        <w:t xml:space="preserve">Total energy savings are calculated using modal share data from Erickson and Tempest (2014) and regional energy intensity of transport data from the IEA 2DS and 4DS scenarios (IEA, 2012). These data are converted to fuel types using the regional specific data on energy use by fuel type from the IEA (2015) on the assumption that fuel use by energy type is not affected by our scenario. Cost savings are then estimated using regional fuel price forecasts (as specified above). </w:t>
      </w:r>
    </w:p>
    <w:p w14:paraId="0523ACB3" w14:textId="4679880A" w:rsidR="00A2383D" w:rsidRPr="00914BAB" w:rsidRDefault="00A2383D" w:rsidP="00FA68BB">
      <w:pPr>
        <w:spacing w:before="240"/>
        <w:rPr>
          <w:i/>
          <w:sz w:val="24"/>
        </w:rPr>
      </w:pPr>
      <w:r w:rsidRPr="00914BAB">
        <w:rPr>
          <w:i/>
          <w:sz w:val="24"/>
        </w:rPr>
        <w:t>Car efficiency and electrification</w:t>
      </w:r>
    </w:p>
    <w:p w14:paraId="44A5093F" w14:textId="77777777" w:rsidR="00A2383D" w:rsidRPr="00914BAB" w:rsidRDefault="00A2383D" w:rsidP="00A2383D">
      <w:pPr>
        <w:rPr>
          <w:sz w:val="24"/>
        </w:rPr>
      </w:pPr>
      <w:r w:rsidRPr="00914BAB">
        <w:rPr>
          <w:sz w:val="24"/>
        </w:rPr>
        <w:t>The calculation of investment requirements for this measure is comprised of two elements: The cost of vehicle efficiency improvements, and the cost of electrification of the transport fleet.</w:t>
      </w:r>
    </w:p>
    <w:p w14:paraId="3EA8AAC1" w14:textId="444BCE83" w:rsidR="00F62C45" w:rsidRPr="00914BAB" w:rsidRDefault="00A2383D" w:rsidP="006B5EC8">
      <w:pPr>
        <w:rPr>
          <w:sz w:val="24"/>
        </w:rPr>
      </w:pPr>
      <w:r w:rsidRPr="00914BAB">
        <w:rPr>
          <w:sz w:val="24"/>
        </w:rPr>
        <w:t>To calculate the cost of vehicle efficiency improvement</w:t>
      </w:r>
      <w:r w:rsidR="000C274B" w:rsidRPr="00914BAB">
        <w:rPr>
          <w:sz w:val="24"/>
        </w:rPr>
        <w:t>s</w:t>
      </w:r>
      <w:r w:rsidR="00F73276" w:rsidRPr="00914BAB">
        <w:rPr>
          <w:sz w:val="24"/>
        </w:rPr>
        <w:t xml:space="preserve"> the following data are drawn upon:</w:t>
      </w:r>
    </w:p>
    <w:p w14:paraId="4BE6F31B" w14:textId="1D4D94A2" w:rsidR="00F62C45" w:rsidRPr="00914BAB" w:rsidRDefault="00F62C45" w:rsidP="00F62C45">
      <w:pPr>
        <w:pStyle w:val="ListParagraph"/>
        <w:numPr>
          <w:ilvl w:val="0"/>
          <w:numId w:val="23"/>
        </w:numPr>
        <w:rPr>
          <w:sz w:val="24"/>
        </w:rPr>
      </w:pPr>
      <w:r w:rsidRPr="00914BAB">
        <w:rPr>
          <w:sz w:val="24"/>
        </w:rPr>
        <w:t>The urban population by region</w:t>
      </w:r>
    </w:p>
    <w:p w14:paraId="52A3BBF5" w14:textId="77777777" w:rsidR="00F73276" w:rsidRPr="00914BAB" w:rsidRDefault="00F73276" w:rsidP="00F73276">
      <w:pPr>
        <w:pStyle w:val="ListParagraph"/>
        <w:numPr>
          <w:ilvl w:val="0"/>
          <w:numId w:val="23"/>
        </w:numPr>
        <w:rPr>
          <w:sz w:val="24"/>
        </w:rPr>
      </w:pPr>
      <w:r w:rsidRPr="00914BAB">
        <w:rPr>
          <w:sz w:val="24"/>
        </w:rPr>
        <w:t>Annual regional per capita travel distance (km)</w:t>
      </w:r>
    </w:p>
    <w:p w14:paraId="6E6E78A6" w14:textId="77777777" w:rsidR="00F73276" w:rsidRPr="00914BAB" w:rsidRDefault="00F73276" w:rsidP="00F73276">
      <w:pPr>
        <w:pStyle w:val="ListParagraph"/>
        <w:numPr>
          <w:ilvl w:val="0"/>
          <w:numId w:val="23"/>
        </w:numPr>
        <w:rPr>
          <w:sz w:val="24"/>
        </w:rPr>
      </w:pPr>
      <w:r w:rsidRPr="00914BAB">
        <w:rPr>
          <w:sz w:val="24"/>
        </w:rPr>
        <w:t>Regional travel mode share (%)</w:t>
      </w:r>
    </w:p>
    <w:p w14:paraId="1F175F8F" w14:textId="77777777" w:rsidR="00F73276" w:rsidRPr="00914BAB" w:rsidRDefault="00F73276" w:rsidP="00F73276">
      <w:pPr>
        <w:pStyle w:val="ListParagraph"/>
        <w:numPr>
          <w:ilvl w:val="0"/>
          <w:numId w:val="23"/>
        </w:numPr>
        <w:rPr>
          <w:sz w:val="24"/>
        </w:rPr>
      </w:pPr>
      <w:r w:rsidRPr="00914BAB">
        <w:rPr>
          <w:sz w:val="24"/>
        </w:rPr>
        <w:t>Vehicle occupancy figures</w:t>
      </w:r>
    </w:p>
    <w:p w14:paraId="6029BFB4" w14:textId="3CAC42F8" w:rsidR="00F73276" w:rsidRPr="00914BAB" w:rsidRDefault="00F73276" w:rsidP="00F73276">
      <w:pPr>
        <w:pStyle w:val="ListParagraph"/>
        <w:numPr>
          <w:ilvl w:val="0"/>
          <w:numId w:val="23"/>
        </w:numPr>
        <w:rPr>
          <w:sz w:val="24"/>
        </w:rPr>
      </w:pPr>
      <w:r w:rsidRPr="00914BAB">
        <w:rPr>
          <w:sz w:val="24"/>
        </w:rPr>
        <w:t>Average vehicle travel distance</w:t>
      </w:r>
    </w:p>
    <w:p w14:paraId="4DAFB20C" w14:textId="615680B1" w:rsidR="00F73276" w:rsidRPr="00914BAB" w:rsidRDefault="00F73276" w:rsidP="00F73276">
      <w:pPr>
        <w:pStyle w:val="ListParagraph"/>
        <w:numPr>
          <w:ilvl w:val="0"/>
          <w:numId w:val="23"/>
        </w:numPr>
        <w:rPr>
          <w:sz w:val="24"/>
        </w:rPr>
      </w:pPr>
      <w:r w:rsidRPr="00914BAB">
        <w:rPr>
          <w:sz w:val="24"/>
        </w:rPr>
        <w:t>Energy expenditure per km under the baseline and action scenarios</w:t>
      </w:r>
    </w:p>
    <w:p w14:paraId="6BA5AB76" w14:textId="46397938" w:rsidR="00F73276" w:rsidRPr="00914BAB" w:rsidRDefault="00F73276" w:rsidP="00F73276">
      <w:pPr>
        <w:pStyle w:val="ListParagraph"/>
        <w:numPr>
          <w:ilvl w:val="0"/>
          <w:numId w:val="23"/>
        </w:numPr>
        <w:rPr>
          <w:sz w:val="24"/>
        </w:rPr>
      </w:pPr>
      <w:r w:rsidRPr="00914BAB">
        <w:rPr>
          <w:sz w:val="24"/>
        </w:rPr>
        <w:t>The cost per vehicle of energy efficiency improvements ($/% improvement in efficiency)</w:t>
      </w:r>
    </w:p>
    <w:p w14:paraId="0A6094E6" w14:textId="0E6B997D" w:rsidR="00A2383D" w:rsidRPr="00914BAB" w:rsidRDefault="00F73276" w:rsidP="00C32930">
      <w:pPr>
        <w:rPr>
          <w:sz w:val="24"/>
        </w:rPr>
      </w:pPr>
      <w:r w:rsidRPr="00914BAB">
        <w:rPr>
          <w:sz w:val="24"/>
        </w:rPr>
        <w:t>In order to calculate the size of the private vehicle fleet in each region, the change</w:t>
      </w:r>
      <w:r w:rsidR="00020D75" w:rsidRPr="00914BAB">
        <w:rPr>
          <w:sz w:val="24"/>
        </w:rPr>
        <w:t xml:space="preserve"> in person-km by</w:t>
      </w:r>
      <w:r w:rsidRPr="00914BAB">
        <w:rPr>
          <w:sz w:val="24"/>
        </w:rPr>
        <w:t xml:space="preserve"> region</w:t>
      </w:r>
      <w:r w:rsidR="00020D75" w:rsidRPr="00914BAB">
        <w:rPr>
          <w:sz w:val="24"/>
        </w:rPr>
        <w:t xml:space="preserve"> (between the baseline and </w:t>
      </w:r>
      <w:r w:rsidR="00E859FB" w:rsidRPr="00914BAB">
        <w:rPr>
          <w:sz w:val="24"/>
        </w:rPr>
        <w:t xml:space="preserve">mitigation </w:t>
      </w:r>
      <w:r w:rsidR="00020D75" w:rsidRPr="00914BAB">
        <w:rPr>
          <w:sz w:val="24"/>
        </w:rPr>
        <w:t>scenario</w:t>
      </w:r>
      <w:r w:rsidR="00E859FB" w:rsidRPr="00914BAB">
        <w:rPr>
          <w:sz w:val="24"/>
        </w:rPr>
        <w:t>s</w:t>
      </w:r>
      <w:r w:rsidR="00020D75" w:rsidRPr="00914BAB">
        <w:rPr>
          <w:sz w:val="24"/>
        </w:rPr>
        <w:t>)</w:t>
      </w:r>
      <w:r w:rsidR="00B26608" w:rsidRPr="00914BAB">
        <w:rPr>
          <w:sz w:val="24"/>
        </w:rPr>
        <w:t xml:space="preserve"> is</w:t>
      </w:r>
      <w:r w:rsidRPr="00914BAB">
        <w:rPr>
          <w:sz w:val="24"/>
        </w:rPr>
        <w:t xml:space="preserve"> calculated using data on the urban population by region, per capita annual transport demand, and regional travel mode share estimates outlined in Erickson and Tempest (2014).</w:t>
      </w:r>
      <w:r w:rsidR="00020D75" w:rsidRPr="00914BAB">
        <w:rPr>
          <w:sz w:val="24"/>
        </w:rPr>
        <w:t xml:space="preserve"> Using vehicle occupancy figures and average annual travel distance figures produce an estimates of the vehicle fleet under the mitigation scenario.</w:t>
      </w:r>
      <w:r w:rsidR="00F62C45" w:rsidRPr="00914BAB">
        <w:rPr>
          <w:sz w:val="24"/>
        </w:rPr>
        <w:t xml:space="preserve"> </w:t>
      </w:r>
      <w:r w:rsidR="00A2383D" w:rsidRPr="00914BAB">
        <w:rPr>
          <w:sz w:val="24"/>
        </w:rPr>
        <w:t>The increase in the efficiency of the fleet is then calculated by comparing the energy use per km, by region, with and without energy efficiency improvements from Erickson and Tempest (2014). In line with the transit scenario it is assumed the increase in fleet efficiency is the same as the per vehicle improvement in efficiency. The annual year-on-year improvement in efficiency (over-and-above the baseline increase) is then used to calculate investment costs using IEA (2014c) World Energy Investment Outlook light duty vehicle efficiency cost database.</w:t>
      </w:r>
      <w:r w:rsidR="00C32930" w:rsidRPr="00914BAB">
        <w:rPr>
          <w:sz w:val="24"/>
        </w:rPr>
        <w:t xml:space="preserve"> </w:t>
      </w:r>
      <w:r w:rsidR="00E859FB" w:rsidRPr="00914BAB">
        <w:rPr>
          <w:sz w:val="24"/>
        </w:rPr>
        <w:t>O</w:t>
      </w:r>
      <w:r w:rsidR="00C32930" w:rsidRPr="00914BAB">
        <w:rPr>
          <w:sz w:val="24"/>
        </w:rPr>
        <w:t>nly that portion of the fleet which is not part of the electrification scenario (below) is considered.</w:t>
      </w:r>
    </w:p>
    <w:p w14:paraId="5F03FCF1" w14:textId="77777777" w:rsidR="00020D75" w:rsidRPr="00914BAB" w:rsidRDefault="00A2383D" w:rsidP="00C32930">
      <w:pPr>
        <w:rPr>
          <w:sz w:val="24"/>
        </w:rPr>
      </w:pPr>
      <w:r w:rsidRPr="00914BAB">
        <w:rPr>
          <w:sz w:val="24"/>
        </w:rPr>
        <w:t>To calculate the cost of electrification</w:t>
      </w:r>
      <w:r w:rsidR="00020D75" w:rsidRPr="00914BAB">
        <w:rPr>
          <w:sz w:val="24"/>
        </w:rPr>
        <w:t xml:space="preserve"> one additional data set is required:</w:t>
      </w:r>
    </w:p>
    <w:p w14:paraId="41097CB6" w14:textId="513CB37C" w:rsidR="00020D75" w:rsidRPr="00914BAB" w:rsidRDefault="00020D75" w:rsidP="006B5EC8">
      <w:pPr>
        <w:pStyle w:val="ListParagraph"/>
        <w:numPr>
          <w:ilvl w:val="0"/>
          <w:numId w:val="24"/>
        </w:numPr>
        <w:rPr>
          <w:sz w:val="24"/>
        </w:rPr>
      </w:pPr>
      <w:r w:rsidRPr="00914BAB">
        <w:rPr>
          <w:sz w:val="24"/>
        </w:rPr>
        <w:t>The additional cost of electric vehicles</w:t>
      </w:r>
    </w:p>
    <w:p w14:paraId="363CFB52" w14:textId="160F353C" w:rsidR="00A2383D" w:rsidRPr="00914BAB" w:rsidRDefault="00020D75" w:rsidP="00C32930">
      <w:pPr>
        <w:rPr>
          <w:sz w:val="24"/>
        </w:rPr>
      </w:pPr>
      <w:r w:rsidRPr="00914BAB">
        <w:rPr>
          <w:sz w:val="24"/>
        </w:rPr>
        <w:t>T</w:t>
      </w:r>
      <w:r w:rsidR="00A2383D" w:rsidRPr="00914BAB">
        <w:rPr>
          <w:sz w:val="24"/>
        </w:rPr>
        <w:t>he size of the electrified fleet by is calculated using the total size of the fleet (see above) and the IEA electrification scenario (IEA, 201</w:t>
      </w:r>
      <w:r w:rsidR="00F62C45" w:rsidRPr="00914BAB">
        <w:rPr>
          <w:sz w:val="24"/>
        </w:rPr>
        <w:t>4a</w:t>
      </w:r>
      <w:r w:rsidR="004679F0">
        <w:rPr>
          <w:sz w:val="24"/>
        </w:rPr>
        <w:t xml:space="preserve">). </w:t>
      </w:r>
      <w:r w:rsidRPr="00914BAB">
        <w:rPr>
          <w:sz w:val="24"/>
        </w:rPr>
        <w:t xml:space="preserve">The total cost is then calculated using </w:t>
      </w:r>
      <w:r w:rsidR="00F62C45" w:rsidRPr="00914BAB">
        <w:rPr>
          <w:sz w:val="24"/>
        </w:rPr>
        <w:t>data on the additional</w:t>
      </w:r>
      <w:r w:rsidR="00A2383D" w:rsidRPr="00914BAB">
        <w:rPr>
          <w:sz w:val="24"/>
        </w:rPr>
        <w:t xml:space="preserve"> cost of electric vehicles</w:t>
      </w:r>
      <w:r w:rsidR="00F62C45" w:rsidRPr="00914BAB">
        <w:rPr>
          <w:sz w:val="24"/>
        </w:rPr>
        <w:t xml:space="preserve"> compared with conventional light-duty vehicles.</w:t>
      </w:r>
    </w:p>
    <w:p w14:paraId="0C38F83A" w14:textId="1B0475AE" w:rsidR="00A2383D" w:rsidRPr="00914BAB" w:rsidRDefault="00A2383D" w:rsidP="00FA68BB">
      <w:pPr>
        <w:rPr>
          <w:sz w:val="24"/>
        </w:rPr>
      </w:pPr>
      <w:r w:rsidRPr="00914BAB">
        <w:rPr>
          <w:sz w:val="24"/>
        </w:rPr>
        <w:lastRenderedPageBreak/>
        <w:t>Total energy savings are calculated using modal share data from Erickson and Tempest (2014) and regional energy intensity of transport data from the IEA 2DS and 4DS scenarios (IEA, 2012). These data are then converted to fuel types using the regional specific data on energy use by fuel type from the IEA (2015) on the assumption that fuel use by energy type is not affected by our scenario. Cost savings are then estimated using regional fuel price f</w:t>
      </w:r>
      <w:r w:rsidR="00FA68BB" w:rsidRPr="00914BAB">
        <w:rPr>
          <w:sz w:val="24"/>
        </w:rPr>
        <w:t xml:space="preserve">orecasts (as specified above). </w:t>
      </w:r>
    </w:p>
    <w:p w14:paraId="00978804" w14:textId="77777777" w:rsidR="00A2383D" w:rsidRPr="00914BAB" w:rsidRDefault="00A2383D" w:rsidP="00FA68BB">
      <w:pPr>
        <w:spacing w:before="240"/>
        <w:rPr>
          <w:i/>
          <w:sz w:val="24"/>
        </w:rPr>
      </w:pPr>
      <w:r w:rsidRPr="00914BAB">
        <w:rPr>
          <w:i/>
          <w:sz w:val="24"/>
        </w:rPr>
        <w:t>Logistics improvements</w:t>
      </w:r>
    </w:p>
    <w:p w14:paraId="3441FC12" w14:textId="47A549E7" w:rsidR="00A2383D" w:rsidRPr="00914BAB" w:rsidRDefault="00A2383D" w:rsidP="000D45ED">
      <w:pPr>
        <w:rPr>
          <w:sz w:val="24"/>
        </w:rPr>
      </w:pPr>
      <w:r w:rsidRPr="00914BAB">
        <w:rPr>
          <w:sz w:val="24"/>
        </w:rPr>
        <w:t>No costs are e</w:t>
      </w:r>
      <w:r w:rsidR="004679F0">
        <w:rPr>
          <w:sz w:val="24"/>
        </w:rPr>
        <w:t>stimated for this measure. H</w:t>
      </w:r>
      <w:r w:rsidRPr="00914BAB">
        <w:rPr>
          <w:sz w:val="24"/>
        </w:rPr>
        <w:t xml:space="preserve">owever, </w:t>
      </w:r>
      <w:r w:rsidR="00FB3482" w:rsidRPr="00914BAB">
        <w:rPr>
          <w:sz w:val="24"/>
        </w:rPr>
        <w:t xml:space="preserve">the conclusions of </w:t>
      </w:r>
      <w:r w:rsidRPr="00914BAB">
        <w:rPr>
          <w:sz w:val="24"/>
        </w:rPr>
        <w:t>previous</w:t>
      </w:r>
      <w:r w:rsidR="00FB3482" w:rsidRPr="00914BAB">
        <w:rPr>
          <w:sz w:val="24"/>
        </w:rPr>
        <w:t xml:space="preserve"> </w:t>
      </w:r>
      <w:r w:rsidRPr="00914BAB">
        <w:rPr>
          <w:sz w:val="24"/>
        </w:rPr>
        <w:t>work</w:t>
      </w:r>
      <w:r w:rsidR="004679F0">
        <w:rPr>
          <w:sz w:val="24"/>
        </w:rPr>
        <w:t xml:space="preserve"> that was</w:t>
      </w:r>
      <w:r w:rsidR="00FB3482" w:rsidRPr="00914BAB">
        <w:rPr>
          <w:sz w:val="24"/>
        </w:rPr>
        <w:t xml:space="preserve"> described above </w:t>
      </w:r>
      <w:r w:rsidR="004679F0">
        <w:rPr>
          <w:sz w:val="24"/>
        </w:rPr>
        <w:t xml:space="preserve">(see sub-section on </w:t>
      </w:r>
      <w:r w:rsidR="004679F0">
        <w:rPr>
          <w:iCs/>
          <w:sz w:val="24"/>
        </w:rPr>
        <w:t>u</w:t>
      </w:r>
      <w:r w:rsidR="00FB3482" w:rsidRPr="004679F0">
        <w:rPr>
          <w:iCs/>
          <w:sz w:val="24"/>
        </w:rPr>
        <w:t>rban planning and reduced travel demand</w:t>
      </w:r>
      <w:r w:rsidR="00FB3482" w:rsidRPr="00914BAB">
        <w:rPr>
          <w:sz w:val="24"/>
        </w:rPr>
        <w:t xml:space="preserve"> measure</w:t>
      </w:r>
      <w:r w:rsidR="004679F0">
        <w:rPr>
          <w:sz w:val="24"/>
        </w:rPr>
        <w:t>s)</w:t>
      </w:r>
      <w:r w:rsidR="00FB3482" w:rsidRPr="00914BAB">
        <w:rPr>
          <w:sz w:val="24"/>
        </w:rPr>
        <w:t xml:space="preserve"> are also relevant here. </w:t>
      </w:r>
      <w:r w:rsidRPr="00914BAB">
        <w:rPr>
          <w:sz w:val="24"/>
        </w:rPr>
        <w:t xml:space="preserve"> </w:t>
      </w:r>
    </w:p>
    <w:p w14:paraId="7E75D4A9" w14:textId="1A1867CF" w:rsidR="00A2383D" w:rsidRPr="00914BAB" w:rsidRDefault="00A2383D" w:rsidP="00FA68BB">
      <w:pPr>
        <w:rPr>
          <w:sz w:val="24"/>
        </w:rPr>
      </w:pPr>
      <w:r w:rsidRPr="00914BAB">
        <w:rPr>
          <w:sz w:val="24"/>
        </w:rPr>
        <w:t>Total energy savings are calculated using modal share data from Erickson and Tempest (2014) and regional energy intensity of transport data from the IEA 2DS and 4DS scenarios (IEA, 2012). These data are then converted to fuel types using the regional specific data on energy use by fuel type from the IEA (2015) on the assumption that fuel use by energy type is not affected by our scenario. Cost savings are then estimated using regional fuel price f</w:t>
      </w:r>
      <w:r w:rsidR="00FA68BB" w:rsidRPr="00914BAB">
        <w:rPr>
          <w:sz w:val="24"/>
        </w:rPr>
        <w:t xml:space="preserve">orecasts (as specified above). </w:t>
      </w:r>
    </w:p>
    <w:p w14:paraId="096C5893" w14:textId="77777777" w:rsidR="00A2383D" w:rsidRPr="00914BAB" w:rsidRDefault="00A2383D" w:rsidP="00FA68BB">
      <w:pPr>
        <w:spacing w:before="240"/>
        <w:rPr>
          <w:i/>
          <w:sz w:val="24"/>
        </w:rPr>
      </w:pPr>
      <w:r w:rsidRPr="00914BAB">
        <w:rPr>
          <w:i/>
          <w:sz w:val="24"/>
        </w:rPr>
        <w:t>Vehicle efficiency and electrification (transport freight)</w:t>
      </w:r>
    </w:p>
    <w:p w14:paraId="2A4BA995" w14:textId="77777777" w:rsidR="00A2383D" w:rsidRPr="00914BAB" w:rsidRDefault="00A2383D" w:rsidP="00A2383D">
      <w:pPr>
        <w:rPr>
          <w:sz w:val="24"/>
        </w:rPr>
      </w:pPr>
      <w:r w:rsidRPr="00914BAB">
        <w:rPr>
          <w:sz w:val="24"/>
        </w:rPr>
        <w:t>The calculation of investment requirements for this measure is comprised of two elements: The cost of vehicle efficiency improvements, and the cost of electrification of the transport fleet.</w:t>
      </w:r>
    </w:p>
    <w:p w14:paraId="01BDC14D" w14:textId="77777777" w:rsidR="00020D75" w:rsidRPr="00914BAB" w:rsidRDefault="00A2383D" w:rsidP="000D45ED">
      <w:pPr>
        <w:rPr>
          <w:sz w:val="24"/>
        </w:rPr>
      </w:pPr>
      <w:r w:rsidRPr="00914BAB">
        <w:rPr>
          <w:sz w:val="24"/>
        </w:rPr>
        <w:t>To calculate the cost of vehicle efficiency improvement</w:t>
      </w:r>
      <w:r w:rsidR="000D45ED" w:rsidRPr="00914BAB">
        <w:rPr>
          <w:sz w:val="24"/>
        </w:rPr>
        <w:t>s</w:t>
      </w:r>
      <w:r w:rsidR="00020D75" w:rsidRPr="00914BAB">
        <w:rPr>
          <w:sz w:val="24"/>
        </w:rPr>
        <w:t xml:space="preserve"> the following data sets are required:</w:t>
      </w:r>
    </w:p>
    <w:p w14:paraId="00F7F982" w14:textId="572BB978" w:rsidR="00020D75" w:rsidRPr="00914BAB" w:rsidRDefault="00020D75" w:rsidP="006B5EC8">
      <w:pPr>
        <w:pStyle w:val="ListParagraph"/>
        <w:numPr>
          <w:ilvl w:val="0"/>
          <w:numId w:val="25"/>
        </w:numPr>
        <w:rPr>
          <w:sz w:val="24"/>
        </w:rPr>
      </w:pPr>
      <w:r w:rsidRPr="00914BAB">
        <w:rPr>
          <w:sz w:val="24"/>
        </w:rPr>
        <w:t>The regional urban population</w:t>
      </w:r>
    </w:p>
    <w:p w14:paraId="11A9CDE1" w14:textId="777D976C" w:rsidR="00020D75" w:rsidRPr="00914BAB" w:rsidRDefault="00020D75" w:rsidP="006B5EC8">
      <w:pPr>
        <w:pStyle w:val="ListParagraph"/>
        <w:numPr>
          <w:ilvl w:val="0"/>
          <w:numId w:val="25"/>
        </w:numPr>
        <w:rPr>
          <w:sz w:val="24"/>
        </w:rPr>
      </w:pPr>
      <w:r w:rsidRPr="00914BAB">
        <w:rPr>
          <w:sz w:val="24"/>
        </w:rPr>
        <w:t>Tonne-km per capita by region</w:t>
      </w:r>
    </w:p>
    <w:p w14:paraId="7F33B7A7" w14:textId="77777777" w:rsidR="00E859FB" w:rsidRPr="00914BAB" w:rsidRDefault="00E859FB" w:rsidP="006B5EC8">
      <w:pPr>
        <w:pStyle w:val="ListParagraph"/>
        <w:numPr>
          <w:ilvl w:val="0"/>
          <w:numId w:val="25"/>
        </w:numPr>
        <w:rPr>
          <w:sz w:val="24"/>
        </w:rPr>
      </w:pPr>
      <w:r w:rsidRPr="00914BAB">
        <w:rPr>
          <w:sz w:val="24"/>
        </w:rPr>
        <w:t>T</w:t>
      </w:r>
      <w:r w:rsidR="00020D75" w:rsidRPr="00914BAB">
        <w:rPr>
          <w:sz w:val="24"/>
        </w:rPr>
        <w:t>onne per vehicle estimates</w:t>
      </w:r>
    </w:p>
    <w:p w14:paraId="64E39DCA" w14:textId="77777777" w:rsidR="00BD2B5F" w:rsidRPr="00914BAB" w:rsidRDefault="00E859FB" w:rsidP="006B5EC8">
      <w:pPr>
        <w:pStyle w:val="ListParagraph"/>
        <w:numPr>
          <w:ilvl w:val="0"/>
          <w:numId w:val="25"/>
        </w:numPr>
        <w:rPr>
          <w:sz w:val="24"/>
        </w:rPr>
      </w:pPr>
      <w:r w:rsidRPr="00914BAB">
        <w:rPr>
          <w:sz w:val="24"/>
        </w:rPr>
        <w:t>Average annual freight travel distance by region</w:t>
      </w:r>
    </w:p>
    <w:p w14:paraId="481AE04C" w14:textId="77777777" w:rsidR="00BD2B5F" w:rsidRPr="00914BAB" w:rsidRDefault="00BD2B5F" w:rsidP="00BD2B5F">
      <w:pPr>
        <w:pStyle w:val="ListParagraph"/>
        <w:numPr>
          <w:ilvl w:val="0"/>
          <w:numId w:val="25"/>
        </w:numPr>
        <w:rPr>
          <w:sz w:val="24"/>
        </w:rPr>
      </w:pPr>
      <w:r w:rsidRPr="00914BAB">
        <w:rPr>
          <w:sz w:val="24"/>
        </w:rPr>
        <w:t>Energy use per tonne-km under the baseline and mitigation scenarios</w:t>
      </w:r>
    </w:p>
    <w:p w14:paraId="265764AB" w14:textId="5307E473" w:rsidR="00020D75" w:rsidRPr="00914BAB" w:rsidRDefault="00BD2B5F" w:rsidP="006B5EC8">
      <w:pPr>
        <w:pStyle w:val="ListParagraph"/>
        <w:numPr>
          <w:ilvl w:val="0"/>
          <w:numId w:val="25"/>
        </w:numPr>
        <w:rPr>
          <w:sz w:val="24"/>
        </w:rPr>
      </w:pPr>
      <w:r w:rsidRPr="00914BAB">
        <w:rPr>
          <w:sz w:val="24"/>
        </w:rPr>
        <w:t>The cost per vehicle of energy efficiency improvements ($/% improvement in efficiency)</w:t>
      </w:r>
    </w:p>
    <w:p w14:paraId="19EB3CC6" w14:textId="214D2289" w:rsidR="00BD2B5F" w:rsidRPr="00914BAB" w:rsidRDefault="00BD2B5F" w:rsidP="00A2383D">
      <w:pPr>
        <w:rPr>
          <w:sz w:val="24"/>
        </w:rPr>
      </w:pPr>
      <w:r w:rsidRPr="00914BAB">
        <w:rPr>
          <w:sz w:val="24"/>
        </w:rPr>
        <w:t>T</w:t>
      </w:r>
      <w:r w:rsidR="00E859FB" w:rsidRPr="00914BAB">
        <w:rPr>
          <w:sz w:val="24"/>
        </w:rPr>
        <w:t>o calculate the size of the freight fleet in each region, the change in tonne-km by region (between the baseline and mitigation scenarios)</w:t>
      </w:r>
      <w:r w:rsidRPr="00914BAB">
        <w:rPr>
          <w:sz w:val="24"/>
        </w:rPr>
        <w:t xml:space="preserve"> is</w:t>
      </w:r>
      <w:r w:rsidR="00E859FB" w:rsidRPr="00914BAB">
        <w:rPr>
          <w:sz w:val="24"/>
        </w:rPr>
        <w:t xml:space="preserve"> calculated using data on</w:t>
      </w:r>
      <w:r w:rsidRPr="00914BAB">
        <w:rPr>
          <w:sz w:val="24"/>
        </w:rPr>
        <w:t xml:space="preserve"> the urban population by region and</w:t>
      </w:r>
      <w:r w:rsidR="00E859FB" w:rsidRPr="00914BAB">
        <w:rPr>
          <w:sz w:val="24"/>
        </w:rPr>
        <w:t xml:space="preserve"> per capita </w:t>
      </w:r>
      <w:r w:rsidRPr="00914BAB">
        <w:rPr>
          <w:sz w:val="24"/>
        </w:rPr>
        <w:t xml:space="preserve">tonne-km by region, </w:t>
      </w:r>
      <w:r w:rsidR="00E859FB" w:rsidRPr="00914BAB">
        <w:rPr>
          <w:sz w:val="24"/>
        </w:rPr>
        <w:t>outlined in Erickson and Tempest (2014).</w:t>
      </w:r>
      <w:r w:rsidRPr="00914BAB">
        <w:rPr>
          <w:sz w:val="24"/>
        </w:rPr>
        <w:t xml:space="preserve"> V</w:t>
      </w:r>
      <w:r w:rsidR="00E859FB" w:rsidRPr="00914BAB">
        <w:rPr>
          <w:sz w:val="24"/>
        </w:rPr>
        <w:t xml:space="preserve">ehicle </w:t>
      </w:r>
      <w:r w:rsidRPr="00914BAB">
        <w:rPr>
          <w:sz w:val="24"/>
        </w:rPr>
        <w:t xml:space="preserve">tonnage estimates </w:t>
      </w:r>
      <w:r w:rsidR="00E859FB" w:rsidRPr="00914BAB">
        <w:rPr>
          <w:sz w:val="24"/>
        </w:rPr>
        <w:t xml:space="preserve">and average annual travel distance figures </w:t>
      </w:r>
      <w:r w:rsidRPr="00914BAB">
        <w:rPr>
          <w:sz w:val="24"/>
        </w:rPr>
        <w:t>are then applied to produce an estimate of the freight</w:t>
      </w:r>
      <w:r w:rsidR="00E859FB" w:rsidRPr="00914BAB">
        <w:rPr>
          <w:sz w:val="24"/>
        </w:rPr>
        <w:t xml:space="preserve"> fleet under the mitigation scenario.</w:t>
      </w:r>
      <w:r w:rsidRPr="00914BAB">
        <w:rPr>
          <w:sz w:val="24"/>
        </w:rPr>
        <w:t xml:space="preserve"> </w:t>
      </w:r>
      <w:r w:rsidR="00E859FB" w:rsidRPr="00914BAB">
        <w:rPr>
          <w:sz w:val="24"/>
        </w:rPr>
        <w:t xml:space="preserve">The increase in the efficiency of the fleet is then calculated by </w:t>
      </w:r>
      <w:r w:rsidR="006636EE" w:rsidRPr="00914BAB">
        <w:rPr>
          <w:sz w:val="24"/>
        </w:rPr>
        <w:t>comparing the energy use per km</w:t>
      </w:r>
      <w:r w:rsidR="00E859FB" w:rsidRPr="00914BAB">
        <w:rPr>
          <w:sz w:val="24"/>
        </w:rPr>
        <w:t xml:space="preserve"> by region, </w:t>
      </w:r>
      <w:r w:rsidR="006636EE" w:rsidRPr="00914BAB">
        <w:rPr>
          <w:sz w:val="24"/>
        </w:rPr>
        <w:t>under the baseline and mitigation scenarios for energy efficiency improvements in freight</w:t>
      </w:r>
      <w:r w:rsidR="00E859FB" w:rsidRPr="00914BAB">
        <w:rPr>
          <w:sz w:val="24"/>
        </w:rPr>
        <w:t xml:space="preserve"> from Erickson and Tempest (2014). In line with the transit scenario it is assumed the increase in fleet efficiency is the same as the per vehicle improvement in efficiency. The </w:t>
      </w:r>
      <w:r w:rsidR="00E859FB" w:rsidRPr="00914BAB">
        <w:rPr>
          <w:sz w:val="24"/>
        </w:rPr>
        <w:lastRenderedPageBreak/>
        <w:t>annual year-on-year improvement in efficiency (over-and-above the baseline increase) is then used to calculate investment costs using IEA (2014c) World</w:t>
      </w:r>
      <w:r w:rsidRPr="00914BAB">
        <w:rPr>
          <w:sz w:val="24"/>
        </w:rPr>
        <w:t xml:space="preserve"> Energy Investment Outlook heavy</w:t>
      </w:r>
      <w:r w:rsidR="006636EE" w:rsidRPr="00914BAB">
        <w:rPr>
          <w:sz w:val="24"/>
        </w:rPr>
        <w:t>-</w:t>
      </w:r>
      <w:r w:rsidR="00E859FB" w:rsidRPr="00914BAB">
        <w:rPr>
          <w:sz w:val="24"/>
        </w:rPr>
        <w:t>duty vehicle efficiency cost database.</w:t>
      </w:r>
      <w:r w:rsidRPr="00914BAB">
        <w:rPr>
          <w:sz w:val="24"/>
        </w:rPr>
        <w:t xml:space="preserve"> O</w:t>
      </w:r>
      <w:r w:rsidR="00E859FB" w:rsidRPr="00914BAB">
        <w:rPr>
          <w:sz w:val="24"/>
        </w:rPr>
        <w:t>nly that portion of the fleet which is not part of the electrification scenario (below) is considered.</w:t>
      </w:r>
    </w:p>
    <w:p w14:paraId="56D15167" w14:textId="382A76EA" w:rsidR="00A2383D" w:rsidRPr="00914BAB" w:rsidRDefault="00A2383D" w:rsidP="00A2383D">
      <w:pPr>
        <w:rPr>
          <w:sz w:val="24"/>
        </w:rPr>
      </w:pPr>
      <w:r w:rsidRPr="00914BAB">
        <w:rPr>
          <w:sz w:val="24"/>
        </w:rPr>
        <w:t xml:space="preserve">To calculate the cost of electrification, the size of the electrified fleet by is calculated using the total size of the fleet (see above) and the IEA electrification scenario (IEA, 2014a).  The incremental cost of electrified freight is </w:t>
      </w:r>
      <w:r w:rsidR="00F62C45" w:rsidRPr="00914BAB">
        <w:rPr>
          <w:sz w:val="24"/>
        </w:rPr>
        <w:t>the applied to these figures to provide an estimate of investment costs.</w:t>
      </w:r>
    </w:p>
    <w:p w14:paraId="372CCF6F" w14:textId="5020BD3B" w:rsidR="00A2383D" w:rsidRPr="00914BAB" w:rsidRDefault="00A2383D" w:rsidP="00A2383D">
      <w:pPr>
        <w:rPr>
          <w:sz w:val="24"/>
        </w:rPr>
      </w:pPr>
      <w:r w:rsidRPr="00914BAB">
        <w:rPr>
          <w:sz w:val="24"/>
        </w:rPr>
        <w:t xml:space="preserve">Total energy savings are calculated using modal share data from Erickson and Tempest (2014) and regional energy intensity of transport data from the IEA 2DS and 4DS scenarios (IEA, 2012). These data are then converted to fuel types using the regional specific data on energy use by fuel type from the IEA (2015) on the assumption that fuel use by energy type is not affected by our scenario. Cost savings are then estimated using regional fuel price forecasts (as specified above). </w:t>
      </w:r>
    </w:p>
    <w:p w14:paraId="2C275BF5" w14:textId="77777777" w:rsidR="00A2383D" w:rsidRPr="00914BAB" w:rsidRDefault="00A2383D" w:rsidP="00A2383D">
      <w:pPr>
        <w:rPr>
          <w:sz w:val="24"/>
        </w:rPr>
      </w:pPr>
    </w:p>
    <w:p w14:paraId="7CFF9F04" w14:textId="77777777" w:rsidR="00A2383D" w:rsidRPr="00914BAB" w:rsidRDefault="00A2383D" w:rsidP="00A2383D">
      <w:pPr>
        <w:pStyle w:val="Heading3"/>
        <w:rPr>
          <w:sz w:val="24"/>
        </w:rPr>
      </w:pPr>
      <w:bookmarkStart w:id="6" w:name="_Toc292953273"/>
      <w:r w:rsidRPr="00914BAB">
        <w:rPr>
          <w:sz w:val="24"/>
        </w:rPr>
        <w:t>Waste</w:t>
      </w:r>
      <w:bookmarkEnd w:id="6"/>
    </w:p>
    <w:p w14:paraId="7584548F" w14:textId="77777777" w:rsidR="00A2383D" w:rsidRPr="00914BAB" w:rsidRDefault="00A2383D" w:rsidP="00A2383D">
      <w:pPr>
        <w:rPr>
          <w:i/>
          <w:sz w:val="24"/>
        </w:rPr>
      </w:pPr>
      <w:r w:rsidRPr="00914BAB">
        <w:rPr>
          <w:i/>
          <w:sz w:val="24"/>
        </w:rPr>
        <w:t>Recycling</w:t>
      </w:r>
    </w:p>
    <w:p w14:paraId="52B5BED1" w14:textId="6CAB521E" w:rsidR="00A2383D" w:rsidRPr="00914BAB" w:rsidRDefault="00A2383D" w:rsidP="008B07CF">
      <w:pPr>
        <w:rPr>
          <w:sz w:val="24"/>
        </w:rPr>
      </w:pPr>
      <w:r w:rsidRPr="00914BAB">
        <w:rPr>
          <w:sz w:val="24"/>
        </w:rPr>
        <w:t xml:space="preserve">No investment costs or energy savings </w:t>
      </w:r>
      <w:r w:rsidR="004679F0">
        <w:rPr>
          <w:sz w:val="24"/>
        </w:rPr>
        <w:t>were developed for this measure. H</w:t>
      </w:r>
      <w:r w:rsidRPr="00914BAB">
        <w:rPr>
          <w:sz w:val="24"/>
        </w:rPr>
        <w:t>owever, research suggests that recycling in certain circumstances can generate net economic returns (</w:t>
      </w:r>
      <w:proofErr w:type="spellStart"/>
      <w:r w:rsidRPr="00914BAB">
        <w:rPr>
          <w:sz w:val="24"/>
        </w:rPr>
        <w:t>Graedel</w:t>
      </w:r>
      <w:proofErr w:type="spellEnd"/>
      <w:r w:rsidRPr="00914BAB">
        <w:rPr>
          <w:sz w:val="24"/>
        </w:rPr>
        <w:t xml:space="preserve"> 2011; </w:t>
      </w:r>
      <w:proofErr w:type="spellStart"/>
      <w:r w:rsidRPr="00914BAB">
        <w:rPr>
          <w:sz w:val="24"/>
        </w:rPr>
        <w:t>Goe</w:t>
      </w:r>
      <w:proofErr w:type="spellEnd"/>
      <w:r w:rsidRPr="00914BAB">
        <w:rPr>
          <w:sz w:val="24"/>
        </w:rPr>
        <w:t>, and Gab</w:t>
      </w:r>
      <w:r w:rsidR="00FA68BB" w:rsidRPr="00914BAB">
        <w:rPr>
          <w:sz w:val="24"/>
        </w:rPr>
        <w:t xml:space="preserve">rielle 2014; </w:t>
      </w:r>
      <w:proofErr w:type="spellStart"/>
      <w:r w:rsidR="00FA68BB" w:rsidRPr="00914BAB">
        <w:rPr>
          <w:sz w:val="24"/>
        </w:rPr>
        <w:t>Colenbrander</w:t>
      </w:r>
      <w:proofErr w:type="spellEnd"/>
      <w:r w:rsidR="004679F0">
        <w:rPr>
          <w:sz w:val="24"/>
        </w:rPr>
        <w:t xml:space="preserve"> et al.,</w:t>
      </w:r>
      <w:r w:rsidR="00FA68BB" w:rsidRPr="00914BAB">
        <w:rPr>
          <w:sz w:val="24"/>
        </w:rPr>
        <w:t xml:space="preserve"> 2015)</w:t>
      </w:r>
      <w:r w:rsidR="004679F0">
        <w:rPr>
          <w:sz w:val="24"/>
        </w:rPr>
        <w:t>.</w:t>
      </w:r>
    </w:p>
    <w:p w14:paraId="216649F8" w14:textId="77777777" w:rsidR="00A2383D" w:rsidRPr="00914BAB" w:rsidRDefault="00A2383D" w:rsidP="00FA68BB">
      <w:pPr>
        <w:spacing w:before="240"/>
        <w:rPr>
          <w:i/>
          <w:sz w:val="24"/>
        </w:rPr>
      </w:pPr>
      <w:r w:rsidRPr="00914BAB">
        <w:rPr>
          <w:i/>
          <w:sz w:val="24"/>
        </w:rPr>
        <w:t xml:space="preserve">Landfill gas </w:t>
      </w:r>
    </w:p>
    <w:p w14:paraId="637F0A40" w14:textId="461F5733" w:rsidR="006636EE" w:rsidRPr="00914BAB" w:rsidRDefault="00A2383D" w:rsidP="000D45ED">
      <w:pPr>
        <w:rPr>
          <w:sz w:val="24"/>
        </w:rPr>
      </w:pPr>
      <w:r w:rsidRPr="00914BAB">
        <w:rPr>
          <w:sz w:val="24"/>
        </w:rPr>
        <w:t xml:space="preserve">To calculate </w:t>
      </w:r>
      <w:r w:rsidR="006636EE" w:rsidRPr="00914BAB">
        <w:rPr>
          <w:sz w:val="24"/>
        </w:rPr>
        <w:t>investment requirement in the waste sector the following data sets are drawn upon:</w:t>
      </w:r>
      <w:r w:rsidRPr="00914BAB">
        <w:rPr>
          <w:sz w:val="24"/>
        </w:rPr>
        <w:t xml:space="preserve"> </w:t>
      </w:r>
    </w:p>
    <w:p w14:paraId="284BD1F1" w14:textId="21A2073D" w:rsidR="006636EE" w:rsidRPr="00914BAB" w:rsidRDefault="006636EE" w:rsidP="006B5EC8">
      <w:pPr>
        <w:pStyle w:val="ListParagraph"/>
        <w:numPr>
          <w:ilvl w:val="0"/>
          <w:numId w:val="26"/>
        </w:numPr>
        <w:rPr>
          <w:sz w:val="24"/>
        </w:rPr>
      </w:pPr>
      <w:r w:rsidRPr="00914BAB">
        <w:rPr>
          <w:sz w:val="24"/>
        </w:rPr>
        <w:t>Energy generation from landfill gas by region under the mitigation scenario</w:t>
      </w:r>
    </w:p>
    <w:p w14:paraId="555E5B36" w14:textId="2B2A9747" w:rsidR="006636EE" w:rsidRPr="00914BAB" w:rsidRDefault="006636EE" w:rsidP="006B5EC8">
      <w:pPr>
        <w:pStyle w:val="ListParagraph"/>
        <w:numPr>
          <w:ilvl w:val="0"/>
          <w:numId w:val="26"/>
        </w:numPr>
        <w:rPr>
          <w:sz w:val="24"/>
        </w:rPr>
      </w:pPr>
      <w:r w:rsidRPr="00914BAB">
        <w:rPr>
          <w:sz w:val="24"/>
        </w:rPr>
        <w:t>Regional landfill gas capacity factors</w:t>
      </w:r>
    </w:p>
    <w:p w14:paraId="73EB7669" w14:textId="1BFA3F75" w:rsidR="006636EE" w:rsidRPr="00914BAB" w:rsidRDefault="006636EE" w:rsidP="006B5EC8">
      <w:pPr>
        <w:pStyle w:val="ListParagraph"/>
        <w:numPr>
          <w:ilvl w:val="0"/>
          <w:numId w:val="26"/>
        </w:numPr>
        <w:rPr>
          <w:sz w:val="24"/>
        </w:rPr>
      </w:pPr>
      <w:r w:rsidRPr="00914BAB">
        <w:rPr>
          <w:sz w:val="24"/>
        </w:rPr>
        <w:t>Capital costs per MW of capacity and operating and maintenance costs per MW of capacity</w:t>
      </w:r>
    </w:p>
    <w:p w14:paraId="6C30741A" w14:textId="56CD5DA6" w:rsidR="00A2383D" w:rsidRPr="00914BAB" w:rsidRDefault="006636EE" w:rsidP="000D45ED">
      <w:pPr>
        <w:rPr>
          <w:sz w:val="24"/>
        </w:rPr>
      </w:pPr>
      <w:r w:rsidRPr="00914BAB">
        <w:rPr>
          <w:sz w:val="24"/>
        </w:rPr>
        <w:t>E</w:t>
      </w:r>
      <w:r w:rsidR="00A2383D" w:rsidRPr="00914BAB">
        <w:rPr>
          <w:sz w:val="24"/>
        </w:rPr>
        <w:t>nergy generation from landfill gas data is provided by Erickson and Tempest (2014). To convert this into facilities, electricity output is converted to generating capacity using regional data</w:t>
      </w:r>
      <w:r w:rsidRPr="00914BAB">
        <w:rPr>
          <w:sz w:val="24"/>
        </w:rPr>
        <w:t xml:space="preserve"> on capacity factors</w:t>
      </w:r>
      <w:r w:rsidR="00A2383D" w:rsidRPr="00914BAB">
        <w:rPr>
          <w:sz w:val="24"/>
        </w:rPr>
        <w:t xml:space="preserve"> from WEC/BNEF (2013). </w:t>
      </w:r>
      <w:r w:rsidR="000D45ED" w:rsidRPr="00914BAB">
        <w:rPr>
          <w:sz w:val="24"/>
        </w:rPr>
        <w:t>Regional o</w:t>
      </w:r>
      <w:r w:rsidR="00A2383D" w:rsidRPr="00914BAB">
        <w:rPr>
          <w:sz w:val="24"/>
        </w:rPr>
        <w:t xml:space="preserve">perating costs and capital costs from WEC/BNEF (2013) are then used to calculate total investment costs. </w:t>
      </w:r>
    </w:p>
    <w:p w14:paraId="31E285EC" w14:textId="1F8E9774" w:rsidR="00A2383D" w:rsidRPr="00914BAB" w:rsidRDefault="00A2383D" w:rsidP="00D04147">
      <w:pPr>
        <w:rPr>
          <w:sz w:val="24"/>
        </w:rPr>
      </w:pPr>
      <w:r w:rsidRPr="00914BAB">
        <w:rPr>
          <w:sz w:val="24"/>
        </w:rPr>
        <w:t xml:space="preserve">Energy savings, </w:t>
      </w:r>
      <w:r w:rsidR="000D45ED" w:rsidRPr="00914BAB">
        <w:rPr>
          <w:sz w:val="24"/>
        </w:rPr>
        <w:t>due to</w:t>
      </w:r>
      <w:r w:rsidRPr="00914BAB">
        <w:rPr>
          <w:sz w:val="24"/>
        </w:rPr>
        <w:t xml:space="preserve"> electricity produced, are provided by Erickson and Tempest (2014). These figures are converted into economic savings using regional electricity price forecasts.</w:t>
      </w:r>
    </w:p>
    <w:p w14:paraId="7AE34938" w14:textId="77777777" w:rsidR="004A7F5B" w:rsidRPr="00914BAB" w:rsidRDefault="004A7F5B" w:rsidP="00CC50B1">
      <w:pPr>
        <w:rPr>
          <w:sz w:val="24"/>
        </w:rPr>
      </w:pPr>
    </w:p>
    <w:p w14:paraId="63FA410C" w14:textId="1E88149C" w:rsidR="000616F0" w:rsidRPr="00914BAB" w:rsidRDefault="000616F0" w:rsidP="00061339">
      <w:pPr>
        <w:pStyle w:val="Heading2"/>
        <w:rPr>
          <w:szCs w:val="24"/>
        </w:rPr>
      </w:pPr>
      <w:bookmarkStart w:id="7" w:name="_Toc292953274"/>
      <w:r w:rsidRPr="00914BAB">
        <w:rPr>
          <w:szCs w:val="24"/>
        </w:rPr>
        <w:lastRenderedPageBreak/>
        <w:t>Baseline Data Sources and Assumptions</w:t>
      </w:r>
      <w:bookmarkEnd w:id="7"/>
      <w:r w:rsidRPr="00914BAB">
        <w:rPr>
          <w:szCs w:val="24"/>
        </w:rPr>
        <w:t xml:space="preserve"> </w:t>
      </w:r>
    </w:p>
    <w:p w14:paraId="61C050EE" w14:textId="77777777" w:rsidR="000616F0" w:rsidRPr="00914BAB" w:rsidRDefault="000616F0" w:rsidP="005914B3">
      <w:pPr>
        <w:pStyle w:val="Heading3"/>
        <w:rPr>
          <w:sz w:val="24"/>
        </w:rPr>
      </w:pPr>
      <w:bookmarkStart w:id="8" w:name="_Toc292953275"/>
      <w:r w:rsidRPr="00914BAB">
        <w:rPr>
          <w:sz w:val="24"/>
        </w:rPr>
        <w:t>Buildings: Commercial and Residential</w:t>
      </w:r>
      <w:bookmarkEnd w:id="8"/>
    </w:p>
    <w:tbl>
      <w:tblPr>
        <w:tblStyle w:val="TableGrid"/>
        <w:tblW w:w="0" w:type="auto"/>
        <w:tblLook w:val="04A0" w:firstRow="1" w:lastRow="0" w:firstColumn="1" w:lastColumn="0" w:noHBand="0" w:noVBand="1"/>
      </w:tblPr>
      <w:tblGrid>
        <w:gridCol w:w="1668"/>
        <w:gridCol w:w="7188"/>
      </w:tblGrid>
      <w:tr w:rsidR="000616F0" w:rsidRPr="00914BAB" w14:paraId="7016489D" w14:textId="77777777" w:rsidTr="000616F0">
        <w:tc>
          <w:tcPr>
            <w:tcW w:w="1668" w:type="dxa"/>
          </w:tcPr>
          <w:p w14:paraId="1FB76216" w14:textId="77777777" w:rsidR="000616F0" w:rsidRPr="00914BAB" w:rsidRDefault="000616F0" w:rsidP="000616F0">
            <w:pPr>
              <w:rPr>
                <w:b/>
                <w:sz w:val="24"/>
                <w:szCs w:val="24"/>
                <w:lang w:val="en-GB"/>
              </w:rPr>
            </w:pPr>
            <w:r w:rsidRPr="00914BAB">
              <w:rPr>
                <w:b/>
                <w:sz w:val="24"/>
                <w:szCs w:val="24"/>
                <w:lang w:val="en-GB"/>
              </w:rPr>
              <w:t>Activity Levels</w:t>
            </w:r>
            <w:r w:rsidRPr="00914BAB">
              <w:rPr>
                <w:rStyle w:val="FootnoteReference"/>
                <w:b/>
                <w:sz w:val="24"/>
                <w:szCs w:val="24"/>
                <w:lang w:val="en-GB"/>
              </w:rPr>
              <w:footnoteReference w:id="12"/>
            </w:r>
          </w:p>
        </w:tc>
        <w:tc>
          <w:tcPr>
            <w:tcW w:w="7188" w:type="dxa"/>
          </w:tcPr>
          <w:p w14:paraId="593ABA49" w14:textId="77777777" w:rsidR="000616F0" w:rsidRPr="00914BAB" w:rsidRDefault="000616F0" w:rsidP="00061339">
            <w:pPr>
              <w:pStyle w:val="NoSpacing"/>
              <w:rPr>
                <w:sz w:val="24"/>
                <w:szCs w:val="24"/>
                <w:lang w:val="en-GB"/>
              </w:rPr>
            </w:pPr>
            <w:r w:rsidRPr="00914BAB">
              <w:rPr>
                <w:sz w:val="24"/>
                <w:szCs w:val="24"/>
                <w:lang w:val="en-GB"/>
              </w:rPr>
              <w:t>Residential urban floor space (m</w:t>
            </w:r>
            <w:r w:rsidRPr="00914BAB">
              <w:rPr>
                <w:sz w:val="24"/>
                <w:szCs w:val="24"/>
                <w:vertAlign w:val="superscript"/>
                <w:lang w:val="en-GB"/>
              </w:rPr>
              <w:t>2</w:t>
            </w:r>
            <w:r w:rsidRPr="00914BAB">
              <w:rPr>
                <w:sz w:val="24"/>
                <w:szCs w:val="24"/>
                <w:lang w:val="en-GB"/>
              </w:rPr>
              <w:t>) per capita is assumed to be the same as national averages. This grows slowly (&lt;0.5% per year) in OECD countries and faster (&gt;1% per year) in developing countries</w:t>
            </w:r>
          </w:p>
          <w:p w14:paraId="3D09699F" w14:textId="77777777" w:rsidR="000616F0" w:rsidRPr="00914BAB" w:rsidRDefault="000616F0" w:rsidP="00061339">
            <w:pPr>
              <w:pStyle w:val="NoSpacing"/>
              <w:rPr>
                <w:sz w:val="24"/>
                <w:szCs w:val="24"/>
                <w:lang w:val="en-GB"/>
              </w:rPr>
            </w:pPr>
          </w:p>
          <w:p w14:paraId="2D25D034" w14:textId="77777777" w:rsidR="000616F0" w:rsidRPr="00914BAB" w:rsidRDefault="000616F0" w:rsidP="00061339">
            <w:pPr>
              <w:pStyle w:val="NoSpacing"/>
              <w:rPr>
                <w:sz w:val="24"/>
                <w:szCs w:val="24"/>
                <w:lang w:val="en-GB"/>
              </w:rPr>
            </w:pPr>
            <w:r w:rsidRPr="00914BAB">
              <w:rPr>
                <w:sz w:val="24"/>
                <w:szCs w:val="24"/>
                <w:lang w:val="en-GB"/>
              </w:rPr>
              <w:t>Commercial floor space is assumed to be predominantly (&gt;90%) in urban areas (</w:t>
            </w:r>
            <w:proofErr w:type="spellStart"/>
            <w:r w:rsidRPr="00914BAB">
              <w:rPr>
                <w:sz w:val="24"/>
                <w:szCs w:val="24"/>
                <w:lang w:val="en-GB"/>
              </w:rPr>
              <w:t>Ürge-Vorsatz</w:t>
            </w:r>
            <w:proofErr w:type="spellEnd"/>
            <w:r w:rsidRPr="00914BAB">
              <w:rPr>
                <w:sz w:val="24"/>
                <w:szCs w:val="24"/>
                <w:lang w:val="en-GB"/>
              </w:rPr>
              <w:t xml:space="preserve"> et al. 2012). Floor space (m</w:t>
            </w:r>
            <w:r w:rsidRPr="00914BAB">
              <w:rPr>
                <w:sz w:val="24"/>
                <w:szCs w:val="24"/>
                <w:vertAlign w:val="superscript"/>
                <w:lang w:val="en-GB"/>
              </w:rPr>
              <w:t>2</w:t>
            </w:r>
            <w:r w:rsidRPr="00914BAB">
              <w:rPr>
                <w:sz w:val="24"/>
                <w:szCs w:val="24"/>
                <w:lang w:val="en-GB"/>
              </w:rPr>
              <w:t>) per capita grows more quickly in developing countries, as for the residential sector.</w:t>
            </w:r>
          </w:p>
          <w:p w14:paraId="1EB133C2" w14:textId="77777777" w:rsidR="000616F0" w:rsidRPr="00914BAB" w:rsidRDefault="000616F0" w:rsidP="00061339">
            <w:pPr>
              <w:pStyle w:val="NoSpacing"/>
              <w:rPr>
                <w:i/>
                <w:sz w:val="24"/>
                <w:szCs w:val="24"/>
                <w:lang w:val="en-GB"/>
              </w:rPr>
            </w:pPr>
          </w:p>
          <w:p w14:paraId="4B2DF67C" w14:textId="77777777" w:rsidR="000616F0" w:rsidRPr="00914BAB" w:rsidRDefault="000616F0" w:rsidP="00DB2456">
            <w:pPr>
              <w:pStyle w:val="NoSpacing"/>
              <w:rPr>
                <w:sz w:val="24"/>
                <w:szCs w:val="24"/>
                <w:lang w:val="en-GB"/>
              </w:rPr>
            </w:pPr>
            <w:r w:rsidRPr="00914BAB">
              <w:rPr>
                <w:sz w:val="24"/>
                <w:szCs w:val="24"/>
                <w:lang w:val="en-GB"/>
              </w:rPr>
              <w:t xml:space="preserve">Total floor space per capita and the associated growth rates are identical in both </w:t>
            </w:r>
            <w:r w:rsidR="00DB2456" w:rsidRPr="00914BAB">
              <w:rPr>
                <w:sz w:val="24"/>
                <w:szCs w:val="24"/>
                <w:lang w:val="en-GB"/>
              </w:rPr>
              <w:t>baseline and action scenarios.</w:t>
            </w:r>
          </w:p>
          <w:p w14:paraId="27D6A21F" w14:textId="7042BBDD" w:rsidR="00DB2456" w:rsidRPr="00914BAB" w:rsidRDefault="00DB2456" w:rsidP="00DB2456">
            <w:pPr>
              <w:pStyle w:val="NoSpacing"/>
              <w:rPr>
                <w:sz w:val="24"/>
                <w:szCs w:val="24"/>
                <w:lang w:val="en-GB"/>
              </w:rPr>
            </w:pPr>
          </w:p>
        </w:tc>
      </w:tr>
      <w:tr w:rsidR="000616F0" w:rsidRPr="00914BAB" w14:paraId="1055688C" w14:textId="77777777" w:rsidTr="000616F0">
        <w:tc>
          <w:tcPr>
            <w:tcW w:w="1668" w:type="dxa"/>
          </w:tcPr>
          <w:p w14:paraId="21ECA892" w14:textId="77777777" w:rsidR="000616F0" w:rsidRPr="00914BAB" w:rsidRDefault="000616F0" w:rsidP="000616F0">
            <w:pPr>
              <w:rPr>
                <w:b/>
                <w:sz w:val="24"/>
                <w:szCs w:val="24"/>
                <w:lang w:val="en-GB"/>
              </w:rPr>
            </w:pPr>
            <w:r w:rsidRPr="00914BAB">
              <w:rPr>
                <w:b/>
                <w:sz w:val="24"/>
                <w:szCs w:val="24"/>
                <w:lang w:val="en-GB"/>
              </w:rPr>
              <w:t>Energy Intensities</w:t>
            </w:r>
          </w:p>
        </w:tc>
        <w:tc>
          <w:tcPr>
            <w:tcW w:w="7188" w:type="dxa"/>
          </w:tcPr>
          <w:p w14:paraId="0F0BB47F" w14:textId="77777777" w:rsidR="000616F0" w:rsidRPr="00914BAB" w:rsidRDefault="000616F0" w:rsidP="00061339">
            <w:pPr>
              <w:pStyle w:val="NoSpacing"/>
              <w:rPr>
                <w:sz w:val="24"/>
                <w:szCs w:val="24"/>
                <w:lang w:val="en-GB"/>
              </w:rPr>
            </w:pPr>
            <w:r w:rsidRPr="00914BAB">
              <w:rPr>
                <w:sz w:val="24"/>
                <w:szCs w:val="24"/>
                <w:lang w:val="en-GB"/>
              </w:rPr>
              <w:t>Both residential and commercial urban energy intensities (GJ or kWh per m</w:t>
            </w:r>
            <w:r w:rsidRPr="00914BAB">
              <w:rPr>
                <w:sz w:val="24"/>
                <w:szCs w:val="24"/>
                <w:vertAlign w:val="superscript"/>
                <w:lang w:val="en-GB"/>
              </w:rPr>
              <w:t>2</w:t>
            </w:r>
            <w:r w:rsidRPr="00914BAB">
              <w:rPr>
                <w:sz w:val="24"/>
                <w:szCs w:val="24"/>
                <w:lang w:val="en-GB"/>
              </w:rPr>
              <w:t xml:space="preserve"> of floor space) assumed to follow national averages within OECD and in some developing countries, while in the majority of developing countries they are adjusted by considering rural/urban splits of electricity access and traditional biomass use (data from IEA 2010).</w:t>
            </w:r>
          </w:p>
          <w:p w14:paraId="4F181C3D" w14:textId="77777777" w:rsidR="000616F0" w:rsidRPr="00914BAB" w:rsidRDefault="000616F0" w:rsidP="00061339">
            <w:pPr>
              <w:pStyle w:val="NoSpacing"/>
              <w:rPr>
                <w:i/>
                <w:sz w:val="24"/>
                <w:szCs w:val="24"/>
                <w:lang w:val="en-GB"/>
              </w:rPr>
            </w:pPr>
          </w:p>
          <w:p w14:paraId="6B004186" w14:textId="77777777" w:rsidR="000616F0" w:rsidRPr="00914BAB" w:rsidRDefault="000616F0" w:rsidP="00061339">
            <w:pPr>
              <w:pStyle w:val="NoSpacing"/>
              <w:rPr>
                <w:sz w:val="24"/>
                <w:szCs w:val="24"/>
                <w:lang w:val="en-GB"/>
              </w:rPr>
            </w:pPr>
            <w:r w:rsidRPr="00914BAB">
              <w:rPr>
                <w:sz w:val="24"/>
                <w:szCs w:val="24"/>
                <w:lang w:val="en-GB"/>
              </w:rPr>
              <w:t xml:space="preserve">Globally, urban energy intensity assumed to decline slowly for residential buildings (&lt; 1% per </w:t>
            </w:r>
            <w:proofErr w:type="spellStart"/>
            <w:r w:rsidRPr="00914BAB">
              <w:rPr>
                <w:sz w:val="24"/>
                <w:szCs w:val="24"/>
                <w:lang w:val="en-GB"/>
              </w:rPr>
              <w:t>yr</w:t>
            </w:r>
            <w:proofErr w:type="spellEnd"/>
            <w:r w:rsidRPr="00914BAB">
              <w:rPr>
                <w:sz w:val="24"/>
                <w:szCs w:val="24"/>
                <w:lang w:val="en-GB"/>
              </w:rPr>
              <w:t>), while it remains nearly constant in commercial buildings as efficiency gains here are offset by increasing demand.</w:t>
            </w:r>
          </w:p>
          <w:p w14:paraId="03DEAB11" w14:textId="30D5A087" w:rsidR="000616F0" w:rsidRPr="00914BAB" w:rsidRDefault="000616F0" w:rsidP="00061339">
            <w:pPr>
              <w:pStyle w:val="NoSpacing"/>
              <w:rPr>
                <w:i/>
                <w:sz w:val="24"/>
                <w:szCs w:val="24"/>
                <w:lang w:val="en-GB"/>
              </w:rPr>
            </w:pPr>
          </w:p>
        </w:tc>
      </w:tr>
      <w:tr w:rsidR="000616F0" w:rsidRPr="00914BAB" w14:paraId="12C322FA" w14:textId="77777777" w:rsidTr="000616F0">
        <w:tc>
          <w:tcPr>
            <w:tcW w:w="1668" w:type="dxa"/>
          </w:tcPr>
          <w:p w14:paraId="37986D45" w14:textId="77777777" w:rsidR="000616F0" w:rsidRPr="00914BAB" w:rsidRDefault="000616F0" w:rsidP="000616F0">
            <w:pPr>
              <w:rPr>
                <w:b/>
                <w:sz w:val="24"/>
                <w:szCs w:val="24"/>
                <w:lang w:val="en-GB"/>
              </w:rPr>
            </w:pPr>
            <w:r w:rsidRPr="00914BAB">
              <w:rPr>
                <w:b/>
                <w:sz w:val="24"/>
                <w:szCs w:val="24"/>
                <w:lang w:val="en-GB"/>
              </w:rPr>
              <w:t>Fuel types and GHG intensity of Energy</w:t>
            </w:r>
          </w:p>
        </w:tc>
        <w:tc>
          <w:tcPr>
            <w:tcW w:w="7188" w:type="dxa"/>
          </w:tcPr>
          <w:p w14:paraId="6DA4C28F" w14:textId="77777777" w:rsidR="000616F0" w:rsidRPr="00914BAB" w:rsidRDefault="000616F0" w:rsidP="00061339">
            <w:pPr>
              <w:pStyle w:val="NoSpacing"/>
              <w:rPr>
                <w:sz w:val="24"/>
                <w:szCs w:val="24"/>
                <w:lang w:val="en-GB"/>
              </w:rPr>
            </w:pPr>
            <w:r w:rsidRPr="00914BAB">
              <w:rPr>
                <w:sz w:val="24"/>
                <w:szCs w:val="24"/>
                <w:lang w:val="en-GB"/>
              </w:rPr>
              <w:t xml:space="preserve">GHG-intensities for urban heating fuels and electricity </w:t>
            </w:r>
          </w:p>
          <w:p w14:paraId="64C8E7A0" w14:textId="77777777" w:rsidR="000616F0" w:rsidRPr="00914BAB" w:rsidRDefault="000616F0" w:rsidP="00061339">
            <w:pPr>
              <w:pStyle w:val="NoSpacing"/>
              <w:rPr>
                <w:sz w:val="24"/>
                <w:szCs w:val="24"/>
                <w:lang w:val="en-GB"/>
              </w:rPr>
            </w:pPr>
            <w:r w:rsidRPr="00914BAB">
              <w:rPr>
                <w:sz w:val="24"/>
                <w:szCs w:val="24"/>
                <w:lang w:val="en-GB"/>
              </w:rPr>
              <w:t>(kg CO2e per GJ or MWh) follow national averages within OECD and some developing countries, while in the majority of developing countries they are adjusted by considering rural/urban splits of electricity access and traditional biomass use (data from IEA 2010).</w:t>
            </w:r>
          </w:p>
          <w:p w14:paraId="0A6AD2C0" w14:textId="77777777" w:rsidR="000616F0" w:rsidRPr="00914BAB" w:rsidRDefault="000616F0" w:rsidP="00061339">
            <w:pPr>
              <w:pStyle w:val="NoSpacing"/>
              <w:rPr>
                <w:i/>
                <w:sz w:val="24"/>
                <w:szCs w:val="24"/>
                <w:lang w:val="en-GB"/>
              </w:rPr>
            </w:pPr>
          </w:p>
          <w:p w14:paraId="3F23B943" w14:textId="77777777" w:rsidR="000616F0" w:rsidRPr="00914BAB" w:rsidRDefault="000616F0" w:rsidP="00061339">
            <w:pPr>
              <w:pStyle w:val="NoSpacing"/>
              <w:rPr>
                <w:sz w:val="24"/>
                <w:szCs w:val="24"/>
                <w:lang w:val="en-GB"/>
              </w:rPr>
            </w:pPr>
            <w:r w:rsidRPr="00914BAB">
              <w:rPr>
                <w:sz w:val="24"/>
                <w:szCs w:val="24"/>
                <w:lang w:val="en-GB"/>
              </w:rPr>
              <w:t>GHG intensities of urban fuel use declines gradually due to shifts away from coal and oil, while electricity intensities are assumed to decline more rapidly due to recent national policies (i.e. New Policy Scenario projections up to 2035 from IEA 2013; later projections to 2050 from IEA 2012).</w:t>
            </w:r>
          </w:p>
          <w:p w14:paraId="58870AF1" w14:textId="77777777" w:rsidR="000616F0" w:rsidRPr="00914BAB" w:rsidRDefault="000616F0" w:rsidP="00061339">
            <w:pPr>
              <w:pStyle w:val="NoSpacing"/>
              <w:rPr>
                <w:i/>
                <w:sz w:val="24"/>
                <w:szCs w:val="24"/>
                <w:lang w:val="en-GB"/>
              </w:rPr>
            </w:pPr>
          </w:p>
          <w:p w14:paraId="4FBBA3F4" w14:textId="4DA997E9" w:rsidR="000616F0" w:rsidRPr="00914BAB" w:rsidRDefault="000616F0" w:rsidP="00061339">
            <w:pPr>
              <w:pStyle w:val="NoSpacing"/>
              <w:rPr>
                <w:sz w:val="24"/>
                <w:szCs w:val="24"/>
                <w:lang w:val="en-GB"/>
              </w:rPr>
            </w:pPr>
            <w:r w:rsidRPr="00914BAB">
              <w:rPr>
                <w:sz w:val="24"/>
                <w:szCs w:val="24"/>
                <w:lang w:val="en-GB"/>
              </w:rPr>
              <w:t>Composition of energy types (electricity, coal, natural gas, etc.) that are used in commercial and residential sectors are obtained from IEA energy balance statistics for each region (</w:t>
            </w:r>
            <w:r w:rsidRPr="00914BAB">
              <w:rPr>
                <w:rFonts w:eastAsia="Times New Roman"/>
                <w:sz w:val="24"/>
                <w:szCs w:val="24"/>
                <w:lang w:val="en-GB"/>
              </w:rPr>
              <w:t>www.iea.org/statistics</w:t>
            </w:r>
            <w:r w:rsidRPr="00914BAB">
              <w:rPr>
                <w:sz w:val="24"/>
                <w:szCs w:val="24"/>
                <w:lang w:val="en-GB"/>
              </w:rPr>
              <w:t>).</w:t>
            </w:r>
          </w:p>
          <w:p w14:paraId="6C8DB0C3" w14:textId="77777777" w:rsidR="000616F0" w:rsidRPr="00914BAB" w:rsidRDefault="000616F0" w:rsidP="00061339">
            <w:pPr>
              <w:pStyle w:val="NoSpacing"/>
              <w:rPr>
                <w:sz w:val="24"/>
                <w:szCs w:val="24"/>
                <w:lang w:val="en-GB"/>
              </w:rPr>
            </w:pPr>
          </w:p>
        </w:tc>
      </w:tr>
    </w:tbl>
    <w:p w14:paraId="1850241C" w14:textId="77777777" w:rsidR="000616F0" w:rsidRPr="00914BAB" w:rsidRDefault="000616F0" w:rsidP="005914B3">
      <w:pPr>
        <w:pStyle w:val="Heading3"/>
        <w:rPr>
          <w:sz w:val="24"/>
        </w:rPr>
      </w:pPr>
      <w:bookmarkStart w:id="9" w:name="_Toc292953276"/>
      <w:r w:rsidRPr="00914BAB">
        <w:rPr>
          <w:sz w:val="24"/>
        </w:rPr>
        <w:lastRenderedPageBreak/>
        <w:t>Transport: Passenger transport and freight transport</w:t>
      </w:r>
      <w:bookmarkEnd w:id="9"/>
    </w:p>
    <w:tbl>
      <w:tblPr>
        <w:tblStyle w:val="TableGrid"/>
        <w:tblW w:w="0" w:type="auto"/>
        <w:tblLook w:val="04A0" w:firstRow="1" w:lastRow="0" w:firstColumn="1" w:lastColumn="0" w:noHBand="0" w:noVBand="1"/>
      </w:tblPr>
      <w:tblGrid>
        <w:gridCol w:w="1668"/>
        <w:gridCol w:w="7188"/>
      </w:tblGrid>
      <w:tr w:rsidR="000616F0" w:rsidRPr="00914BAB" w14:paraId="1C50B9D9" w14:textId="77777777" w:rsidTr="000616F0">
        <w:tc>
          <w:tcPr>
            <w:tcW w:w="1668" w:type="dxa"/>
          </w:tcPr>
          <w:p w14:paraId="13C0B933" w14:textId="77777777" w:rsidR="000616F0" w:rsidRPr="00914BAB" w:rsidRDefault="000616F0" w:rsidP="000616F0">
            <w:pPr>
              <w:rPr>
                <w:b/>
                <w:sz w:val="24"/>
                <w:szCs w:val="24"/>
                <w:lang w:val="en-GB"/>
              </w:rPr>
            </w:pPr>
            <w:r w:rsidRPr="00914BAB">
              <w:rPr>
                <w:b/>
                <w:sz w:val="24"/>
                <w:szCs w:val="24"/>
                <w:lang w:val="en-GB"/>
              </w:rPr>
              <w:t>Activity Levels</w:t>
            </w:r>
            <w:r w:rsidRPr="00914BAB">
              <w:rPr>
                <w:rStyle w:val="FootnoteReference"/>
                <w:b/>
                <w:sz w:val="24"/>
                <w:szCs w:val="24"/>
                <w:lang w:val="en-GB"/>
              </w:rPr>
              <w:footnoteReference w:id="13"/>
            </w:r>
          </w:p>
        </w:tc>
        <w:tc>
          <w:tcPr>
            <w:tcW w:w="7188" w:type="dxa"/>
          </w:tcPr>
          <w:p w14:paraId="638D8B81" w14:textId="77777777" w:rsidR="000616F0" w:rsidRPr="00914BAB" w:rsidRDefault="000616F0" w:rsidP="00061339">
            <w:pPr>
              <w:pStyle w:val="NoSpacing"/>
              <w:rPr>
                <w:sz w:val="24"/>
                <w:szCs w:val="24"/>
                <w:lang w:val="en-GB"/>
              </w:rPr>
            </w:pPr>
            <w:r w:rsidRPr="00914BAB">
              <w:rPr>
                <w:sz w:val="24"/>
                <w:szCs w:val="24"/>
                <w:lang w:val="en-GB"/>
              </w:rPr>
              <w:t>Urban travel intensity (</w:t>
            </w:r>
            <w:proofErr w:type="spellStart"/>
            <w:r w:rsidRPr="00914BAB">
              <w:rPr>
                <w:sz w:val="24"/>
                <w:szCs w:val="24"/>
                <w:lang w:val="en-GB"/>
              </w:rPr>
              <w:t>pkm</w:t>
            </w:r>
            <w:proofErr w:type="spellEnd"/>
            <w:r w:rsidRPr="00914BAB">
              <w:rPr>
                <w:sz w:val="24"/>
                <w:szCs w:val="24"/>
                <w:lang w:val="en-GB"/>
              </w:rPr>
              <w:t xml:space="preserve"> per person) declines in cities in OECD countries, but grows by 1.5% or more per year until 2030 in developing countries. Mode share holds near constant in OECD countries but shifts to private vehicles in developing countries. Urban freight intensity (</w:t>
            </w:r>
            <w:proofErr w:type="spellStart"/>
            <w:r w:rsidRPr="00914BAB">
              <w:rPr>
                <w:sz w:val="24"/>
                <w:szCs w:val="24"/>
                <w:lang w:val="en-GB"/>
              </w:rPr>
              <w:t>tkm</w:t>
            </w:r>
            <w:proofErr w:type="spellEnd"/>
            <w:r w:rsidRPr="00914BAB">
              <w:rPr>
                <w:sz w:val="24"/>
                <w:szCs w:val="24"/>
                <w:lang w:val="en-GB"/>
              </w:rPr>
              <w:t xml:space="preserve"> per person) grows 1-2% per year in OECD countries and non-OECD countries 2-6% per year in non-OECD countries.</w:t>
            </w:r>
          </w:p>
          <w:p w14:paraId="482DB39F" w14:textId="77777777" w:rsidR="000616F0" w:rsidRPr="00914BAB" w:rsidRDefault="000616F0" w:rsidP="00061339">
            <w:pPr>
              <w:pStyle w:val="NoSpacing"/>
              <w:rPr>
                <w:sz w:val="24"/>
                <w:szCs w:val="24"/>
                <w:lang w:val="en-GB"/>
              </w:rPr>
            </w:pPr>
          </w:p>
        </w:tc>
      </w:tr>
      <w:tr w:rsidR="000616F0" w:rsidRPr="00914BAB" w14:paraId="571C9A41" w14:textId="77777777" w:rsidTr="000616F0">
        <w:tc>
          <w:tcPr>
            <w:tcW w:w="1668" w:type="dxa"/>
          </w:tcPr>
          <w:p w14:paraId="5FF68090" w14:textId="77777777" w:rsidR="000616F0" w:rsidRPr="00914BAB" w:rsidRDefault="000616F0" w:rsidP="000616F0">
            <w:pPr>
              <w:rPr>
                <w:b/>
                <w:sz w:val="24"/>
                <w:szCs w:val="24"/>
                <w:lang w:val="en-GB"/>
              </w:rPr>
            </w:pPr>
            <w:r w:rsidRPr="00914BAB">
              <w:rPr>
                <w:b/>
                <w:sz w:val="24"/>
                <w:szCs w:val="24"/>
                <w:lang w:val="en-GB"/>
              </w:rPr>
              <w:t>Energy Intensities</w:t>
            </w:r>
          </w:p>
        </w:tc>
        <w:tc>
          <w:tcPr>
            <w:tcW w:w="7188" w:type="dxa"/>
          </w:tcPr>
          <w:p w14:paraId="0EAF0023" w14:textId="77777777" w:rsidR="000616F0" w:rsidRPr="00914BAB" w:rsidRDefault="000616F0" w:rsidP="00C07145">
            <w:pPr>
              <w:pStyle w:val="NoSpacing"/>
              <w:rPr>
                <w:sz w:val="24"/>
                <w:szCs w:val="24"/>
              </w:rPr>
            </w:pPr>
            <w:r w:rsidRPr="00914BAB">
              <w:rPr>
                <w:sz w:val="24"/>
                <w:szCs w:val="24"/>
              </w:rPr>
              <w:t>Urban passenger vehicle energy intensities (MJ/</w:t>
            </w:r>
            <w:proofErr w:type="spellStart"/>
            <w:r w:rsidRPr="00914BAB">
              <w:rPr>
                <w:sz w:val="24"/>
                <w:szCs w:val="24"/>
              </w:rPr>
              <w:t>pkm</w:t>
            </w:r>
            <w:proofErr w:type="spellEnd"/>
            <w:r w:rsidRPr="00914BAB">
              <w:rPr>
                <w:sz w:val="24"/>
                <w:szCs w:val="24"/>
              </w:rPr>
              <w:t>) for private, bus, and train transport modes are assumed to be the same as national averages. Each decline 0.5- 1% annually through 2050 for all modes excluding private car energy intensity in developing Asia which increases 0.5-1.5% annually. Freight energy intensity (MJ/</w:t>
            </w:r>
            <w:proofErr w:type="spellStart"/>
            <w:r w:rsidRPr="00914BAB">
              <w:rPr>
                <w:sz w:val="24"/>
                <w:szCs w:val="24"/>
              </w:rPr>
              <w:t>tkm</w:t>
            </w:r>
            <w:proofErr w:type="spellEnd"/>
            <w:r w:rsidRPr="00914BAB">
              <w:rPr>
                <w:sz w:val="24"/>
                <w:szCs w:val="24"/>
              </w:rPr>
              <w:t>) is assumed to be the same as national average road freight intensities. These decline 0.5-1% annually in OECD countries and many developing countries, but not in Russia, China or India.</w:t>
            </w:r>
          </w:p>
          <w:p w14:paraId="6AA500CD" w14:textId="77777777" w:rsidR="000616F0" w:rsidRPr="00914BAB" w:rsidRDefault="000616F0" w:rsidP="00C07145">
            <w:pPr>
              <w:pStyle w:val="NoSpacing"/>
              <w:rPr>
                <w:sz w:val="24"/>
                <w:szCs w:val="24"/>
              </w:rPr>
            </w:pPr>
          </w:p>
        </w:tc>
      </w:tr>
      <w:tr w:rsidR="000616F0" w:rsidRPr="00914BAB" w14:paraId="6E21FEFE" w14:textId="77777777" w:rsidTr="000616F0">
        <w:tc>
          <w:tcPr>
            <w:tcW w:w="1668" w:type="dxa"/>
          </w:tcPr>
          <w:p w14:paraId="7F568B06" w14:textId="77777777" w:rsidR="000616F0" w:rsidRPr="00914BAB" w:rsidRDefault="000616F0" w:rsidP="000616F0">
            <w:pPr>
              <w:rPr>
                <w:b/>
                <w:sz w:val="24"/>
                <w:szCs w:val="24"/>
                <w:lang w:val="en-GB"/>
              </w:rPr>
            </w:pPr>
            <w:r w:rsidRPr="00914BAB">
              <w:rPr>
                <w:b/>
                <w:sz w:val="24"/>
                <w:szCs w:val="24"/>
                <w:lang w:val="en-GB"/>
              </w:rPr>
              <w:t>Fuel types and GHG intensity of travel</w:t>
            </w:r>
          </w:p>
        </w:tc>
        <w:tc>
          <w:tcPr>
            <w:tcW w:w="7188" w:type="dxa"/>
          </w:tcPr>
          <w:p w14:paraId="1193CCBC" w14:textId="0074E940" w:rsidR="000616F0" w:rsidRPr="00914BAB" w:rsidRDefault="000616F0" w:rsidP="00C07145">
            <w:pPr>
              <w:pStyle w:val="NoSpacing"/>
              <w:rPr>
                <w:sz w:val="24"/>
                <w:szCs w:val="24"/>
              </w:rPr>
            </w:pPr>
            <w:r w:rsidRPr="00914BAB">
              <w:rPr>
                <w:sz w:val="24"/>
                <w:szCs w:val="24"/>
              </w:rPr>
              <w:t xml:space="preserve">Higher private electric vehicle ownership leads to small changes in GHG-intensity by 2050 of passenger transport (a 3-4% decline depending on the grid). Urban fuels are assumed to be predominantly gasoline, diesel or GHG-equivalent biofuels for the duration of the period </w:t>
            </w:r>
            <w:proofErr w:type="spellStart"/>
            <w:r w:rsidRPr="00914BAB">
              <w:rPr>
                <w:sz w:val="24"/>
                <w:szCs w:val="24"/>
              </w:rPr>
              <w:t>analysed</w:t>
            </w:r>
            <w:proofErr w:type="spellEnd"/>
            <w:r w:rsidRPr="00914BAB">
              <w:rPr>
                <w:sz w:val="24"/>
                <w:szCs w:val="24"/>
              </w:rPr>
              <w:t xml:space="preserve">. </w:t>
            </w:r>
          </w:p>
        </w:tc>
      </w:tr>
    </w:tbl>
    <w:p w14:paraId="2940470B" w14:textId="77777777" w:rsidR="000616F0" w:rsidRPr="00914BAB" w:rsidRDefault="000616F0" w:rsidP="000616F0">
      <w:pPr>
        <w:rPr>
          <w:b/>
          <w:sz w:val="24"/>
        </w:rPr>
      </w:pPr>
    </w:p>
    <w:p w14:paraId="21F232B6" w14:textId="77777777" w:rsidR="000616F0" w:rsidRPr="00914BAB" w:rsidRDefault="000616F0" w:rsidP="005914B3">
      <w:pPr>
        <w:pStyle w:val="Heading3"/>
        <w:rPr>
          <w:sz w:val="24"/>
        </w:rPr>
      </w:pPr>
      <w:bookmarkStart w:id="10" w:name="_Toc292953277"/>
      <w:r w:rsidRPr="00914BAB">
        <w:rPr>
          <w:sz w:val="24"/>
        </w:rPr>
        <w:t>Waste</w:t>
      </w:r>
      <w:bookmarkEnd w:id="10"/>
    </w:p>
    <w:tbl>
      <w:tblPr>
        <w:tblStyle w:val="TableGrid"/>
        <w:tblW w:w="0" w:type="auto"/>
        <w:tblLook w:val="04A0" w:firstRow="1" w:lastRow="0" w:firstColumn="1" w:lastColumn="0" w:noHBand="0" w:noVBand="1"/>
      </w:tblPr>
      <w:tblGrid>
        <w:gridCol w:w="1668"/>
        <w:gridCol w:w="7188"/>
      </w:tblGrid>
      <w:tr w:rsidR="000616F0" w:rsidRPr="00914BAB" w14:paraId="5C743D3F" w14:textId="77777777" w:rsidTr="000616F0">
        <w:tc>
          <w:tcPr>
            <w:tcW w:w="1668" w:type="dxa"/>
          </w:tcPr>
          <w:p w14:paraId="2D6A1C1B" w14:textId="77777777" w:rsidR="000616F0" w:rsidRPr="00914BAB" w:rsidRDefault="000616F0" w:rsidP="000616F0">
            <w:pPr>
              <w:rPr>
                <w:b/>
                <w:sz w:val="24"/>
                <w:szCs w:val="24"/>
                <w:lang w:val="en-GB"/>
              </w:rPr>
            </w:pPr>
            <w:r w:rsidRPr="00914BAB">
              <w:rPr>
                <w:b/>
                <w:sz w:val="24"/>
                <w:szCs w:val="24"/>
                <w:lang w:val="en-GB"/>
              </w:rPr>
              <w:t>Activity Levels</w:t>
            </w:r>
            <w:r w:rsidRPr="00914BAB">
              <w:rPr>
                <w:rStyle w:val="FootnoteReference"/>
                <w:b/>
                <w:sz w:val="24"/>
                <w:szCs w:val="24"/>
                <w:lang w:val="en-GB"/>
              </w:rPr>
              <w:footnoteReference w:id="14"/>
            </w:r>
          </w:p>
        </w:tc>
        <w:tc>
          <w:tcPr>
            <w:tcW w:w="7188" w:type="dxa"/>
          </w:tcPr>
          <w:p w14:paraId="5AC5007D" w14:textId="77777777" w:rsidR="000616F0" w:rsidRPr="00914BAB" w:rsidRDefault="000616F0" w:rsidP="00061339">
            <w:pPr>
              <w:pStyle w:val="NoSpacing"/>
              <w:rPr>
                <w:sz w:val="24"/>
                <w:szCs w:val="24"/>
                <w:lang w:val="en-GB"/>
              </w:rPr>
            </w:pPr>
            <w:r w:rsidRPr="00914BAB">
              <w:rPr>
                <w:sz w:val="24"/>
                <w:szCs w:val="24"/>
                <w:lang w:val="en-GB"/>
              </w:rPr>
              <w:t xml:space="preserve">Waste generation, in tonnes per capita is projected to hold constant in OECD countries through 2025, while growing by 1.5% per year in most developing countries. 2015 values for waste generation are drawn from </w:t>
            </w:r>
            <w:proofErr w:type="spellStart"/>
            <w:r w:rsidRPr="00914BAB">
              <w:rPr>
                <w:sz w:val="24"/>
                <w:szCs w:val="24"/>
                <w:lang w:val="en-GB"/>
              </w:rPr>
              <w:t>Hoornweg</w:t>
            </w:r>
            <w:proofErr w:type="spellEnd"/>
            <w:r w:rsidRPr="00914BAB">
              <w:rPr>
                <w:sz w:val="24"/>
                <w:szCs w:val="24"/>
                <w:lang w:val="en-GB"/>
              </w:rPr>
              <w:t xml:space="preserve"> and </w:t>
            </w:r>
            <w:proofErr w:type="spellStart"/>
            <w:r w:rsidRPr="00914BAB">
              <w:rPr>
                <w:sz w:val="24"/>
                <w:szCs w:val="24"/>
                <w:lang w:val="en-GB"/>
              </w:rPr>
              <w:t>Bhada</w:t>
            </w:r>
            <w:proofErr w:type="spellEnd"/>
            <w:r w:rsidRPr="00914BAB">
              <w:rPr>
                <w:sz w:val="24"/>
                <w:szCs w:val="24"/>
                <w:lang w:val="en-GB"/>
              </w:rPr>
              <w:t xml:space="preserve">-Tata (2012). After 2025, waste generation in each region converges to a fixed global relationship with GDP in 2050 and waste collection converges to 2010 best-practice (90%; IPCC 2006). Waste composition is </w:t>
            </w:r>
            <w:proofErr w:type="gramStart"/>
            <w:r w:rsidRPr="00914BAB">
              <w:rPr>
                <w:sz w:val="24"/>
                <w:szCs w:val="24"/>
                <w:lang w:val="en-GB"/>
              </w:rPr>
              <w:t>assume</w:t>
            </w:r>
            <w:proofErr w:type="gramEnd"/>
            <w:r w:rsidRPr="00914BAB">
              <w:rPr>
                <w:sz w:val="24"/>
                <w:szCs w:val="24"/>
                <w:lang w:val="en-GB"/>
              </w:rPr>
              <w:t xml:space="preserve"> to remain constant (IPCC 2006).</w:t>
            </w:r>
          </w:p>
          <w:p w14:paraId="52B09C97" w14:textId="77777777" w:rsidR="000616F0" w:rsidRPr="00914BAB" w:rsidRDefault="000616F0" w:rsidP="00061339">
            <w:pPr>
              <w:pStyle w:val="NoSpacing"/>
              <w:rPr>
                <w:sz w:val="24"/>
                <w:szCs w:val="24"/>
                <w:lang w:val="en-GB"/>
              </w:rPr>
            </w:pPr>
          </w:p>
        </w:tc>
      </w:tr>
      <w:tr w:rsidR="000616F0" w:rsidRPr="00914BAB" w14:paraId="011C7DD5" w14:textId="77777777" w:rsidTr="000616F0">
        <w:tc>
          <w:tcPr>
            <w:tcW w:w="1668" w:type="dxa"/>
          </w:tcPr>
          <w:p w14:paraId="725E8568" w14:textId="77777777" w:rsidR="000616F0" w:rsidRPr="00914BAB" w:rsidRDefault="000616F0" w:rsidP="000616F0">
            <w:pPr>
              <w:rPr>
                <w:b/>
                <w:sz w:val="24"/>
                <w:szCs w:val="24"/>
                <w:lang w:val="en-GB"/>
              </w:rPr>
            </w:pPr>
            <w:r w:rsidRPr="00914BAB">
              <w:rPr>
                <w:b/>
                <w:sz w:val="24"/>
                <w:szCs w:val="24"/>
                <w:lang w:val="en-GB"/>
              </w:rPr>
              <w:lastRenderedPageBreak/>
              <w:t>Energy Intensities</w:t>
            </w:r>
          </w:p>
        </w:tc>
        <w:tc>
          <w:tcPr>
            <w:tcW w:w="7188" w:type="dxa"/>
          </w:tcPr>
          <w:p w14:paraId="2F30D9B9" w14:textId="77777777" w:rsidR="000616F0" w:rsidRPr="00914BAB" w:rsidRDefault="000616F0" w:rsidP="00061339">
            <w:pPr>
              <w:pStyle w:val="NoSpacing"/>
              <w:rPr>
                <w:sz w:val="24"/>
                <w:szCs w:val="24"/>
                <w:lang w:val="en-GB"/>
              </w:rPr>
            </w:pPr>
            <w:r w:rsidRPr="00914BAB">
              <w:rPr>
                <w:sz w:val="24"/>
                <w:szCs w:val="24"/>
                <w:lang w:val="en-GB"/>
              </w:rPr>
              <w:t>Energy and GHG emissions as a function of waste produced are assumed constant as a consequence of the assumption composition remains constant (IPCC 2006). Recycling and composting rates are assumed to converge in all regions to current best practice (</w:t>
            </w:r>
            <w:proofErr w:type="spellStart"/>
            <w:r w:rsidRPr="00914BAB">
              <w:rPr>
                <w:sz w:val="24"/>
                <w:szCs w:val="24"/>
                <w:lang w:val="en-GB"/>
              </w:rPr>
              <w:t>Hoornweg</w:t>
            </w:r>
            <w:proofErr w:type="spellEnd"/>
            <w:r w:rsidRPr="00914BAB">
              <w:rPr>
                <w:sz w:val="24"/>
                <w:szCs w:val="24"/>
                <w:lang w:val="en-GB"/>
              </w:rPr>
              <w:t xml:space="preserve"> and </w:t>
            </w:r>
            <w:proofErr w:type="spellStart"/>
            <w:r w:rsidRPr="00914BAB">
              <w:rPr>
                <w:sz w:val="24"/>
                <w:szCs w:val="24"/>
                <w:lang w:val="en-GB"/>
              </w:rPr>
              <w:t>BhadaTata</w:t>
            </w:r>
            <w:proofErr w:type="spellEnd"/>
            <w:r w:rsidRPr="00914BAB">
              <w:rPr>
                <w:sz w:val="24"/>
                <w:szCs w:val="24"/>
                <w:lang w:val="en-GB"/>
              </w:rPr>
              <w:t xml:space="preserve"> 2012) by 2050.</w:t>
            </w:r>
          </w:p>
          <w:p w14:paraId="001D5A43" w14:textId="77777777" w:rsidR="000616F0" w:rsidRPr="00914BAB" w:rsidRDefault="000616F0" w:rsidP="00061339">
            <w:pPr>
              <w:pStyle w:val="NoSpacing"/>
              <w:rPr>
                <w:sz w:val="24"/>
                <w:szCs w:val="24"/>
                <w:lang w:val="en-GB"/>
              </w:rPr>
            </w:pPr>
          </w:p>
        </w:tc>
      </w:tr>
      <w:tr w:rsidR="000616F0" w:rsidRPr="00914BAB" w14:paraId="27A790EF" w14:textId="77777777" w:rsidTr="000616F0">
        <w:tc>
          <w:tcPr>
            <w:tcW w:w="1668" w:type="dxa"/>
          </w:tcPr>
          <w:p w14:paraId="3D13FE6A" w14:textId="77777777" w:rsidR="000616F0" w:rsidRPr="00914BAB" w:rsidRDefault="000616F0" w:rsidP="000616F0">
            <w:pPr>
              <w:rPr>
                <w:b/>
                <w:sz w:val="24"/>
                <w:szCs w:val="24"/>
                <w:lang w:val="en-GB"/>
              </w:rPr>
            </w:pPr>
            <w:r w:rsidRPr="00914BAB">
              <w:rPr>
                <w:b/>
                <w:sz w:val="24"/>
                <w:szCs w:val="24"/>
                <w:lang w:val="en-GB"/>
              </w:rPr>
              <w:t>GHG intensity</w:t>
            </w:r>
          </w:p>
        </w:tc>
        <w:tc>
          <w:tcPr>
            <w:tcW w:w="7188" w:type="dxa"/>
          </w:tcPr>
          <w:p w14:paraId="43140CE6" w14:textId="77777777" w:rsidR="000616F0" w:rsidRPr="00914BAB" w:rsidRDefault="000616F0" w:rsidP="00061339">
            <w:pPr>
              <w:pStyle w:val="NoSpacing"/>
              <w:rPr>
                <w:sz w:val="24"/>
                <w:szCs w:val="24"/>
                <w:lang w:val="en-GB"/>
              </w:rPr>
            </w:pPr>
            <w:r w:rsidRPr="00914BAB">
              <w:rPr>
                <w:sz w:val="24"/>
                <w:szCs w:val="24"/>
                <w:lang w:val="en-GB"/>
              </w:rPr>
              <w:t>The share of methane captured from landfills grows 3.1% per year in non-OECD countries and 1.0% per year in OECD countries. One-quarter of these facilities are assumed to produce energy for the grid in all cases and all years. Carbon stored in landfills increases with rising waste generation and decreases with increased food composing. Avoided emissions exceed decreased sequestration. Collection rates, degradable organic content (DOC) and fraction of DOC that decomposes are all assumed constant (IPCC 2006).</w:t>
            </w:r>
          </w:p>
          <w:p w14:paraId="733FB14A" w14:textId="77777777" w:rsidR="000616F0" w:rsidRPr="00914BAB" w:rsidRDefault="000616F0" w:rsidP="00061339">
            <w:pPr>
              <w:pStyle w:val="NoSpacing"/>
              <w:rPr>
                <w:sz w:val="24"/>
                <w:szCs w:val="24"/>
                <w:lang w:val="en-GB"/>
              </w:rPr>
            </w:pPr>
          </w:p>
          <w:p w14:paraId="6D8146A3" w14:textId="77777777" w:rsidR="000616F0" w:rsidRPr="00914BAB" w:rsidRDefault="000616F0" w:rsidP="00061339">
            <w:pPr>
              <w:pStyle w:val="NoSpacing"/>
              <w:rPr>
                <w:sz w:val="24"/>
                <w:szCs w:val="24"/>
                <w:lang w:val="en-GB"/>
              </w:rPr>
            </w:pPr>
            <w:r w:rsidRPr="00914BAB">
              <w:rPr>
                <w:sz w:val="24"/>
                <w:szCs w:val="24"/>
                <w:lang w:val="en-GB"/>
              </w:rPr>
              <w:t>Emissions avoided through recycling are modelled to represent a share of the emissions intensities of production for paper, steel, aluminium, and plastics (tCO2e/t product; IEA 2014). The percentage reduction in production emissions varies by product with a range from 50% (paper products) to 80% (steel and aluminium). As new product efficiencies improve over time, avoided emissions from new production decrease based on IEA (2014).</w:t>
            </w:r>
          </w:p>
          <w:p w14:paraId="137FC4A4" w14:textId="77777777" w:rsidR="000616F0" w:rsidRPr="00914BAB" w:rsidRDefault="000616F0" w:rsidP="00061339">
            <w:pPr>
              <w:pStyle w:val="NoSpacing"/>
              <w:rPr>
                <w:sz w:val="24"/>
                <w:szCs w:val="24"/>
                <w:lang w:val="en-GB"/>
              </w:rPr>
            </w:pPr>
          </w:p>
        </w:tc>
      </w:tr>
    </w:tbl>
    <w:p w14:paraId="7BF048F0" w14:textId="77777777" w:rsidR="000616F0" w:rsidRPr="00914BAB" w:rsidRDefault="000616F0" w:rsidP="000616F0">
      <w:pPr>
        <w:rPr>
          <w:b/>
          <w:sz w:val="24"/>
        </w:rPr>
      </w:pPr>
    </w:p>
    <w:p w14:paraId="2AC80EE0" w14:textId="035020CD" w:rsidR="000616F0" w:rsidRPr="00914BAB" w:rsidRDefault="000616F0" w:rsidP="000616F0">
      <w:pPr>
        <w:pStyle w:val="Heading2"/>
        <w:rPr>
          <w:szCs w:val="24"/>
        </w:rPr>
      </w:pPr>
      <w:bookmarkStart w:id="11" w:name="_Toc292953278"/>
      <w:r w:rsidRPr="00914BAB">
        <w:rPr>
          <w:szCs w:val="24"/>
        </w:rPr>
        <w:t>Urban Action Data Sources and Assumptions</w:t>
      </w:r>
      <w:bookmarkEnd w:id="11"/>
    </w:p>
    <w:p w14:paraId="57EF79A5" w14:textId="77777777" w:rsidR="000616F0" w:rsidRPr="00914BAB" w:rsidRDefault="000616F0" w:rsidP="005914B3">
      <w:pPr>
        <w:pStyle w:val="Heading3"/>
        <w:rPr>
          <w:sz w:val="24"/>
        </w:rPr>
      </w:pPr>
      <w:bookmarkStart w:id="12" w:name="_Toc292953279"/>
      <w:r w:rsidRPr="00914BAB">
        <w:rPr>
          <w:sz w:val="24"/>
        </w:rPr>
        <w:t>Buildings: Commercial and Residential</w:t>
      </w:r>
      <w:bookmarkEnd w:id="12"/>
    </w:p>
    <w:tbl>
      <w:tblPr>
        <w:tblStyle w:val="TableGrid"/>
        <w:tblW w:w="8897" w:type="dxa"/>
        <w:tblLook w:val="04A0" w:firstRow="1" w:lastRow="0" w:firstColumn="1" w:lastColumn="0" w:noHBand="0" w:noVBand="1"/>
      </w:tblPr>
      <w:tblGrid>
        <w:gridCol w:w="1384"/>
        <w:gridCol w:w="2977"/>
        <w:gridCol w:w="4536"/>
      </w:tblGrid>
      <w:tr w:rsidR="000616F0" w:rsidRPr="00914BAB" w14:paraId="63049385" w14:textId="77777777" w:rsidTr="007079A3">
        <w:trPr>
          <w:trHeight w:val="441"/>
        </w:trPr>
        <w:tc>
          <w:tcPr>
            <w:tcW w:w="1384" w:type="dxa"/>
          </w:tcPr>
          <w:p w14:paraId="2C87D51A" w14:textId="77777777" w:rsidR="000616F0" w:rsidRPr="00914BAB" w:rsidRDefault="000616F0" w:rsidP="000616F0">
            <w:pPr>
              <w:rPr>
                <w:b/>
                <w:sz w:val="24"/>
                <w:szCs w:val="24"/>
                <w:lang w:val="en-GB"/>
              </w:rPr>
            </w:pPr>
          </w:p>
        </w:tc>
        <w:tc>
          <w:tcPr>
            <w:tcW w:w="2977" w:type="dxa"/>
          </w:tcPr>
          <w:p w14:paraId="72071531" w14:textId="77777777" w:rsidR="000616F0" w:rsidRPr="00914BAB" w:rsidRDefault="000616F0" w:rsidP="00061339">
            <w:pPr>
              <w:pStyle w:val="NoSpacing"/>
              <w:rPr>
                <w:b/>
                <w:bCs/>
                <w:sz w:val="24"/>
                <w:szCs w:val="24"/>
                <w:lang w:val="en-GB"/>
              </w:rPr>
            </w:pPr>
            <w:r w:rsidRPr="00914BAB">
              <w:rPr>
                <w:b/>
                <w:bCs/>
                <w:sz w:val="24"/>
                <w:szCs w:val="24"/>
                <w:lang w:val="en-GB"/>
              </w:rPr>
              <w:t>Mitigation - assumptions and data</w:t>
            </w:r>
            <w:r w:rsidRPr="00914BAB">
              <w:rPr>
                <w:rStyle w:val="FootnoteReference"/>
                <w:b/>
                <w:bCs/>
                <w:sz w:val="24"/>
                <w:szCs w:val="24"/>
                <w:lang w:val="en-GB"/>
              </w:rPr>
              <w:footnoteReference w:id="15"/>
            </w:r>
          </w:p>
        </w:tc>
        <w:tc>
          <w:tcPr>
            <w:tcW w:w="4536" w:type="dxa"/>
          </w:tcPr>
          <w:p w14:paraId="14C4F556" w14:textId="77777777" w:rsidR="000616F0" w:rsidRPr="00914BAB" w:rsidRDefault="000616F0" w:rsidP="00061339">
            <w:pPr>
              <w:pStyle w:val="NoSpacing"/>
              <w:rPr>
                <w:b/>
                <w:bCs/>
                <w:sz w:val="24"/>
                <w:szCs w:val="24"/>
                <w:lang w:val="en-GB"/>
              </w:rPr>
            </w:pPr>
            <w:r w:rsidRPr="00914BAB">
              <w:rPr>
                <w:b/>
                <w:bCs/>
                <w:sz w:val="24"/>
                <w:szCs w:val="24"/>
                <w:lang w:val="en-GB"/>
              </w:rPr>
              <w:t>Costs - assumptions and data</w:t>
            </w:r>
          </w:p>
        </w:tc>
      </w:tr>
      <w:tr w:rsidR="000616F0" w:rsidRPr="00914BAB" w14:paraId="36DD8F4E" w14:textId="77777777" w:rsidTr="007079A3">
        <w:trPr>
          <w:trHeight w:val="441"/>
        </w:trPr>
        <w:tc>
          <w:tcPr>
            <w:tcW w:w="1384" w:type="dxa"/>
          </w:tcPr>
          <w:p w14:paraId="419C46C2" w14:textId="77777777" w:rsidR="000616F0" w:rsidRPr="00914BAB" w:rsidRDefault="000616F0" w:rsidP="00061339">
            <w:pPr>
              <w:pStyle w:val="NoSpacing"/>
              <w:rPr>
                <w:b/>
                <w:bCs/>
                <w:sz w:val="24"/>
                <w:szCs w:val="24"/>
                <w:lang w:val="en-GB"/>
              </w:rPr>
            </w:pPr>
            <w:r w:rsidRPr="00914BAB">
              <w:rPr>
                <w:b/>
                <w:bCs/>
                <w:sz w:val="24"/>
                <w:szCs w:val="24"/>
                <w:lang w:val="en-GB"/>
              </w:rPr>
              <w:t>New building heating efficiency</w:t>
            </w:r>
          </w:p>
        </w:tc>
        <w:tc>
          <w:tcPr>
            <w:tcW w:w="2977" w:type="dxa"/>
          </w:tcPr>
          <w:p w14:paraId="23535A78" w14:textId="77777777" w:rsidR="000616F0" w:rsidRPr="00914BAB" w:rsidRDefault="000616F0" w:rsidP="00061339">
            <w:pPr>
              <w:pStyle w:val="NoSpacing"/>
              <w:rPr>
                <w:sz w:val="24"/>
                <w:szCs w:val="24"/>
                <w:lang w:val="en-GB"/>
              </w:rPr>
            </w:pPr>
            <w:r w:rsidRPr="00914BAB">
              <w:rPr>
                <w:sz w:val="24"/>
                <w:szCs w:val="24"/>
                <w:lang w:val="en-GB"/>
              </w:rPr>
              <w:t>New buildings are constructed at passive levels, with heating requirements no less than 30 kWh/m</w:t>
            </w:r>
            <w:r w:rsidRPr="00914BAB">
              <w:rPr>
                <w:sz w:val="24"/>
                <w:szCs w:val="24"/>
                <w:vertAlign w:val="superscript"/>
                <w:lang w:val="en-GB"/>
              </w:rPr>
              <w:t>2</w:t>
            </w:r>
            <w:r w:rsidRPr="00914BAB">
              <w:rPr>
                <w:sz w:val="24"/>
                <w:szCs w:val="24"/>
                <w:lang w:val="en-GB"/>
              </w:rPr>
              <w:t xml:space="preserve"> from 2020 to 2030 and 15 kWh/m</w:t>
            </w:r>
            <w:r w:rsidRPr="00914BAB">
              <w:rPr>
                <w:sz w:val="24"/>
                <w:szCs w:val="24"/>
                <w:vertAlign w:val="superscript"/>
                <w:lang w:val="en-GB"/>
              </w:rPr>
              <w:t>2</w:t>
            </w:r>
            <w:r w:rsidRPr="00914BAB">
              <w:rPr>
                <w:sz w:val="24"/>
                <w:szCs w:val="24"/>
                <w:lang w:val="en-GB"/>
              </w:rPr>
              <w:t xml:space="preserve"> through to 2050 (</w:t>
            </w:r>
            <w:proofErr w:type="spellStart"/>
            <w:r w:rsidRPr="00914BAB">
              <w:rPr>
                <w:sz w:val="24"/>
                <w:szCs w:val="24"/>
                <w:lang w:val="en-GB"/>
              </w:rPr>
              <w:t>Ürge-Vorsatz</w:t>
            </w:r>
            <w:proofErr w:type="spellEnd"/>
            <w:r w:rsidRPr="00914BAB">
              <w:rPr>
                <w:sz w:val="24"/>
                <w:szCs w:val="24"/>
                <w:lang w:val="en-GB"/>
              </w:rPr>
              <w:t xml:space="preserve"> et al. 2012).</w:t>
            </w:r>
          </w:p>
          <w:p w14:paraId="4FC266D7" w14:textId="77777777" w:rsidR="000616F0" w:rsidRPr="00914BAB" w:rsidRDefault="000616F0" w:rsidP="00061339">
            <w:pPr>
              <w:pStyle w:val="NoSpacing"/>
              <w:rPr>
                <w:sz w:val="24"/>
                <w:szCs w:val="24"/>
                <w:lang w:val="en-GB"/>
              </w:rPr>
            </w:pPr>
          </w:p>
          <w:p w14:paraId="6FF01740" w14:textId="77777777" w:rsidR="000616F0" w:rsidRPr="00914BAB" w:rsidRDefault="000616F0" w:rsidP="00061339">
            <w:pPr>
              <w:pStyle w:val="NoSpacing"/>
              <w:rPr>
                <w:sz w:val="24"/>
                <w:szCs w:val="24"/>
                <w:lang w:val="en-GB"/>
              </w:rPr>
            </w:pPr>
          </w:p>
        </w:tc>
        <w:tc>
          <w:tcPr>
            <w:tcW w:w="4536" w:type="dxa"/>
          </w:tcPr>
          <w:p w14:paraId="68B8E796" w14:textId="77777777" w:rsidR="000616F0" w:rsidRPr="00914BAB" w:rsidRDefault="000616F0" w:rsidP="00061339">
            <w:pPr>
              <w:pStyle w:val="NoSpacing"/>
              <w:rPr>
                <w:sz w:val="24"/>
                <w:szCs w:val="24"/>
                <w:lang w:val="en-GB"/>
              </w:rPr>
            </w:pPr>
            <w:r w:rsidRPr="00914BAB">
              <w:rPr>
                <w:sz w:val="24"/>
                <w:szCs w:val="24"/>
                <w:lang w:val="en-GB"/>
              </w:rPr>
              <w:t>Additional construction costs per m</w:t>
            </w:r>
            <w:r w:rsidRPr="00914BAB">
              <w:rPr>
                <w:sz w:val="24"/>
                <w:szCs w:val="24"/>
                <w:vertAlign w:val="superscript"/>
                <w:lang w:val="en-GB"/>
              </w:rPr>
              <w:t>2</w:t>
            </w:r>
            <w:r w:rsidRPr="00914BAB">
              <w:rPr>
                <w:rFonts w:cs="Times"/>
                <w:sz w:val="24"/>
                <w:szCs w:val="24"/>
                <w:lang w:val="en-GB"/>
              </w:rPr>
              <w:t xml:space="preserve"> floor space—</w:t>
            </w:r>
            <w:r w:rsidRPr="00914BAB">
              <w:rPr>
                <w:sz w:val="24"/>
                <w:szCs w:val="24"/>
                <w:lang w:val="en-GB"/>
              </w:rPr>
              <w:t>above those of the standard new buildings assumed in the baseline scenario</w:t>
            </w:r>
            <w:r w:rsidRPr="00914BAB">
              <w:rPr>
                <w:rFonts w:cs="Times"/>
                <w:sz w:val="24"/>
                <w:szCs w:val="24"/>
                <w:lang w:val="en-GB"/>
              </w:rPr>
              <w:t>—</w:t>
            </w:r>
            <w:r w:rsidRPr="00914BAB">
              <w:rPr>
                <w:sz w:val="24"/>
                <w:szCs w:val="24"/>
                <w:lang w:val="en-GB"/>
              </w:rPr>
              <w:t xml:space="preserve">are obtained from </w:t>
            </w:r>
            <w:proofErr w:type="spellStart"/>
            <w:r w:rsidRPr="00914BAB">
              <w:rPr>
                <w:sz w:val="24"/>
                <w:szCs w:val="24"/>
                <w:lang w:val="en-GB"/>
              </w:rPr>
              <w:t>Ürge-Vorsatz</w:t>
            </w:r>
            <w:proofErr w:type="spellEnd"/>
            <w:r w:rsidRPr="00914BAB">
              <w:rPr>
                <w:sz w:val="24"/>
                <w:szCs w:val="24"/>
                <w:lang w:val="en-GB"/>
              </w:rPr>
              <w:t xml:space="preserve"> et al. (2015). These are disaggregated regionally and by building type (single- and multi-family and commercial). </w:t>
            </w:r>
          </w:p>
          <w:p w14:paraId="189950B8" w14:textId="77777777" w:rsidR="000616F0" w:rsidRPr="00914BAB" w:rsidRDefault="000616F0" w:rsidP="00061339">
            <w:pPr>
              <w:pStyle w:val="NoSpacing"/>
              <w:rPr>
                <w:sz w:val="24"/>
                <w:szCs w:val="24"/>
                <w:lang w:val="en-GB"/>
              </w:rPr>
            </w:pPr>
          </w:p>
          <w:p w14:paraId="4CBA538C" w14:textId="40A2DEF6" w:rsidR="000616F0" w:rsidRPr="00914BAB" w:rsidRDefault="000616F0" w:rsidP="00212796">
            <w:pPr>
              <w:pStyle w:val="NoSpacing"/>
              <w:rPr>
                <w:sz w:val="24"/>
                <w:szCs w:val="24"/>
                <w:lang w:val="en-GB"/>
              </w:rPr>
            </w:pPr>
            <w:r w:rsidRPr="00914BAB">
              <w:rPr>
                <w:sz w:val="24"/>
                <w:szCs w:val="24"/>
                <w:lang w:val="en-GB"/>
              </w:rPr>
              <w:t>Technological learning is assumed to reduce real costs of passive, high efficiency builds by 50% by 2050 (</w:t>
            </w:r>
            <w:proofErr w:type="spellStart"/>
            <w:r w:rsidRPr="00914BAB">
              <w:rPr>
                <w:sz w:val="24"/>
                <w:szCs w:val="24"/>
                <w:lang w:val="en-GB"/>
              </w:rPr>
              <w:t>Ürge-Vorsatz</w:t>
            </w:r>
            <w:proofErr w:type="spellEnd"/>
            <w:r w:rsidRPr="00914BAB">
              <w:rPr>
                <w:sz w:val="24"/>
                <w:szCs w:val="24"/>
                <w:lang w:val="en-GB"/>
              </w:rPr>
              <w:t xml:space="preserve"> et al. 2015) </w:t>
            </w:r>
            <w:r w:rsidRPr="00914BAB">
              <w:rPr>
                <w:sz w:val="24"/>
                <w:szCs w:val="24"/>
                <w:lang w:val="en-GB"/>
              </w:rPr>
              <w:lastRenderedPageBreak/>
              <w:t>and this is modelled by implementing a constant decrease in prices of 1.71% per year.</w:t>
            </w:r>
            <w:r w:rsidR="00DB2456" w:rsidRPr="00914BAB">
              <w:rPr>
                <w:sz w:val="24"/>
                <w:szCs w:val="24"/>
                <w:lang w:val="en-GB"/>
              </w:rPr>
              <w:t xml:space="preserve"> For the case of higher learning we increase this rate such that the costs decrease by 60% by 2050, </w:t>
            </w:r>
            <w:r w:rsidR="00212796" w:rsidRPr="00914BAB">
              <w:rPr>
                <w:sz w:val="24"/>
                <w:szCs w:val="24"/>
                <w:lang w:val="en-GB"/>
              </w:rPr>
              <w:t>in line with the upper limit used by</w:t>
            </w:r>
            <w:r w:rsidR="00DB2456" w:rsidRPr="00914BAB">
              <w:rPr>
                <w:sz w:val="24"/>
                <w:szCs w:val="24"/>
                <w:lang w:val="en-GB"/>
              </w:rPr>
              <w:t xml:space="preserve"> GBPN.</w:t>
            </w:r>
          </w:p>
          <w:p w14:paraId="2323FE3F" w14:textId="77777777" w:rsidR="000616F0" w:rsidRPr="00914BAB" w:rsidRDefault="000616F0" w:rsidP="00061339">
            <w:pPr>
              <w:pStyle w:val="NoSpacing"/>
              <w:rPr>
                <w:sz w:val="24"/>
                <w:szCs w:val="24"/>
                <w:lang w:val="en-GB"/>
              </w:rPr>
            </w:pPr>
          </w:p>
        </w:tc>
      </w:tr>
      <w:tr w:rsidR="000616F0" w:rsidRPr="00914BAB" w14:paraId="3DD90FFA" w14:textId="77777777" w:rsidTr="007079A3">
        <w:trPr>
          <w:trHeight w:val="441"/>
        </w:trPr>
        <w:tc>
          <w:tcPr>
            <w:tcW w:w="1384" w:type="dxa"/>
          </w:tcPr>
          <w:p w14:paraId="6CCF63B2" w14:textId="77777777" w:rsidR="000616F0" w:rsidRPr="00914BAB" w:rsidRDefault="000616F0" w:rsidP="00061339">
            <w:pPr>
              <w:pStyle w:val="NoSpacing"/>
              <w:rPr>
                <w:b/>
                <w:bCs/>
                <w:sz w:val="24"/>
                <w:szCs w:val="24"/>
                <w:lang w:val="en-GB"/>
              </w:rPr>
            </w:pPr>
            <w:r w:rsidRPr="00914BAB">
              <w:rPr>
                <w:b/>
                <w:bCs/>
                <w:sz w:val="24"/>
                <w:szCs w:val="24"/>
                <w:lang w:val="en-GB"/>
              </w:rPr>
              <w:lastRenderedPageBreak/>
              <w:t>Heating retrofits</w:t>
            </w:r>
          </w:p>
        </w:tc>
        <w:tc>
          <w:tcPr>
            <w:tcW w:w="2977" w:type="dxa"/>
          </w:tcPr>
          <w:p w14:paraId="6B30A4FD" w14:textId="77777777" w:rsidR="000616F0" w:rsidRPr="00914BAB" w:rsidRDefault="000616F0" w:rsidP="00061339">
            <w:pPr>
              <w:pStyle w:val="NoSpacing"/>
              <w:rPr>
                <w:sz w:val="24"/>
                <w:szCs w:val="24"/>
                <w:lang w:val="en-GB"/>
              </w:rPr>
            </w:pPr>
            <w:r w:rsidRPr="00914BAB">
              <w:rPr>
                <w:sz w:val="24"/>
                <w:szCs w:val="24"/>
                <w:lang w:val="en-GB"/>
              </w:rPr>
              <w:t>An aggressive building retrofit program begins in 2015, which upgrades 1.4% to 3% of building stock per year such that all existing buildings are upgraded by 2040. This reduces their energy intensity by 30–40% compared with the baseline scenario and includes heat pumps in mid-latitude countries. This action scenario is guided by GBPN’s analysis (</w:t>
            </w:r>
            <w:proofErr w:type="spellStart"/>
            <w:r w:rsidRPr="00914BAB">
              <w:rPr>
                <w:sz w:val="24"/>
                <w:szCs w:val="24"/>
                <w:lang w:val="en-GB"/>
              </w:rPr>
              <w:t>Ürge-Vorsatz</w:t>
            </w:r>
            <w:proofErr w:type="spellEnd"/>
            <w:r w:rsidRPr="00914BAB">
              <w:rPr>
                <w:sz w:val="24"/>
                <w:szCs w:val="24"/>
                <w:lang w:val="en-GB"/>
              </w:rPr>
              <w:t xml:space="preserve"> et al. 2012).</w:t>
            </w:r>
          </w:p>
          <w:p w14:paraId="44366B88" w14:textId="77777777" w:rsidR="000616F0" w:rsidRPr="00914BAB" w:rsidRDefault="000616F0" w:rsidP="00061339">
            <w:pPr>
              <w:pStyle w:val="NoSpacing"/>
              <w:rPr>
                <w:sz w:val="24"/>
                <w:szCs w:val="24"/>
                <w:lang w:val="en-GB"/>
              </w:rPr>
            </w:pPr>
          </w:p>
          <w:p w14:paraId="76C8105A" w14:textId="77777777" w:rsidR="000616F0" w:rsidRPr="00914BAB" w:rsidRDefault="000616F0" w:rsidP="00061339">
            <w:pPr>
              <w:pStyle w:val="NoSpacing"/>
              <w:rPr>
                <w:sz w:val="24"/>
                <w:szCs w:val="24"/>
                <w:lang w:val="en-GB"/>
              </w:rPr>
            </w:pPr>
          </w:p>
        </w:tc>
        <w:tc>
          <w:tcPr>
            <w:tcW w:w="4536" w:type="dxa"/>
          </w:tcPr>
          <w:p w14:paraId="742845A0" w14:textId="70DCAA15" w:rsidR="000616F0" w:rsidRPr="00914BAB" w:rsidRDefault="000616F0" w:rsidP="00061339">
            <w:pPr>
              <w:pStyle w:val="NoSpacing"/>
              <w:rPr>
                <w:sz w:val="24"/>
                <w:szCs w:val="24"/>
                <w:lang w:val="en-GB"/>
              </w:rPr>
            </w:pPr>
            <w:r w:rsidRPr="00914BAB">
              <w:rPr>
                <w:sz w:val="24"/>
                <w:szCs w:val="24"/>
                <w:lang w:val="en-GB"/>
              </w:rPr>
              <w:t xml:space="preserve">Costs are obtained from </w:t>
            </w:r>
            <w:proofErr w:type="spellStart"/>
            <w:r w:rsidRPr="00914BAB">
              <w:rPr>
                <w:sz w:val="24"/>
                <w:szCs w:val="24"/>
                <w:lang w:val="en-GB"/>
              </w:rPr>
              <w:t>Ürge-Vorsatz</w:t>
            </w:r>
            <w:proofErr w:type="spellEnd"/>
            <w:r w:rsidRPr="00914BAB">
              <w:rPr>
                <w:sz w:val="24"/>
                <w:szCs w:val="24"/>
                <w:lang w:val="en-GB"/>
              </w:rPr>
              <w:t xml:space="preserve"> et al. (2015) and are assumed to be the additional costs per m</w:t>
            </w:r>
            <w:r w:rsidRPr="00914BAB">
              <w:rPr>
                <w:sz w:val="24"/>
                <w:szCs w:val="24"/>
                <w:vertAlign w:val="superscript"/>
                <w:lang w:val="en-GB"/>
              </w:rPr>
              <w:t>2</w:t>
            </w:r>
            <w:r w:rsidRPr="00914BAB">
              <w:rPr>
                <w:sz w:val="24"/>
                <w:szCs w:val="24"/>
                <w:lang w:val="en-GB"/>
              </w:rPr>
              <w:t xml:space="preserve"> floor space of deep retrofits as compared to shallow, minimal retrofits. Again, these costs are dis</w:t>
            </w:r>
            <w:r w:rsidR="007079A3">
              <w:rPr>
                <w:sz w:val="24"/>
                <w:szCs w:val="24"/>
                <w:lang w:val="en-GB"/>
              </w:rPr>
              <w:t>-</w:t>
            </w:r>
            <w:r w:rsidRPr="00914BAB">
              <w:rPr>
                <w:sz w:val="24"/>
                <w:szCs w:val="24"/>
                <w:lang w:val="en-GB"/>
              </w:rPr>
              <w:t>aggregated regionally and by building type (single- and multi-family and commercial).</w:t>
            </w:r>
          </w:p>
          <w:p w14:paraId="480411EC" w14:textId="77777777" w:rsidR="000616F0" w:rsidRPr="00914BAB" w:rsidRDefault="000616F0" w:rsidP="00061339">
            <w:pPr>
              <w:pStyle w:val="NoSpacing"/>
              <w:rPr>
                <w:sz w:val="24"/>
                <w:szCs w:val="24"/>
                <w:lang w:val="en-GB"/>
              </w:rPr>
            </w:pPr>
          </w:p>
          <w:p w14:paraId="5F305BE1" w14:textId="77777777" w:rsidR="000616F0" w:rsidRPr="00914BAB" w:rsidRDefault="000616F0" w:rsidP="00061339">
            <w:pPr>
              <w:pStyle w:val="NoSpacing"/>
              <w:rPr>
                <w:sz w:val="24"/>
                <w:szCs w:val="24"/>
                <w:lang w:val="en-GB"/>
              </w:rPr>
            </w:pPr>
            <w:r w:rsidRPr="00914BAB">
              <w:rPr>
                <w:sz w:val="24"/>
                <w:szCs w:val="24"/>
                <w:lang w:val="en-GB"/>
              </w:rPr>
              <w:t>Technological learning for retrofits—and the consequent rate of price decreases—is assumed to occur at the same rate as for new builds.</w:t>
            </w:r>
          </w:p>
          <w:p w14:paraId="25629E43" w14:textId="77777777" w:rsidR="000616F0" w:rsidRDefault="000616F0" w:rsidP="00061339">
            <w:pPr>
              <w:pStyle w:val="NoSpacing"/>
              <w:rPr>
                <w:sz w:val="24"/>
                <w:szCs w:val="24"/>
                <w:lang w:val="en-GB"/>
              </w:rPr>
            </w:pPr>
          </w:p>
          <w:p w14:paraId="5D41BC13" w14:textId="4EB44531" w:rsidR="007079A3" w:rsidRPr="00914BAB" w:rsidRDefault="005043BA" w:rsidP="005043BA">
            <w:pPr>
              <w:pStyle w:val="NoSpacing"/>
              <w:rPr>
                <w:sz w:val="24"/>
                <w:szCs w:val="24"/>
                <w:lang w:val="en-GB"/>
              </w:rPr>
            </w:pPr>
            <w:r>
              <w:rPr>
                <w:sz w:val="24"/>
                <w:szCs w:val="24"/>
                <w:lang w:val="en-GB"/>
              </w:rPr>
              <w:t>While this scenario is realistic and based upon thorough and extensive studies by GPBN, the focus on deep retrofits implies that it is relatively ambitious. It would thus likely require significant policy action to avoid only shallow retrofit work being undertaken, which can make such deeper retrofits more difficult in the longer-term.</w:t>
            </w:r>
          </w:p>
        </w:tc>
      </w:tr>
      <w:tr w:rsidR="000616F0" w:rsidRPr="00914BAB" w14:paraId="4F43C29B" w14:textId="77777777" w:rsidTr="007079A3">
        <w:trPr>
          <w:trHeight w:val="441"/>
        </w:trPr>
        <w:tc>
          <w:tcPr>
            <w:tcW w:w="1384" w:type="dxa"/>
          </w:tcPr>
          <w:p w14:paraId="4B46B2F3" w14:textId="77777777" w:rsidR="000616F0" w:rsidRPr="00914BAB" w:rsidRDefault="000616F0" w:rsidP="00061339">
            <w:pPr>
              <w:pStyle w:val="NoSpacing"/>
              <w:rPr>
                <w:b/>
                <w:bCs/>
                <w:sz w:val="24"/>
                <w:szCs w:val="24"/>
                <w:lang w:val="en-GB"/>
              </w:rPr>
            </w:pPr>
            <w:r w:rsidRPr="00914BAB">
              <w:rPr>
                <w:b/>
                <w:bCs/>
                <w:sz w:val="24"/>
                <w:szCs w:val="24"/>
                <w:lang w:val="en-GB"/>
              </w:rPr>
              <w:t>Appliances and lighting</w:t>
            </w:r>
          </w:p>
        </w:tc>
        <w:tc>
          <w:tcPr>
            <w:tcW w:w="2977" w:type="dxa"/>
          </w:tcPr>
          <w:p w14:paraId="724BF8E7" w14:textId="77777777" w:rsidR="000616F0" w:rsidRPr="00914BAB" w:rsidRDefault="000616F0" w:rsidP="00061339">
            <w:pPr>
              <w:pStyle w:val="NoSpacing"/>
              <w:rPr>
                <w:sz w:val="24"/>
                <w:szCs w:val="24"/>
                <w:lang w:val="en-GB"/>
              </w:rPr>
            </w:pPr>
            <w:r w:rsidRPr="00914BAB">
              <w:rPr>
                <w:sz w:val="24"/>
                <w:szCs w:val="24"/>
                <w:lang w:val="en-GB"/>
              </w:rPr>
              <w:t>Aggressive deployment of efficient lighting and appliances is assumed, based on the IEA’s 2DS scenario (IEA 2014a).</w:t>
            </w:r>
          </w:p>
          <w:p w14:paraId="6798B3F2" w14:textId="77777777" w:rsidR="000616F0" w:rsidRPr="00914BAB" w:rsidRDefault="000616F0" w:rsidP="00061339">
            <w:pPr>
              <w:pStyle w:val="NoSpacing"/>
              <w:rPr>
                <w:sz w:val="24"/>
                <w:szCs w:val="24"/>
                <w:lang w:val="en-GB"/>
              </w:rPr>
            </w:pPr>
          </w:p>
          <w:p w14:paraId="683C38D5" w14:textId="77777777" w:rsidR="000616F0" w:rsidRPr="00914BAB" w:rsidRDefault="000616F0" w:rsidP="00061339">
            <w:pPr>
              <w:pStyle w:val="NoSpacing"/>
              <w:rPr>
                <w:sz w:val="24"/>
                <w:szCs w:val="24"/>
                <w:lang w:val="en-GB"/>
              </w:rPr>
            </w:pPr>
          </w:p>
        </w:tc>
        <w:tc>
          <w:tcPr>
            <w:tcW w:w="4536" w:type="dxa"/>
          </w:tcPr>
          <w:p w14:paraId="695D2F20" w14:textId="74CF3839" w:rsidR="000616F0" w:rsidRPr="00914BAB" w:rsidRDefault="000616F0" w:rsidP="00061339">
            <w:pPr>
              <w:pStyle w:val="NoSpacing"/>
              <w:rPr>
                <w:sz w:val="24"/>
                <w:szCs w:val="24"/>
                <w:lang w:val="en-GB"/>
              </w:rPr>
            </w:pPr>
            <w:r w:rsidRPr="00914BAB">
              <w:rPr>
                <w:sz w:val="24"/>
                <w:szCs w:val="24"/>
                <w:lang w:val="en-GB"/>
              </w:rPr>
              <w:t>Additional costs of high efficiency appliances and lighting per unit of useful energy output ($/toe)</w:t>
            </w:r>
            <w:r w:rsidRPr="00914BAB">
              <w:rPr>
                <w:rFonts w:cs="Times"/>
                <w:sz w:val="24"/>
                <w:szCs w:val="24"/>
                <w:lang w:val="en-GB"/>
              </w:rPr>
              <w:t>—</w:t>
            </w:r>
            <w:r w:rsidRPr="00914BAB">
              <w:rPr>
                <w:sz w:val="24"/>
                <w:szCs w:val="24"/>
                <w:lang w:val="en-GB"/>
              </w:rPr>
              <w:t>relative to standard technologies</w:t>
            </w:r>
            <w:r w:rsidRPr="00914BAB">
              <w:rPr>
                <w:rFonts w:cs="Times"/>
                <w:sz w:val="24"/>
                <w:szCs w:val="24"/>
                <w:lang w:val="en-GB"/>
              </w:rPr>
              <w:t>—</w:t>
            </w:r>
            <w:r w:rsidRPr="00914BAB">
              <w:rPr>
                <w:sz w:val="24"/>
                <w:szCs w:val="24"/>
                <w:lang w:val="en-GB"/>
              </w:rPr>
              <w:t xml:space="preserve">are obtained from the World Energy Investment Outlook (IEA 2014c). Regional variations in construction costs for efficient buildings from </w:t>
            </w:r>
            <w:proofErr w:type="spellStart"/>
            <w:r w:rsidRPr="00914BAB">
              <w:rPr>
                <w:sz w:val="24"/>
                <w:szCs w:val="24"/>
                <w:lang w:val="en-GB"/>
              </w:rPr>
              <w:t>Ürge-Vorsatz</w:t>
            </w:r>
            <w:proofErr w:type="spellEnd"/>
            <w:r w:rsidRPr="00914BAB">
              <w:rPr>
                <w:sz w:val="24"/>
                <w:szCs w:val="24"/>
                <w:lang w:val="en-GB"/>
              </w:rPr>
              <w:t xml:space="preserve"> et al. (2015) are taken as an index to estimate regional variations of costs for appliances and lighting. Splits of energy use between appliances and lighting</w:t>
            </w:r>
            <w:r w:rsidRPr="00914BAB">
              <w:rPr>
                <w:rFonts w:cs="Times"/>
                <w:sz w:val="24"/>
                <w:szCs w:val="24"/>
                <w:lang w:val="en-GB"/>
              </w:rPr>
              <w:t>—</w:t>
            </w:r>
            <w:r w:rsidRPr="00914BAB">
              <w:rPr>
                <w:sz w:val="24"/>
                <w:szCs w:val="24"/>
                <w:lang w:val="en-GB"/>
              </w:rPr>
              <w:t>in commercial and residential sectors and at the OECD and non-OECD levels</w:t>
            </w:r>
            <w:r w:rsidRPr="00914BAB">
              <w:rPr>
                <w:rFonts w:cs="Times"/>
                <w:sz w:val="24"/>
                <w:szCs w:val="24"/>
                <w:lang w:val="en-GB"/>
              </w:rPr>
              <w:t>—are</w:t>
            </w:r>
            <w:r w:rsidRPr="00914BAB">
              <w:rPr>
                <w:sz w:val="24"/>
                <w:szCs w:val="24"/>
                <w:lang w:val="en-GB"/>
              </w:rPr>
              <w:t xml:space="preserve"> obtained from the IEA’s 2DS scenario (IEA 2014a). </w:t>
            </w:r>
          </w:p>
          <w:p w14:paraId="36E5C01C" w14:textId="77777777" w:rsidR="000616F0" w:rsidRPr="00914BAB" w:rsidRDefault="000616F0" w:rsidP="00061339">
            <w:pPr>
              <w:pStyle w:val="NoSpacing"/>
              <w:rPr>
                <w:sz w:val="24"/>
                <w:szCs w:val="24"/>
                <w:lang w:val="en-GB"/>
              </w:rPr>
            </w:pPr>
          </w:p>
          <w:p w14:paraId="2707B1B7" w14:textId="47BE62E3" w:rsidR="000616F0" w:rsidRPr="00914BAB" w:rsidRDefault="000616F0" w:rsidP="008B07CF">
            <w:pPr>
              <w:pStyle w:val="NoSpacing"/>
              <w:rPr>
                <w:sz w:val="24"/>
                <w:szCs w:val="24"/>
                <w:lang w:val="en-GB"/>
              </w:rPr>
            </w:pPr>
            <w:r w:rsidRPr="00914BAB">
              <w:rPr>
                <w:sz w:val="24"/>
                <w:szCs w:val="24"/>
                <w:lang w:val="en-GB"/>
              </w:rPr>
              <w:t xml:space="preserve">Technological learning is assumed to decrease real costs of high efficiency appliances at a rate of 2.5% each year, which lies within the range of values </w:t>
            </w:r>
            <w:r w:rsidRPr="00914BAB">
              <w:rPr>
                <w:sz w:val="24"/>
                <w:szCs w:val="24"/>
                <w:lang w:val="en-GB"/>
              </w:rPr>
              <w:lastRenderedPageBreak/>
              <w:t>reported in the literature (</w:t>
            </w:r>
            <w:proofErr w:type="spellStart"/>
            <w:r w:rsidRPr="00914BAB">
              <w:rPr>
                <w:sz w:val="24"/>
                <w:szCs w:val="24"/>
                <w:lang w:val="en-GB"/>
              </w:rPr>
              <w:t>Desroches</w:t>
            </w:r>
            <w:proofErr w:type="spellEnd"/>
            <w:r w:rsidRPr="00914BAB">
              <w:rPr>
                <w:sz w:val="24"/>
                <w:szCs w:val="24"/>
                <w:lang w:val="en-GB"/>
              </w:rPr>
              <w:t xml:space="preserve"> et al. 2013)</w:t>
            </w:r>
            <w:r w:rsidR="004E5DBB" w:rsidRPr="00914BAB">
              <w:rPr>
                <w:sz w:val="24"/>
                <w:szCs w:val="24"/>
                <w:lang w:val="en-GB"/>
              </w:rPr>
              <w:t xml:space="preserve">. </w:t>
            </w:r>
            <w:r w:rsidR="005043BA">
              <w:rPr>
                <w:sz w:val="24"/>
                <w:szCs w:val="24"/>
                <w:lang w:val="en-GB"/>
              </w:rPr>
              <w:t xml:space="preserve">However, such learning rates are highly unpredictable and may also vary substantially between specific technologies. Our estimates may therefore be refined in future work, but are likely to always contain a significant degree of uncertainty.  To reflect these uncertainties, we increase this central learning rate of 2.5% by </w:t>
            </w:r>
            <w:r w:rsidR="00212796" w:rsidRPr="00914BAB">
              <w:rPr>
                <w:sz w:val="24"/>
                <w:szCs w:val="24"/>
                <w:lang w:val="en-GB"/>
              </w:rPr>
              <w:t>40% to 3.5% in the high learning scenario.</w:t>
            </w:r>
            <w:r w:rsidR="005043BA">
              <w:rPr>
                <w:sz w:val="24"/>
                <w:szCs w:val="24"/>
                <w:lang w:val="en-GB"/>
              </w:rPr>
              <w:t xml:space="preserve"> </w:t>
            </w:r>
          </w:p>
          <w:p w14:paraId="6D396E27" w14:textId="77777777" w:rsidR="000616F0" w:rsidRPr="00914BAB" w:rsidRDefault="000616F0" w:rsidP="00061339">
            <w:pPr>
              <w:pStyle w:val="NoSpacing"/>
              <w:rPr>
                <w:sz w:val="24"/>
                <w:szCs w:val="24"/>
                <w:lang w:val="en-GB"/>
              </w:rPr>
            </w:pPr>
          </w:p>
        </w:tc>
      </w:tr>
      <w:tr w:rsidR="000616F0" w:rsidRPr="00914BAB" w14:paraId="28806E44" w14:textId="77777777" w:rsidTr="007079A3">
        <w:trPr>
          <w:trHeight w:val="441"/>
        </w:trPr>
        <w:tc>
          <w:tcPr>
            <w:tcW w:w="1384" w:type="dxa"/>
          </w:tcPr>
          <w:p w14:paraId="758D98A2" w14:textId="77777777" w:rsidR="000616F0" w:rsidRPr="00914BAB" w:rsidRDefault="000616F0" w:rsidP="00061339">
            <w:pPr>
              <w:pStyle w:val="NoSpacing"/>
              <w:rPr>
                <w:b/>
                <w:bCs/>
                <w:sz w:val="24"/>
                <w:szCs w:val="24"/>
                <w:lang w:val="en-GB"/>
              </w:rPr>
            </w:pPr>
            <w:r w:rsidRPr="00914BAB">
              <w:rPr>
                <w:b/>
                <w:bCs/>
                <w:sz w:val="24"/>
                <w:szCs w:val="24"/>
                <w:lang w:val="en-GB"/>
              </w:rPr>
              <w:lastRenderedPageBreak/>
              <w:t>Solar PV</w:t>
            </w:r>
          </w:p>
        </w:tc>
        <w:tc>
          <w:tcPr>
            <w:tcW w:w="2977" w:type="dxa"/>
          </w:tcPr>
          <w:p w14:paraId="5425875F" w14:textId="77777777" w:rsidR="000616F0" w:rsidRPr="00914BAB" w:rsidRDefault="000616F0" w:rsidP="00061339">
            <w:pPr>
              <w:pStyle w:val="NoSpacing"/>
              <w:rPr>
                <w:sz w:val="24"/>
                <w:szCs w:val="24"/>
                <w:lang w:val="en-GB"/>
              </w:rPr>
            </w:pPr>
            <w:r w:rsidRPr="00914BAB">
              <w:rPr>
                <w:sz w:val="24"/>
                <w:szCs w:val="24"/>
                <w:lang w:val="en-GB"/>
              </w:rPr>
              <w:t>An increasing deployment of building-mounted solar PV is projected, by assuming that half of the solar PV in IEA’s 2DS scenario (IEA 2014a) is distributed PV, and that this distributed PV is deployed in urban areas in proportion to the share of urban population in each region.</w:t>
            </w:r>
          </w:p>
          <w:p w14:paraId="3EC71F8E" w14:textId="77777777" w:rsidR="000616F0" w:rsidRPr="00914BAB" w:rsidRDefault="000616F0" w:rsidP="00061339">
            <w:pPr>
              <w:pStyle w:val="NoSpacing"/>
              <w:rPr>
                <w:sz w:val="24"/>
                <w:szCs w:val="24"/>
                <w:lang w:val="en-GB"/>
              </w:rPr>
            </w:pPr>
          </w:p>
          <w:p w14:paraId="78124E78" w14:textId="77777777" w:rsidR="000616F0" w:rsidRPr="00914BAB" w:rsidRDefault="000616F0" w:rsidP="00061339">
            <w:pPr>
              <w:pStyle w:val="NoSpacing"/>
              <w:rPr>
                <w:sz w:val="24"/>
                <w:szCs w:val="24"/>
                <w:lang w:val="en-GB"/>
              </w:rPr>
            </w:pPr>
          </w:p>
        </w:tc>
        <w:tc>
          <w:tcPr>
            <w:tcW w:w="4536" w:type="dxa"/>
          </w:tcPr>
          <w:p w14:paraId="71594129" w14:textId="32FB7BC8" w:rsidR="000616F0" w:rsidRPr="00914BAB" w:rsidRDefault="000616F0" w:rsidP="00061339">
            <w:pPr>
              <w:pStyle w:val="NoSpacing"/>
              <w:rPr>
                <w:sz w:val="24"/>
                <w:szCs w:val="24"/>
                <w:lang w:val="en-GB"/>
              </w:rPr>
            </w:pPr>
            <w:r w:rsidRPr="00914BAB">
              <w:rPr>
                <w:sz w:val="24"/>
                <w:szCs w:val="24"/>
                <w:lang w:val="en-GB"/>
              </w:rPr>
              <w:t>Investment costs and operation and maintenance costs per kW of installed capacity</w:t>
            </w:r>
            <w:r w:rsidRPr="00914BAB">
              <w:rPr>
                <w:sz w:val="24"/>
                <w:szCs w:val="24"/>
                <w:lang w:val="en-GB"/>
              </w:rPr>
              <w:softHyphen/>
            </w:r>
            <w:r w:rsidRPr="00914BAB">
              <w:rPr>
                <w:sz w:val="24"/>
                <w:szCs w:val="24"/>
                <w:lang w:val="en-GB"/>
              </w:rPr>
              <w:softHyphen/>
            </w:r>
            <w:r w:rsidRPr="00914BAB">
              <w:rPr>
                <w:rFonts w:cs="Times"/>
                <w:sz w:val="24"/>
                <w:szCs w:val="24"/>
                <w:lang w:val="en-GB"/>
              </w:rPr>
              <w:t>—and average capacity factors—</w:t>
            </w:r>
            <w:r w:rsidRPr="00914BAB">
              <w:rPr>
                <w:sz w:val="24"/>
                <w:szCs w:val="24"/>
                <w:lang w:val="en-GB"/>
              </w:rPr>
              <w:t>are obtained from the 450 Scenario of the IEA’s World Energy Outlook (IEA 2014b), which closely follows their 2DS scenario. Costs and capacity factors are disaggregated regionally and projected from 2012 – 2035 based upon the IEA forecasts, which account for</w:t>
            </w:r>
            <w:r w:rsidR="00CF7F2C">
              <w:rPr>
                <w:sz w:val="24"/>
                <w:szCs w:val="24"/>
                <w:lang w:val="en-GB"/>
              </w:rPr>
              <w:t xml:space="preserve"> different rates of</w:t>
            </w:r>
            <w:r w:rsidRPr="00914BAB">
              <w:rPr>
                <w:sz w:val="24"/>
                <w:szCs w:val="24"/>
                <w:lang w:val="en-GB"/>
              </w:rPr>
              <w:t xml:space="preserve"> technological learning and economies of scale</w:t>
            </w:r>
            <w:r w:rsidR="00CF7F2C">
              <w:rPr>
                <w:sz w:val="24"/>
                <w:szCs w:val="24"/>
                <w:lang w:val="en-GB"/>
              </w:rPr>
              <w:t xml:space="preserve"> (although, the inherent uncertainties surrounding learning rates discussed above for lighting and appliances apply equally here)</w:t>
            </w:r>
            <w:r w:rsidRPr="00914BAB">
              <w:rPr>
                <w:sz w:val="24"/>
                <w:szCs w:val="24"/>
                <w:lang w:val="en-GB"/>
              </w:rPr>
              <w:t>. Beyond 2035 costs are assumed to continue to change (linearly) at the same rates. Panel lifetimes are assumed to be 20 years.</w:t>
            </w:r>
          </w:p>
          <w:p w14:paraId="0825AD92" w14:textId="77777777" w:rsidR="000616F0" w:rsidRPr="00914BAB" w:rsidRDefault="000616F0" w:rsidP="00061339">
            <w:pPr>
              <w:pStyle w:val="NoSpacing"/>
              <w:rPr>
                <w:sz w:val="24"/>
                <w:szCs w:val="24"/>
                <w:lang w:val="en-GB"/>
              </w:rPr>
            </w:pPr>
          </w:p>
        </w:tc>
      </w:tr>
    </w:tbl>
    <w:p w14:paraId="6212F154" w14:textId="77777777" w:rsidR="000616F0" w:rsidRPr="00914BAB" w:rsidRDefault="000616F0" w:rsidP="000616F0">
      <w:pPr>
        <w:rPr>
          <w:b/>
          <w:sz w:val="24"/>
        </w:rPr>
      </w:pPr>
    </w:p>
    <w:p w14:paraId="0BC1206D" w14:textId="77777777" w:rsidR="000616F0" w:rsidRPr="00914BAB" w:rsidRDefault="000616F0" w:rsidP="005914B3">
      <w:pPr>
        <w:pStyle w:val="Heading3"/>
        <w:rPr>
          <w:sz w:val="24"/>
        </w:rPr>
      </w:pPr>
      <w:bookmarkStart w:id="13" w:name="_Toc292953280"/>
      <w:r w:rsidRPr="00914BAB">
        <w:rPr>
          <w:sz w:val="24"/>
        </w:rPr>
        <w:t>Passenger transport</w:t>
      </w:r>
      <w:bookmarkEnd w:id="13"/>
    </w:p>
    <w:tbl>
      <w:tblPr>
        <w:tblStyle w:val="TableGrid"/>
        <w:tblW w:w="8897" w:type="dxa"/>
        <w:tblLook w:val="04A0" w:firstRow="1" w:lastRow="0" w:firstColumn="1" w:lastColumn="0" w:noHBand="0" w:noVBand="1"/>
      </w:tblPr>
      <w:tblGrid>
        <w:gridCol w:w="1672"/>
        <w:gridCol w:w="2689"/>
        <w:gridCol w:w="4536"/>
      </w:tblGrid>
      <w:tr w:rsidR="000616F0" w:rsidRPr="00914BAB" w14:paraId="22E1A68B" w14:textId="77777777" w:rsidTr="007079A3">
        <w:trPr>
          <w:trHeight w:val="441"/>
        </w:trPr>
        <w:tc>
          <w:tcPr>
            <w:tcW w:w="1672" w:type="dxa"/>
          </w:tcPr>
          <w:p w14:paraId="72063D27" w14:textId="77777777" w:rsidR="000616F0" w:rsidRPr="00914BAB" w:rsidRDefault="000616F0" w:rsidP="000616F0">
            <w:pPr>
              <w:rPr>
                <w:b/>
                <w:sz w:val="24"/>
                <w:szCs w:val="24"/>
                <w:lang w:val="en-GB"/>
              </w:rPr>
            </w:pPr>
          </w:p>
        </w:tc>
        <w:tc>
          <w:tcPr>
            <w:tcW w:w="2689" w:type="dxa"/>
          </w:tcPr>
          <w:p w14:paraId="7464E545" w14:textId="77777777" w:rsidR="000616F0" w:rsidRPr="00914BAB" w:rsidRDefault="000616F0" w:rsidP="00061339">
            <w:pPr>
              <w:pStyle w:val="NoSpacing"/>
              <w:rPr>
                <w:b/>
                <w:bCs/>
                <w:sz w:val="24"/>
                <w:szCs w:val="24"/>
                <w:lang w:val="en-GB"/>
              </w:rPr>
            </w:pPr>
            <w:r w:rsidRPr="00914BAB">
              <w:rPr>
                <w:b/>
                <w:bCs/>
                <w:sz w:val="24"/>
                <w:szCs w:val="24"/>
                <w:lang w:val="en-GB"/>
              </w:rPr>
              <w:t>Mitigation - assumptions and data</w:t>
            </w:r>
            <w:r w:rsidRPr="00914BAB">
              <w:rPr>
                <w:rStyle w:val="FootnoteReference"/>
                <w:b/>
                <w:bCs/>
                <w:sz w:val="24"/>
                <w:szCs w:val="24"/>
                <w:lang w:val="en-GB"/>
              </w:rPr>
              <w:footnoteReference w:id="16"/>
            </w:r>
          </w:p>
        </w:tc>
        <w:tc>
          <w:tcPr>
            <w:tcW w:w="4536" w:type="dxa"/>
          </w:tcPr>
          <w:p w14:paraId="5DBC7BAE" w14:textId="77777777" w:rsidR="000616F0" w:rsidRPr="00914BAB" w:rsidRDefault="000616F0" w:rsidP="00061339">
            <w:pPr>
              <w:pStyle w:val="NoSpacing"/>
              <w:rPr>
                <w:b/>
                <w:bCs/>
                <w:sz w:val="24"/>
                <w:szCs w:val="24"/>
                <w:lang w:val="en-GB"/>
              </w:rPr>
            </w:pPr>
            <w:r w:rsidRPr="00914BAB">
              <w:rPr>
                <w:b/>
                <w:bCs/>
                <w:sz w:val="24"/>
                <w:szCs w:val="24"/>
                <w:lang w:val="en-GB"/>
              </w:rPr>
              <w:t>Costs - assumptions and data</w:t>
            </w:r>
          </w:p>
        </w:tc>
      </w:tr>
      <w:tr w:rsidR="000616F0" w:rsidRPr="00914BAB" w14:paraId="6A7211A7" w14:textId="77777777" w:rsidTr="007079A3">
        <w:trPr>
          <w:trHeight w:val="441"/>
        </w:trPr>
        <w:tc>
          <w:tcPr>
            <w:tcW w:w="1672" w:type="dxa"/>
          </w:tcPr>
          <w:p w14:paraId="45BEDE4A" w14:textId="77777777" w:rsidR="000616F0" w:rsidRPr="00914BAB" w:rsidRDefault="000616F0" w:rsidP="000616F0">
            <w:pPr>
              <w:rPr>
                <w:b/>
                <w:sz w:val="24"/>
                <w:szCs w:val="24"/>
                <w:lang w:val="en-GB"/>
              </w:rPr>
            </w:pPr>
            <w:r w:rsidRPr="00914BAB">
              <w:rPr>
                <w:b/>
                <w:sz w:val="24"/>
                <w:szCs w:val="24"/>
                <w:lang w:val="en-GB"/>
              </w:rPr>
              <w:t>Passenger transport:</w:t>
            </w:r>
          </w:p>
          <w:p w14:paraId="466294C6" w14:textId="77777777" w:rsidR="000616F0" w:rsidRPr="00914BAB" w:rsidRDefault="000616F0" w:rsidP="000616F0">
            <w:pPr>
              <w:rPr>
                <w:b/>
                <w:sz w:val="24"/>
                <w:szCs w:val="24"/>
                <w:lang w:val="en-GB"/>
              </w:rPr>
            </w:pPr>
            <w:r w:rsidRPr="00914BAB">
              <w:rPr>
                <w:b/>
                <w:sz w:val="24"/>
                <w:szCs w:val="24"/>
                <w:lang w:val="en-GB"/>
              </w:rPr>
              <w:t xml:space="preserve"> </w:t>
            </w:r>
          </w:p>
          <w:p w14:paraId="4EF24C3E" w14:textId="77777777" w:rsidR="000616F0" w:rsidRPr="00914BAB" w:rsidRDefault="000616F0" w:rsidP="000616F0">
            <w:pPr>
              <w:rPr>
                <w:b/>
                <w:sz w:val="24"/>
                <w:szCs w:val="24"/>
                <w:lang w:val="en-GB"/>
              </w:rPr>
            </w:pPr>
            <w:r w:rsidRPr="00914BAB">
              <w:rPr>
                <w:b/>
                <w:sz w:val="24"/>
                <w:szCs w:val="24"/>
                <w:lang w:val="en-GB"/>
              </w:rPr>
              <w:t xml:space="preserve">Urban </w:t>
            </w:r>
            <w:r w:rsidRPr="00914BAB">
              <w:rPr>
                <w:b/>
                <w:sz w:val="24"/>
                <w:szCs w:val="24"/>
                <w:lang w:val="en-GB"/>
              </w:rPr>
              <w:lastRenderedPageBreak/>
              <w:t>planning and reduced travel demand</w:t>
            </w:r>
          </w:p>
        </w:tc>
        <w:tc>
          <w:tcPr>
            <w:tcW w:w="2689" w:type="dxa"/>
          </w:tcPr>
          <w:p w14:paraId="4063B7F9" w14:textId="77777777" w:rsidR="000616F0" w:rsidRPr="00914BAB" w:rsidRDefault="000616F0" w:rsidP="00C07145">
            <w:pPr>
              <w:pStyle w:val="NoSpacing"/>
              <w:rPr>
                <w:sz w:val="24"/>
                <w:szCs w:val="24"/>
                <w:lang w:val="en-GB"/>
              </w:rPr>
            </w:pPr>
            <w:r w:rsidRPr="00914BAB">
              <w:rPr>
                <w:sz w:val="24"/>
                <w:szCs w:val="24"/>
                <w:lang w:val="en-GB"/>
              </w:rPr>
              <w:lastRenderedPageBreak/>
              <w:t>Land use planning for compact urban form reduces passenger travel activity (</w:t>
            </w:r>
            <w:proofErr w:type="spellStart"/>
            <w:r w:rsidRPr="00914BAB">
              <w:rPr>
                <w:sz w:val="24"/>
                <w:szCs w:val="24"/>
                <w:lang w:val="en-GB"/>
              </w:rPr>
              <w:t>pkm</w:t>
            </w:r>
            <w:proofErr w:type="spellEnd"/>
            <w:r w:rsidRPr="00914BAB">
              <w:rPr>
                <w:sz w:val="24"/>
                <w:szCs w:val="24"/>
                <w:lang w:val="en-GB"/>
              </w:rPr>
              <w:t xml:space="preserve"> per capita) up to 7% in OECD countries and 25% in </w:t>
            </w:r>
            <w:r w:rsidRPr="00914BAB">
              <w:rPr>
                <w:sz w:val="24"/>
                <w:szCs w:val="24"/>
                <w:lang w:val="en-GB"/>
              </w:rPr>
              <w:lastRenderedPageBreak/>
              <w:t xml:space="preserve">developing countries. Reductions in road transport demand are based on the 2DS scenario in IEA (2014) and are allocated by population to urban areas. </w:t>
            </w:r>
          </w:p>
          <w:p w14:paraId="4C958FF1" w14:textId="77777777" w:rsidR="000616F0" w:rsidRPr="00914BAB" w:rsidRDefault="000616F0" w:rsidP="00C07145">
            <w:pPr>
              <w:pStyle w:val="NoSpacing"/>
              <w:rPr>
                <w:sz w:val="24"/>
                <w:szCs w:val="24"/>
                <w:lang w:val="en-GB"/>
              </w:rPr>
            </w:pPr>
          </w:p>
          <w:p w14:paraId="20BFEB24" w14:textId="77777777" w:rsidR="000616F0" w:rsidRPr="00914BAB" w:rsidRDefault="000616F0" w:rsidP="00C07145">
            <w:pPr>
              <w:pStyle w:val="NoSpacing"/>
              <w:rPr>
                <w:sz w:val="24"/>
                <w:szCs w:val="24"/>
                <w:lang w:val="en-GB"/>
              </w:rPr>
            </w:pPr>
          </w:p>
        </w:tc>
        <w:tc>
          <w:tcPr>
            <w:tcW w:w="4536" w:type="dxa"/>
          </w:tcPr>
          <w:p w14:paraId="7DAC8EB4" w14:textId="15AC44F0" w:rsidR="000616F0" w:rsidRPr="00914BAB" w:rsidRDefault="000616F0" w:rsidP="00C07145">
            <w:pPr>
              <w:pStyle w:val="NoSpacing"/>
              <w:rPr>
                <w:sz w:val="24"/>
                <w:szCs w:val="24"/>
                <w:lang w:val="en-GB"/>
              </w:rPr>
            </w:pPr>
            <w:r w:rsidRPr="00914BAB">
              <w:rPr>
                <w:sz w:val="24"/>
                <w:szCs w:val="24"/>
                <w:lang w:val="en-GB"/>
              </w:rPr>
              <w:lastRenderedPageBreak/>
              <w:t>No costs are assumed for this measure, however, previously work for the NCE suggests that urban planning for compact and connected cities could reduce investment costs by $3 trillion between 2015 and 2030 (Floater et al 2014).</w:t>
            </w:r>
            <w:r w:rsidR="008C66E1">
              <w:rPr>
                <w:sz w:val="24"/>
                <w:szCs w:val="24"/>
                <w:lang w:val="en-GB"/>
              </w:rPr>
              <w:t xml:space="preserve"> </w:t>
            </w:r>
            <w:r w:rsidR="008C66E1">
              <w:rPr>
                <w:sz w:val="24"/>
                <w:szCs w:val="24"/>
                <w:lang w:val="en-GB"/>
              </w:rPr>
              <w:lastRenderedPageBreak/>
              <w:t>Assuming zero costs, rather than negative costs, therefore potentially understates the economic benefits of this measure.</w:t>
            </w:r>
          </w:p>
          <w:p w14:paraId="5FEB8C4B" w14:textId="77777777" w:rsidR="000616F0" w:rsidRPr="00914BAB" w:rsidRDefault="000616F0" w:rsidP="00C07145">
            <w:pPr>
              <w:pStyle w:val="NoSpacing"/>
              <w:rPr>
                <w:sz w:val="24"/>
                <w:szCs w:val="24"/>
                <w:lang w:val="en-GB"/>
              </w:rPr>
            </w:pPr>
          </w:p>
        </w:tc>
      </w:tr>
      <w:tr w:rsidR="000616F0" w:rsidRPr="00914BAB" w14:paraId="256F98DE" w14:textId="77777777" w:rsidTr="007079A3">
        <w:trPr>
          <w:trHeight w:val="441"/>
        </w:trPr>
        <w:tc>
          <w:tcPr>
            <w:tcW w:w="1672" w:type="dxa"/>
          </w:tcPr>
          <w:p w14:paraId="351C2FE6" w14:textId="77777777" w:rsidR="000616F0" w:rsidRPr="00914BAB" w:rsidRDefault="000616F0" w:rsidP="000616F0">
            <w:pPr>
              <w:rPr>
                <w:b/>
                <w:sz w:val="24"/>
                <w:szCs w:val="24"/>
                <w:lang w:val="en-GB"/>
              </w:rPr>
            </w:pPr>
            <w:r w:rsidRPr="00914BAB">
              <w:rPr>
                <w:b/>
                <w:sz w:val="24"/>
                <w:szCs w:val="24"/>
                <w:lang w:val="en-GB"/>
              </w:rPr>
              <w:lastRenderedPageBreak/>
              <w:t>Passenger transport:</w:t>
            </w:r>
          </w:p>
          <w:p w14:paraId="15666A8A" w14:textId="77777777" w:rsidR="000616F0" w:rsidRPr="00914BAB" w:rsidRDefault="000616F0" w:rsidP="000616F0">
            <w:pPr>
              <w:rPr>
                <w:b/>
                <w:sz w:val="24"/>
                <w:szCs w:val="24"/>
                <w:lang w:val="en-GB"/>
              </w:rPr>
            </w:pPr>
          </w:p>
          <w:p w14:paraId="1511FDC3" w14:textId="77777777" w:rsidR="000616F0" w:rsidRPr="00914BAB" w:rsidRDefault="000616F0" w:rsidP="000616F0">
            <w:pPr>
              <w:rPr>
                <w:b/>
                <w:sz w:val="24"/>
                <w:szCs w:val="24"/>
                <w:lang w:val="en-GB"/>
              </w:rPr>
            </w:pPr>
          </w:p>
          <w:p w14:paraId="6E40DC35" w14:textId="77777777" w:rsidR="000616F0" w:rsidRPr="00914BAB" w:rsidRDefault="000616F0" w:rsidP="000616F0">
            <w:pPr>
              <w:rPr>
                <w:b/>
                <w:sz w:val="24"/>
                <w:szCs w:val="24"/>
                <w:lang w:val="en-GB"/>
              </w:rPr>
            </w:pPr>
            <w:r w:rsidRPr="00914BAB">
              <w:rPr>
                <w:b/>
                <w:sz w:val="24"/>
                <w:szCs w:val="24"/>
                <w:lang w:val="en-GB"/>
              </w:rPr>
              <w:t>Mode shift and transit efficiency</w:t>
            </w:r>
          </w:p>
        </w:tc>
        <w:tc>
          <w:tcPr>
            <w:tcW w:w="2689" w:type="dxa"/>
          </w:tcPr>
          <w:p w14:paraId="494CCA33" w14:textId="77777777" w:rsidR="000616F0" w:rsidRPr="00914BAB" w:rsidRDefault="000616F0" w:rsidP="00C07145">
            <w:pPr>
              <w:pStyle w:val="NoSpacing"/>
              <w:rPr>
                <w:sz w:val="24"/>
                <w:szCs w:val="24"/>
                <w:lang w:val="en-GB"/>
              </w:rPr>
            </w:pPr>
            <w:r w:rsidRPr="00914BAB">
              <w:rPr>
                <w:sz w:val="24"/>
                <w:szCs w:val="24"/>
                <w:lang w:val="en-GB"/>
              </w:rPr>
              <w:t xml:space="preserve">Expansion of public transport leads to 20% lower </w:t>
            </w:r>
            <w:proofErr w:type="spellStart"/>
            <w:r w:rsidRPr="00914BAB">
              <w:rPr>
                <w:sz w:val="24"/>
                <w:szCs w:val="24"/>
                <w:lang w:val="en-GB"/>
              </w:rPr>
              <w:t>pkm</w:t>
            </w:r>
            <w:proofErr w:type="spellEnd"/>
            <w:r w:rsidRPr="00914BAB">
              <w:rPr>
                <w:sz w:val="24"/>
                <w:szCs w:val="24"/>
                <w:lang w:val="en-GB"/>
              </w:rPr>
              <w:t xml:space="preserve"> mode share of LDVs and higher mode share for rail and bus transport. </w:t>
            </w:r>
          </w:p>
          <w:p w14:paraId="21F5E491" w14:textId="77777777" w:rsidR="000616F0" w:rsidRPr="00914BAB" w:rsidRDefault="000616F0" w:rsidP="00C07145">
            <w:pPr>
              <w:pStyle w:val="NoSpacing"/>
              <w:rPr>
                <w:sz w:val="24"/>
                <w:szCs w:val="24"/>
                <w:lang w:val="en-GB"/>
              </w:rPr>
            </w:pPr>
          </w:p>
        </w:tc>
        <w:tc>
          <w:tcPr>
            <w:tcW w:w="4536" w:type="dxa"/>
          </w:tcPr>
          <w:p w14:paraId="714E4093" w14:textId="1DEA499A" w:rsidR="000616F0" w:rsidRDefault="000616F0" w:rsidP="00C07145">
            <w:pPr>
              <w:pStyle w:val="NoSpacing"/>
              <w:rPr>
                <w:sz w:val="24"/>
                <w:szCs w:val="24"/>
                <w:lang w:val="en-GB"/>
              </w:rPr>
            </w:pPr>
            <w:r w:rsidRPr="00914BAB">
              <w:rPr>
                <w:sz w:val="24"/>
                <w:szCs w:val="24"/>
                <w:lang w:val="en-GB"/>
              </w:rPr>
              <w:t>Cost per km of infrastructure, operation and maintenance, occupancy estimates and annual vehicle travel distances</w:t>
            </w:r>
            <w:r w:rsidR="00020D75" w:rsidRPr="00914BAB">
              <w:rPr>
                <w:sz w:val="24"/>
                <w:szCs w:val="24"/>
                <w:lang w:val="en-GB"/>
              </w:rPr>
              <w:t>, and annual vehicle travel distance</w:t>
            </w:r>
            <w:r w:rsidRPr="00914BAB">
              <w:rPr>
                <w:sz w:val="24"/>
                <w:szCs w:val="24"/>
                <w:lang w:val="en-GB"/>
              </w:rPr>
              <w:t xml:space="preserve"> per km of infrastructure were drawn from </w:t>
            </w:r>
            <w:proofErr w:type="spellStart"/>
            <w:r w:rsidRPr="00914BAB">
              <w:rPr>
                <w:sz w:val="24"/>
                <w:szCs w:val="24"/>
                <w:lang w:val="en-GB"/>
              </w:rPr>
              <w:t>Dulac</w:t>
            </w:r>
            <w:proofErr w:type="spellEnd"/>
            <w:r w:rsidRPr="00914BAB">
              <w:rPr>
                <w:sz w:val="24"/>
                <w:szCs w:val="24"/>
                <w:lang w:val="en-GB"/>
              </w:rPr>
              <w:t xml:space="preserve"> (2014), </w:t>
            </w:r>
            <w:proofErr w:type="spellStart"/>
            <w:r w:rsidRPr="00914BAB">
              <w:rPr>
                <w:sz w:val="24"/>
                <w:szCs w:val="24"/>
                <w:lang w:val="en-GB"/>
              </w:rPr>
              <w:t>Replogle</w:t>
            </w:r>
            <w:proofErr w:type="spellEnd"/>
            <w:r w:rsidRPr="00914BAB">
              <w:rPr>
                <w:sz w:val="24"/>
                <w:szCs w:val="24"/>
                <w:lang w:val="en-GB"/>
              </w:rPr>
              <w:t xml:space="preserve"> and Fulton </w:t>
            </w:r>
            <w:r w:rsidR="00020D75" w:rsidRPr="00914BAB">
              <w:rPr>
                <w:sz w:val="24"/>
                <w:szCs w:val="24"/>
                <w:lang w:val="en-GB"/>
              </w:rPr>
              <w:t>(</w:t>
            </w:r>
            <w:r w:rsidRPr="00914BAB">
              <w:rPr>
                <w:sz w:val="24"/>
                <w:szCs w:val="24"/>
                <w:lang w:val="en-GB"/>
              </w:rPr>
              <w:t>2014)</w:t>
            </w:r>
            <w:r w:rsidR="00C27B3D">
              <w:rPr>
                <w:sz w:val="24"/>
                <w:szCs w:val="24"/>
                <w:lang w:val="en-GB"/>
              </w:rPr>
              <w:t>,</w:t>
            </w:r>
            <w:r w:rsidR="0085771A" w:rsidRPr="00914BAB">
              <w:rPr>
                <w:sz w:val="24"/>
                <w:szCs w:val="24"/>
                <w:lang w:val="en-GB"/>
              </w:rPr>
              <w:t xml:space="preserve"> </w:t>
            </w:r>
            <w:proofErr w:type="spellStart"/>
            <w:r w:rsidR="0085771A" w:rsidRPr="00914BAB">
              <w:rPr>
                <w:sz w:val="24"/>
                <w:szCs w:val="24"/>
              </w:rPr>
              <w:t>Schlömer</w:t>
            </w:r>
            <w:proofErr w:type="spellEnd"/>
            <w:r w:rsidR="0085771A" w:rsidRPr="00914BAB">
              <w:rPr>
                <w:sz w:val="24"/>
                <w:szCs w:val="24"/>
                <w:lang w:val="en-GB"/>
              </w:rPr>
              <w:t xml:space="preserve"> </w:t>
            </w:r>
            <w:r w:rsidR="00020D75" w:rsidRPr="00914BAB">
              <w:rPr>
                <w:sz w:val="24"/>
                <w:szCs w:val="24"/>
                <w:lang w:val="en-GB"/>
              </w:rPr>
              <w:t>(2014</w:t>
            </w:r>
            <w:r w:rsidR="0085771A" w:rsidRPr="00914BAB">
              <w:rPr>
                <w:sz w:val="24"/>
                <w:szCs w:val="24"/>
                <w:lang w:val="en-GB"/>
              </w:rPr>
              <w:t>)</w:t>
            </w:r>
            <w:r w:rsidRPr="00914BAB">
              <w:rPr>
                <w:sz w:val="24"/>
                <w:szCs w:val="24"/>
                <w:lang w:val="en-GB"/>
              </w:rPr>
              <w:t xml:space="preserve"> and from consultation with experts. Most data is available only at the OECD, non-OECD, </w:t>
            </w:r>
            <w:proofErr w:type="gramStart"/>
            <w:r w:rsidRPr="00914BAB">
              <w:rPr>
                <w:sz w:val="24"/>
                <w:szCs w:val="24"/>
                <w:lang w:val="en-GB"/>
              </w:rPr>
              <w:t>level</w:t>
            </w:r>
            <w:proofErr w:type="gramEnd"/>
            <w:r w:rsidRPr="00914BAB">
              <w:rPr>
                <w:sz w:val="24"/>
                <w:szCs w:val="24"/>
                <w:lang w:val="en-GB"/>
              </w:rPr>
              <w:t>. The cost of transit efficiency improvements was drawn from the World Energy Investment Outlook, IEA (2014c) heavy-duty vehicle efficiency cost database. The cost of electrified buses and trains for urban transport is collected from expert consultation and interviews with electric transport firms.</w:t>
            </w:r>
          </w:p>
          <w:p w14:paraId="5EDD30B7" w14:textId="77777777" w:rsidR="008C66E1" w:rsidRDefault="008C66E1" w:rsidP="00C07145">
            <w:pPr>
              <w:pStyle w:val="NoSpacing"/>
              <w:rPr>
                <w:sz w:val="24"/>
                <w:szCs w:val="24"/>
                <w:lang w:val="en-GB"/>
              </w:rPr>
            </w:pPr>
          </w:p>
          <w:p w14:paraId="0DF699E9" w14:textId="593EE570" w:rsidR="008C66E1" w:rsidRPr="00914BAB" w:rsidRDefault="00613377" w:rsidP="00C07145">
            <w:pPr>
              <w:pStyle w:val="NoSpacing"/>
              <w:rPr>
                <w:sz w:val="24"/>
                <w:szCs w:val="24"/>
                <w:lang w:val="en-GB"/>
              </w:rPr>
            </w:pPr>
            <w:r>
              <w:rPr>
                <w:sz w:val="24"/>
                <w:szCs w:val="24"/>
                <w:lang w:val="en-GB"/>
              </w:rPr>
              <w:t>L</w:t>
            </w:r>
            <w:r w:rsidR="00C27B3D">
              <w:rPr>
                <w:sz w:val="24"/>
                <w:szCs w:val="24"/>
                <w:lang w:val="en-GB"/>
              </w:rPr>
              <w:t>imited data on the cost of major infrastructure provision</w:t>
            </w:r>
            <w:r>
              <w:rPr>
                <w:sz w:val="24"/>
                <w:szCs w:val="24"/>
                <w:lang w:val="en-GB"/>
              </w:rPr>
              <w:t xml:space="preserve"> on a country basis is a significant limitation which prevents our analysis from being able to provide country or even region-</w:t>
            </w:r>
            <w:r w:rsidR="00F739EB">
              <w:rPr>
                <w:sz w:val="24"/>
                <w:szCs w:val="24"/>
                <w:lang w:val="en-GB"/>
              </w:rPr>
              <w:t>wide estimates. However, data</w:t>
            </w:r>
            <w:r>
              <w:rPr>
                <w:sz w:val="24"/>
                <w:szCs w:val="24"/>
                <w:lang w:val="en-GB"/>
              </w:rPr>
              <w:t xml:space="preserve"> availab</w:t>
            </w:r>
            <w:r w:rsidR="00F739EB">
              <w:rPr>
                <w:sz w:val="24"/>
                <w:szCs w:val="24"/>
                <w:lang w:val="en-GB"/>
              </w:rPr>
              <w:t>le at the OECD / non-OECD level</w:t>
            </w:r>
            <w:r>
              <w:rPr>
                <w:sz w:val="24"/>
                <w:szCs w:val="24"/>
                <w:lang w:val="en-GB"/>
              </w:rPr>
              <w:t xml:space="preserve"> is publically available and comes from highly credible sources (primarily The World Bank).</w:t>
            </w:r>
            <w:r w:rsidR="00F739EB">
              <w:rPr>
                <w:sz w:val="24"/>
                <w:szCs w:val="24"/>
                <w:lang w:val="en-GB"/>
              </w:rPr>
              <w:t xml:space="preserve"> </w:t>
            </w:r>
          </w:p>
          <w:p w14:paraId="6210468E" w14:textId="77777777" w:rsidR="000616F0" w:rsidRPr="00914BAB" w:rsidRDefault="000616F0" w:rsidP="00C07145">
            <w:pPr>
              <w:pStyle w:val="NoSpacing"/>
              <w:rPr>
                <w:sz w:val="24"/>
                <w:szCs w:val="24"/>
                <w:lang w:val="en-GB"/>
              </w:rPr>
            </w:pPr>
          </w:p>
        </w:tc>
      </w:tr>
      <w:tr w:rsidR="000616F0" w:rsidRPr="00914BAB" w14:paraId="6219918F" w14:textId="77777777" w:rsidTr="007079A3">
        <w:trPr>
          <w:trHeight w:val="441"/>
        </w:trPr>
        <w:tc>
          <w:tcPr>
            <w:tcW w:w="1672" w:type="dxa"/>
          </w:tcPr>
          <w:p w14:paraId="454849F9" w14:textId="77777777" w:rsidR="000616F0" w:rsidRPr="00914BAB" w:rsidRDefault="000616F0" w:rsidP="000616F0">
            <w:pPr>
              <w:rPr>
                <w:b/>
                <w:sz w:val="24"/>
                <w:szCs w:val="24"/>
                <w:lang w:val="en-GB"/>
              </w:rPr>
            </w:pPr>
            <w:r w:rsidRPr="00914BAB">
              <w:rPr>
                <w:b/>
                <w:sz w:val="24"/>
                <w:szCs w:val="24"/>
                <w:lang w:val="en-GB"/>
              </w:rPr>
              <w:t>Passenger transport:</w:t>
            </w:r>
          </w:p>
          <w:p w14:paraId="014AC0AF" w14:textId="77777777" w:rsidR="000616F0" w:rsidRPr="00914BAB" w:rsidRDefault="000616F0" w:rsidP="000616F0">
            <w:pPr>
              <w:rPr>
                <w:b/>
                <w:sz w:val="24"/>
                <w:szCs w:val="24"/>
                <w:lang w:val="en-GB"/>
              </w:rPr>
            </w:pPr>
          </w:p>
          <w:p w14:paraId="2BCEAA47" w14:textId="77777777" w:rsidR="000616F0" w:rsidRPr="00914BAB" w:rsidRDefault="000616F0" w:rsidP="000616F0">
            <w:pPr>
              <w:rPr>
                <w:b/>
                <w:sz w:val="24"/>
                <w:szCs w:val="24"/>
                <w:lang w:val="en-GB"/>
              </w:rPr>
            </w:pPr>
            <w:r w:rsidRPr="00914BAB">
              <w:rPr>
                <w:b/>
                <w:sz w:val="24"/>
                <w:szCs w:val="24"/>
                <w:lang w:val="en-GB"/>
              </w:rPr>
              <w:t>Car efficiency and electrification</w:t>
            </w:r>
          </w:p>
        </w:tc>
        <w:tc>
          <w:tcPr>
            <w:tcW w:w="2689" w:type="dxa"/>
          </w:tcPr>
          <w:p w14:paraId="3267422F" w14:textId="77777777" w:rsidR="000616F0" w:rsidRPr="00914BAB" w:rsidRDefault="000616F0" w:rsidP="00C07145">
            <w:pPr>
              <w:pStyle w:val="NoSpacing"/>
              <w:rPr>
                <w:sz w:val="24"/>
                <w:szCs w:val="24"/>
                <w:lang w:val="en-GB"/>
              </w:rPr>
            </w:pPr>
            <w:r w:rsidRPr="00914BAB">
              <w:rPr>
                <w:sz w:val="24"/>
                <w:szCs w:val="24"/>
                <w:lang w:val="en-GB"/>
              </w:rPr>
              <w:t xml:space="preserve">More-efficient passenger transport, including more widespread deployment of electric vehicles, result in greater than 45% improvement in private vehicle efficiency globally. The energy intensity impact of electrification is based </w:t>
            </w:r>
            <w:r w:rsidRPr="00914BAB">
              <w:rPr>
                <w:sz w:val="24"/>
                <w:szCs w:val="24"/>
                <w:lang w:val="en-GB"/>
              </w:rPr>
              <w:lastRenderedPageBreak/>
              <w:t>on the 2DS scenario variant Electrifying Transport (IEA 2014) for cars (light road), buses (heavy road), and rail beyond the share of energy from grid electricity reported in Energy Technology Perspectives (IEA 2012)</w:t>
            </w:r>
          </w:p>
          <w:p w14:paraId="3E62C2A1" w14:textId="77777777" w:rsidR="000616F0" w:rsidRPr="00914BAB" w:rsidRDefault="000616F0" w:rsidP="00C07145">
            <w:pPr>
              <w:pStyle w:val="NoSpacing"/>
              <w:rPr>
                <w:sz w:val="24"/>
                <w:szCs w:val="24"/>
                <w:lang w:val="en-GB"/>
              </w:rPr>
            </w:pPr>
          </w:p>
        </w:tc>
        <w:tc>
          <w:tcPr>
            <w:tcW w:w="4536" w:type="dxa"/>
          </w:tcPr>
          <w:p w14:paraId="435066CC" w14:textId="2DD53FE7" w:rsidR="00212796" w:rsidRPr="00914BAB" w:rsidRDefault="000616F0" w:rsidP="00C07145">
            <w:pPr>
              <w:pStyle w:val="NoSpacing"/>
              <w:rPr>
                <w:sz w:val="24"/>
                <w:szCs w:val="24"/>
                <w:lang w:val="en-GB"/>
              </w:rPr>
            </w:pPr>
            <w:r w:rsidRPr="00914BAB">
              <w:rPr>
                <w:sz w:val="24"/>
                <w:szCs w:val="24"/>
                <w:lang w:val="en-GB"/>
              </w:rPr>
              <w:lastRenderedPageBreak/>
              <w:t xml:space="preserve">The cost of vehicle efficiency improvements was drawn from IEA (2014c) World Energy Investment Outlook light duty vehicle efficiency cost database. </w:t>
            </w:r>
            <w:r w:rsidR="0085771A" w:rsidRPr="00914BAB">
              <w:rPr>
                <w:sz w:val="24"/>
                <w:szCs w:val="24"/>
                <w:lang w:val="en-GB"/>
              </w:rPr>
              <w:t xml:space="preserve">Annual vehicle travel distance is drawn from </w:t>
            </w:r>
            <w:proofErr w:type="spellStart"/>
            <w:r w:rsidR="0085771A" w:rsidRPr="00914BAB">
              <w:rPr>
                <w:sz w:val="24"/>
                <w:szCs w:val="24"/>
              </w:rPr>
              <w:t>Schlömer</w:t>
            </w:r>
            <w:proofErr w:type="spellEnd"/>
            <w:r w:rsidR="0085771A" w:rsidRPr="00914BAB">
              <w:rPr>
                <w:sz w:val="24"/>
                <w:szCs w:val="24"/>
              </w:rPr>
              <w:t xml:space="preserve"> et al</w:t>
            </w:r>
            <w:r w:rsidR="0085771A" w:rsidRPr="00914BAB">
              <w:rPr>
                <w:sz w:val="24"/>
                <w:szCs w:val="24"/>
                <w:lang w:val="en-GB"/>
              </w:rPr>
              <w:t xml:space="preserve"> (2014). </w:t>
            </w:r>
            <w:r w:rsidRPr="00914BAB">
              <w:rPr>
                <w:sz w:val="24"/>
                <w:szCs w:val="24"/>
                <w:lang w:val="en-GB"/>
              </w:rPr>
              <w:t xml:space="preserve">The incremental cost of electric vehicles was drawn from a review of academic literature (Mock and Yang, 2014; IEA, 2014c) and expert consultation. </w:t>
            </w:r>
          </w:p>
          <w:p w14:paraId="3B7DCE7E" w14:textId="77777777" w:rsidR="00212796" w:rsidRPr="00914BAB" w:rsidRDefault="00212796" w:rsidP="00C07145">
            <w:pPr>
              <w:pStyle w:val="NoSpacing"/>
              <w:rPr>
                <w:sz w:val="24"/>
                <w:szCs w:val="24"/>
                <w:lang w:val="en-GB"/>
              </w:rPr>
            </w:pPr>
          </w:p>
          <w:p w14:paraId="04844930" w14:textId="77777777" w:rsidR="00484767" w:rsidRDefault="000616F0" w:rsidP="008B07CF">
            <w:pPr>
              <w:pStyle w:val="NoSpacing"/>
              <w:rPr>
                <w:sz w:val="24"/>
                <w:szCs w:val="24"/>
                <w:lang w:val="en-GB"/>
              </w:rPr>
            </w:pPr>
            <w:r w:rsidRPr="00914BAB">
              <w:rPr>
                <w:sz w:val="24"/>
                <w:szCs w:val="24"/>
                <w:lang w:val="en-GB"/>
              </w:rPr>
              <w:lastRenderedPageBreak/>
              <w:t>Based on a survey of literature a learning factor of 5% was applied to the incremental cost (</w:t>
            </w:r>
            <w:proofErr w:type="spellStart"/>
            <w:r w:rsidRPr="00914BAB">
              <w:rPr>
                <w:sz w:val="24"/>
                <w:szCs w:val="24"/>
                <w:lang w:val="en-GB"/>
              </w:rPr>
              <w:t>c.f</w:t>
            </w:r>
            <w:proofErr w:type="spellEnd"/>
            <w:r w:rsidRPr="00914BAB">
              <w:rPr>
                <w:sz w:val="24"/>
                <w:szCs w:val="24"/>
                <w:lang w:val="en-GB"/>
              </w:rPr>
              <w:t xml:space="preserve"> </w:t>
            </w:r>
            <w:proofErr w:type="spellStart"/>
            <w:r w:rsidRPr="00914BAB">
              <w:rPr>
                <w:sz w:val="24"/>
                <w:szCs w:val="24"/>
                <w:lang w:val="en-GB"/>
              </w:rPr>
              <w:t>Nemry</w:t>
            </w:r>
            <w:proofErr w:type="spellEnd"/>
            <w:r w:rsidRPr="00914BAB">
              <w:rPr>
                <w:sz w:val="24"/>
                <w:szCs w:val="24"/>
                <w:lang w:val="en-GB"/>
              </w:rPr>
              <w:t xml:space="preserve"> et al 2009, NRC, 2013; </w:t>
            </w:r>
            <w:proofErr w:type="spellStart"/>
            <w:r w:rsidRPr="00914BAB">
              <w:rPr>
                <w:sz w:val="24"/>
                <w:szCs w:val="24"/>
                <w:lang w:val="en-GB"/>
              </w:rPr>
              <w:t>Kalhammer</w:t>
            </w:r>
            <w:proofErr w:type="spellEnd"/>
            <w:r w:rsidRPr="00914BAB">
              <w:rPr>
                <w:sz w:val="24"/>
                <w:szCs w:val="24"/>
                <w:lang w:val="en-GB"/>
              </w:rPr>
              <w:t xml:space="preserve"> et al 2007).</w:t>
            </w:r>
            <w:r w:rsidR="00212796" w:rsidRPr="00914BAB">
              <w:rPr>
                <w:sz w:val="24"/>
                <w:szCs w:val="24"/>
                <w:lang w:val="en-GB"/>
              </w:rPr>
              <w:t xml:space="preserve"> This is increase</w:t>
            </w:r>
            <w:r w:rsidR="008B07CF" w:rsidRPr="00914BAB">
              <w:rPr>
                <w:sz w:val="24"/>
                <w:szCs w:val="24"/>
                <w:lang w:val="en-GB"/>
              </w:rPr>
              <w:t>d</w:t>
            </w:r>
            <w:r w:rsidR="00212796" w:rsidRPr="00914BAB">
              <w:rPr>
                <w:sz w:val="24"/>
                <w:szCs w:val="24"/>
                <w:lang w:val="en-GB"/>
              </w:rPr>
              <w:t xml:space="preserve"> by 40% to 7% in the high learning scenario.</w:t>
            </w:r>
            <w:r w:rsidR="00250A34">
              <w:rPr>
                <w:sz w:val="24"/>
                <w:szCs w:val="24"/>
                <w:lang w:val="en-GB"/>
              </w:rPr>
              <w:t xml:space="preserve"> </w:t>
            </w:r>
          </w:p>
          <w:p w14:paraId="10495B99" w14:textId="77777777" w:rsidR="00484767" w:rsidRDefault="00484767" w:rsidP="008B07CF">
            <w:pPr>
              <w:pStyle w:val="NoSpacing"/>
              <w:rPr>
                <w:sz w:val="24"/>
                <w:szCs w:val="24"/>
                <w:lang w:val="en-GB"/>
              </w:rPr>
            </w:pPr>
          </w:p>
          <w:p w14:paraId="15C92EEA" w14:textId="21641028" w:rsidR="000616F0" w:rsidRPr="00914BAB" w:rsidRDefault="00484767" w:rsidP="00C27B3D">
            <w:pPr>
              <w:pStyle w:val="NoSpacing"/>
              <w:rPr>
                <w:sz w:val="24"/>
                <w:szCs w:val="24"/>
                <w:lang w:val="en-GB"/>
              </w:rPr>
            </w:pPr>
            <w:r>
              <w:rPr>
                <w:sz w:val="24"/>
                <w:szCs w:val="24"/>
                <w:lang w:val="en-GB"/>
              </w:rPr>
              <w:t>Values used here are highly conservative given the rapi</w:t>
            </w:r>
            <w:r w:rsidR="00C27B3D">
              <w:rPr>
                <w:sz w:val="24"/>
                <w:szCs w:val="24"/>
                <w:lang w:val="en-GB"/>
              </w:rPr>
              <w:t>d advances in electric vehicle and battery technologies (</w:t>
            </w:r>
            <w:proofErr w:type="spellStart"/>
            <w:r w:rsidR="00C27B3D">
              <w:rPr>
                <w:sz w:val="24"/>
                <w:szCs w:val="24"/>
                <w:lang w:val="en-GB"/>
              </w:rPr>
              <w:t>eg</w:t>
            </w:r>
            <w:proofErr w:type="spellEnd"/>
            <w:r w:rsidR="00C27B3D">
              <w:rPr>
                <w:sz w:val="24"/>
                <w:szCs w:val="24"/>
                <w:lang w:val="en-GB"/>
              </w:rPr>
              <w:t xml:space="preserve">. Davies 2016; </w:t>
            </w:r>
            <w:proofErr w:type="spellStart"/>
            <w:r w:rsidR="00C27B3D">
              <w:rPr>
                <w:sz w:val="24"/>
                <w:szCs w:val="24"/>
                <w:lang w:val="en-GB"/>
              </w:rPr>
              <w:t>Mundada</w:t>
            </w:r>
            <w:proofErr w:type="spellEnd"/>
            <w:r w:rsidR="00C27B3D">
              <w:rPr>
                <w:sz w:val="24"/>
                <w:szCs w:val="24"/>
                <w:lang w:val="en-GB"/>
              </w:rPr>
              <w:t xml:space="preserve"> et al 2016).</w:t>
            </w:r>
          </w:p>
        </w:tc>
      </w:tr>
      <w:tr w:rsidR="000616F0" w:rsidRPr="00914BAB" w14:paraId="2BAF89E5" w14:textId="77777777" w:rsidTr="007079A3">
        <w:trPr>
          <w:trHeight w:val="441"/>
        </w:trPr>
        <w:tc>
          <w:tcPr>
            <w:tcW w:w="1672" w:type="dxa"/>
          </w:tcPr>
          <w:p w14:paraId="09F210E4" w14:textId="77777777" w:rsidR="000616F0" w:rsidRPr="00914BAB" w:rsidRDefault="000616F0" w:rsidP="000616F0">
            <w:pPr>
              <w:rPr>
                <w:b/>
                <w:sz w:val="24"/>
                <w:szCs w:val="24"/>
                <w:lang w:val="en-GB"/>
              </w:rPr>
            </w:pPr>
            <w:r w:rsidRPr="00914BAB">
              <w:rPr>
                <w:b/>
                <w:sz w:val="24"/>
                <w:szCs w:val="24"/>
                <w:lang w:val="en-GB"/>
              </w:rPr>
              <w:lastRenderedPageBreak/>
              <w:t>Freight transport:</w:t>
            </w:r>
          </w:p>
          <w:p w14:paraId="267EAA8F" w14:textId="77777777" w:rsidR="000616F0" w:rsidRPr="00914BAB" w:rsidRDefault="000616F0" w:rsidP="000616F0">
            <w:pPr>
              <w:rPr>
                <w:b/>
                <w:sz w:val="24"/>
                <w:szCs w:val="24"/>
                <w:lang w:val="en-GB"/>
              </w:rPr>
            </w:pPr>
          </w:p>
          <w:p w14:paraId="6461FE79" w14:textId="77777777" w:rsidR="000616F0" w:rsidRPr="00914BAB" w:rsidRDefault="000616F0" w:rsidP="000616F0">
            <w:pPr>
              <w:rPr>
                <w:b/>
                <w:sz w:val="24"/>
                <w:szCs w:val="24"/>
                <w:lang w:val="en-GB"/>
              </w:rPr>
            </w:pPr>
            <w:r w:rsidRPr="00914BAB">
              <w:rPr>
                <w:b/>
                <w:sz w:val="24"/>
                <w:szCs w:val="24"/>
                <w:lang w:val="en-GB"/>
              </w:rPr>
              <w:t>Logistics improvements</w:t>
            </w:r>
          </w:p>
        </w:tc>
        <w:tc>
          <w:tcPr>
            <w:tcW w:w="2689" w:type="dxa"/>
          </w:tcPr>
          <w:p w14:paraId="1E6C4F96" w14:textId="77777777" w:rsidR="000616F0" w:rsidRPr="00914BAB" w:rsidRDefault="000616F0" w:rsidP="00C07145">
            <w:pPr>
              <w:pStyle w:val="NoSpacing"/>
              <w:rPr>
                <w:sz w:val="24"/>
                <w:szCs w:val="24"/>
                <w:lang w:val="en-GB"/>
              </w:rPr>
            </w:pPr>
            <w:r w:rsidRPr="00914BAB">
              <w:rPr>
                <w:sz w:val="24"/>
                <w:szCs w:val="24"/>
                <w:lang w:val="en-GB"/>
              </w:rPr>
              <w:t xml:space="preserve">Freight transport logistics improvements lead to a 5% reduction in </w:t>
            </w:r>
            <w:proofErr w:type="spellStart"/>
            <w:r w:rsidRPr="00914BAB">
              <w:rPr>
                <w:sz w:val="24"/>
                <w:szCs w:val="24"/>
                <w:lang w:val="en-GB"/>
              </w:rPr>
              <w:t>tkm</w:t>
            </w:r>
            <w:proofErr w:type="spellEnd"/>
            <w:r w:rsidRPr="00914BAB">
              <w:rPr>
                <w:sz w:val="24"/>
                <w:szCs w:val="24"/>
                <w:lang w:val="en-GB"/>
              </w:rPr>
              <w:t xml:space="preserve"> per capita by 2030 and 12% by 2035 (</w:t>
            </w:r>
            <w:proofErr w:type="spellStart"/>
            <w:r w:rsidRPr="00914BAB">
              <w:rPr>
                <w:sz w:val="24"/>
                <w:szCs w:val="24"/>
                <w:lang w:val="en-GB"/>
              </w:rPr>
              <w:t>Façanha</w:t>
            </w:r>
            <w:proofErr w:type="spellEnd"/>
            <w:r w:rsidRPr="00914BAB">
              <w:rPr>
                <w:sz w:val="24"/>
                <w:szCs w:val="24"/>
                <w:lang w:val="en-GB"/>
              </w:rPr>
              <w:t xml:space="preserve"> et al. 2012). </w:t>
            </w:r>
          </w:p>
          <w:p w14:paraId="3C35E8FC" w14:textId="77777777" w:rsidR="000616F0" w:rsidRPr="00914BAB" w:rsidRDefault="000616F0" w:rsidP="00C07145">
            <w:pPr>
              <w:pStyle w:val="NoSpacing"/>
              <w:rPr>
                <w:sz w:val="24"/>
                <w:szCs w:val="24"/>
                <w:lang w:val="en-GB"/>
              </w:rPr>
            </w:pPr>
          </w:p>
        </w:tc>
        <w:tc>
          <w:tcPr>
            <w:tcW w:w="4536" w:type="dxa"/>
          </w:tcPr>
          <w:p w14:paraId="7B37EDED" w14:textId="77777777" w:rsidR="000616F0" w:rsidRPr="00914BAB" w:rsidRDefault="000616F0" w:rsidP="00C07145">
            <w:pPr>
              <w:pStyle w:val="NoSpacing"/>
              <w:rPr>
                <w:sz w:val="24"/>
                <w:szCs w:val="24"/>
                <w:lang w:val="en-GB"/>
              </w:rPr>
            </w:pPr>
            <w:r w:rsidRPr="00914BAB">
              <w:rPr>
                <w:sz w:val="24"/>
                <w:szCs w:val="24"/>
                <w:lang w:val="en-GB"/>
              </w:rPr>
              <w:t>No costs are assumed for this measure, however, previously work for the NCE suggests that urban planning for compact and connected cities could reduce total public investment costs by $3 trillion between 2015 and 2030 (Floater et al 2014).</w:t>
            </w:r>
          </w:p>
        </w:tc>
      </w:tr>
      <w:tr w:rsidR="000616F0" w:rsidRPr="00914BAB" w14:paraId="3E7FCFED" w14:textId="77777777" w:rsidTr="007079A3">
        <w:trPr>
          <w:trHeight w:val="441"/>
        </w:trPr>
        <w:tc>
          <w:tcPr>
            <w:tcW w:w="1672" w:type="dxa"/>
          </w:tcPr>
          <w:p w14:paraId="0849E625" w14:textId="77777777" w:rsidR="000616F0" w:rsidRPr="00914BAB" w:rsidRDefault="000616F0" w:rsidP="000616F0">
            <w:pPr>
              <w:rPr>
                <w:b/>
                <w:sz w:val="24"/>
                <w:szCs w:val="24"/>
                <w:lang w:val="en-GB"/>
              </w:rPr>
            </w:pPr>
            <w:r w:rsidRPr="00914BAB">
              <w:rPr>
                <w:b/>
                <w:sz w:val="24"/>
                <w:szCs w:val="24"/>
                <w:lang w:val="en-GB"/>
              </w:rPr>
              <w:t>Freight transport:</w:t>
            </w:r>
          </w:p>
          <w:p w14:paraId="160EC5A7" w14:textId="77777777" w:rsidR="000616F0" w:rsidRPr="00914BAB" w:rsidRDefault="000616F0" w:rsidP="000616F0">
            <w:pPr>
              <w:rPr>
                <w:b/>
                <w:sz w:val="24"/>
                <w:szCs w:val="24"/>
                <w:lang w:val="en-GB"/>
              </w:rPr>
            </w:pPr>
          </w:p>
          <w:p w14:paraId="4FC15196" w14:textId="77777777" w:rsidR="000616F0" w:rsidRPr="00914BAB" w:rsidRDefault="000616F0" w:rsidP="000616F0">
            <w:pPr>
              <w:rPr>
                <w:b/>
                <w:sz w:val="24"/>
                <w:szCs w:val="24"/>
                <w:lang w:val="en-GB"/>
              </w:rPr>
            </w:pPr>
            <w:r w:rsidRPr="00914BAB">
              <w:rPr>
                <w:b/>
                <w:sz w:val="24"/>
                <w:szCs w:val="24"/>
                <w:lang w:val="en-GB"/>
              </w:rPr>
              <w:t>Vehicle efficiency and electrification</w:t>
            </w:r>
          </w:p>
        </w:tc>
        <w:tc>
          <w:tcPr>
            <w:tcW w:w="2689" w:type="dxa"/>
          </w:tcPr>
          <w:p w14:paraId="4663D0FE" w14:textId="77777777" w:rsidR="000616F0" w:rsidRPr="00914BAB" w:rsidRDefault="000616F0" w:rsidP="00C07145">
            <w:pPr>
              <w:pStyle w:val="NoSpacing"/>
              <w:rPr>
                <w:sz w:val="24"/>
                <w:szCs w:val="24"/>
                <w:lang w:val="en-GB"/>
              </w:rPr>
            </w:pPr>
            <w:r w:rsidRPr="00914BAB">
              <w:rPr>
                <w:sz w:val="24"/>
                <w:szCs w:val="24"/>
                <w:lang w:val="en-GB"/>
              </w:rPr>
              <w:t>Global freight energy efficiency improves 17% by 2030 and 26% by 2030. In addition, 27% of global freight is electrified by 2050, following the IEA’s Electrifying Transport variant (IEA, 2014).</w:t>
            </w:r>
          </w:p>
          <w:p w14:paraId="7E557085" w14:textId="77777777" w:rsidR="000616F0" w:rsidRPr="00914BAB" w:rsidRDefault="000616F0" w:rsidP="00C07145">
            <w:pPr>
              <w:pStyle w:val="NoSpacing"/>
              <w:rPr>
                <w:sz w:val="24"/>
                <w:szCs w:val="24"/>
                <w:lang w:val="en-GB"/>
              </w:rPr>
            </w:pPr>
          </w:p>
          <w:p w14:paraId="2ECA8CC3" w14:textId="77777777" w:rsidR="000616F0" w:rsidRPr="00914BAB" w:rsidRDefault="000616F0" w:rsidP="00C07145">
            <w:pPr>
              <w:pStyle w:val="NoSpacing"/>
              <w:rPr>
                <w:sz w:val="24"/>
                <w:szCs w:val="24"/>
                <w:lang w:val="en-GB"/>
              </w:rPr>
            </w:pPr>
          </w:p>
        </w:tc>
        <w:tc>
          <w:tcPr>
            <w:tcW w:w="4536" w:type="dxa"/>
          </w:tcPr>
          <w:p w14:paraId="5A66ADFE" w14:textId="69015DE7" w:rsidR="00212796" w:rsidRPr="00914BAB" w:rsidRDefault="000616F0" w:rsidP="00C07145">
            <w:pPr>
              <w:pStyle w:val="NoSpacing"/>
              <w:rPr>
                <w:sz w:val="24"/>
                <w:szCs w:val="24"/>
                <w:lang w:val="en-GB"/>
              </w:rPr>
            </w:pPr>
            <w:r w:rsidRPr="00914BAB">
              <w:rPr>
                <w:sz w:val="24"/>
                <w:szCs w:val="24"/>
                <w:lang w:val="en-GB"/>
              </w:rPr>
              <w:t>The cost of vehicle efficiency improvements</w:t>
            </w:r>
            <w:r w:rsidR="00E859FB" w:rsidRPr="00914BAB">
              <w:rPr>
                <w:sz w:val="24"/>
                <w:szCs w:val="24"/>
                <w:lang w:val="en-GB"/>
              </w:rPr>
              <w:t xml:space="preserve"> and vehicle tonnage estimates</w:t>
            </w:r>
            <w:r w:rsidRPr="00914BAB">
              <w:rPr>
                <w:sz w:val="24"/>
                <w:szCs w:val="24"/>
                <w:lang w:val="en-GB"/>
              </w:rPr>
              <w:t xml:space="preserve"> w</w:t>
            </w:r>
            <w:r w:rsidR="00E859FB" w:rsidRPr="00914BAB">
              <w:rPr>
                <w:sz w:val="24"/>
                <w:szCs w:val="24"/>
                <w:lang w:val="en-GB"/>
              </w:rPr>
              <w:t>ere</w:t>
            </w:r>
            <w:r w:rsidRPr="00914BAB">
              <w:rPr>
                <w:sz w:val="24"/>
                <w:szCs w:val="24"/>
                <w:lang w:val="en-GB"/>
              </w:rPr>
              <w:t xml:space="preserve"> drawn from IEA (2014c) World Energy Investment Outlook medium freight cost database. </w:t>
            </w:r>
            <w:r w:rsidR="00E859FB" w:rsidRPr="00914BAB">
              <w:rPr>
                <w:sz w:val="24"/>
                <w:szCs w:val="24"/>
                <w:lang w:val="en-GB"/>
              </w:rPr>
              <w:t xml:space="preserve">Annual vehicle travel distance is drawn from </w:t>
            </w:r>
            <w:r w:rsidR="00EB0372" w:rsidRPr="00914BAB">
              <w:rPr>
                <w:sz w:val="24"/>
                <w:szCs w:val="24"/>
                <w:lang w:val="en-GB"/>
              </w:rPr>
              <w:t>EC (2015)</w:t>
            </w:r>
            <w:r w:rsidR="00E859FB" w:rsidRPr="00914BAB">
              <w:rPr>
                <w:sz w:val="24"/>
                <w:szCs w:val="24"/>
                <w:lang w:val="en-GB"/>
              </w:rPr>
              <w:t xml:space="preserve">. </w:t>
            </w:r>
            <w:r w:rsidRPr="00914BAB">
              <w:rPr>
                <w:sz w:val="24"/>
                <w:szCs w:val="24"/>
                <w:lang w:val="en-GB"/>
              </w:rPr>
              <w:t xml:space="preserve">The incremental cost of electrified freight is drawn from a survey of academic literature (IEA, 2009; NRC, 2010; </w:t>
            </w:r>
            <w:proofErr w:type="spellStart"/>
            <w:r w:rsidRPr="00914BAB">
              <w:rPr>
                <w:sz w:val="24"/>
                <w:szCs w:val="24"/>
                <w:lang w:val="en-GB"/>
              </w:rPr>
              <w:t>Taefi</w:t>
            </w:r>
            <w:proofErr w:type="spellEnd"/>
            <w:r w:rsidRPr="00914BAB">
              <w:rPr>
                <w:sz w:val="24"/>
                <w:szCs w:val="24"/>
                <w:lang w:val="en-GB"/>
              </w:rPr>
              <w:t xml:space="preserve">, 2013; Davis, and Miguel, 2013; NRC, 2013; </w:t>
            </w:r>
            <w:proofErr w:type="spellStart"/>
            <w:r w:rsidRPr="00914BAB">
              <w:rPr>
                <w:sz w:val="24"/>
                <w:szCs w:val="24"/>
                <w:lang w:val="en-GB"/>
              </w:rPr>
              <w:t>Taefi</w:t>
            </w:r>
            <w:proofErr w:type="spellEnd"/>
            <w:r w:rsidRPr="00914BAB">
              <w:rPr>
                <w:sz w:val="24"/>
                <w:szCs w:val="24"/>
                <w:lang w:val="en-GB"/>
              </w:rPr>
              <w:t xml:space="preserve">, 2014). </w:t>
            </w:r>
          </w:p>
          <w:p w14:paraId="6A015A68" w14:textId="77777777" w:rsidR="00212796" w:rsidRPr="00914BAB" w:rsidRDefault="00212796" w:rsidP="00C07145">
            <w:pPr>
              <w:pStyle w:val="NoSpacing"/>
              <w:rPr>
                <w:sz w:val="24"/>
                <w:szCs w:val="24"/>
                <w:lang w:val="en-GB"/>
              </w:rPr>
            </w:pPr>
          </w:p>
          <w:p w14:paraId="2B86E4CA" w14:textId="5837216F" w:rsidR="000616F0" w:rsidRPr="00914BAB" w:rsidRDefault="000616F0" w:rsidP="008B07CF">
            <w:pPr>
              <w:pStyle w:val="NoSpacing"/>
              <w:rPr>
                <w:sz w:val="24"/>
                <w:szCs w:val="24"/>
                <w:lang w:val="en-GB"/>
              </w:rPr>
            </w:pPr>
            <w:r w:rsidRPr="00914BAB">
              <w:rPr>
                <w:sz w:val="24"/>
                <w:szCs w:val="24"/>
                <w:lang w:val="en-GB"/>
              </w:rPr>
              <w:t>A learning factor of 5% is applied to the incremental cost of electrified freight for the period to 2050 in line with the value for electric vehicles.</w:t>
            </w:r>
            <w:r w:rsidR="00B26608" w:rsidRPr="00914BAB">
              <w:rPr>
                <w:sz w:val="24"/>
                <w:szCs w:val="24"/>
                <w:lang w:val="en-GB"/>
              </w:rPr>
              <w:t xml:space="preserve"> This value </w:t>
            </w:r>
            <w:r w:rsidR="008B07CF" w:rsidRPr="00914BAB">
              <w:rPr>
                <w:sz w:val="24"/>
                <w:szCs w:val="24"/>
                <w:lang w:val="en-GB"/>
              </w:rPr>
              <w:t xml:space="preserve">is </w:t>
            </w:r>
            <w:r w:rsidR="00B26608" w:rsidRPr="00914BAB">
              <w:rPr>
                <w:sz w:val="24"/>
                <w:szCs w:val="24"/>
                <w:lang w:val="en-GB"/>
              </w:rPr>
              <w:t>increase</w:t>
            </w:r>
            <w:r w:rsidR="008B07CF" w:rsidRPr="00914BAB">
              <w:rPr>
                <w:sz w:val="24"/>
                <w:szCs w:val="24"/>
                <w:lang w:val="en-GB"/>
              </w:rPr>
              <w:t>d</w:t>
            </w:r>
            <w:r w:rsidR="00B26608" w:rsidRPr="00914BAB">
              <w:rPr>
                <w:sz w:val="24"/>
                <w:szCs w:val="24"/>
                <w:lang w:val="en-GB"/>
              </w:rPr>
              <w:t xml:space="preserve"> by 40% to 7% under</w:t>
            </w:r>
            <w:r w:rsidR="00212796" w:rsidRPr="00914BAB">
              <w:rPr>
                <w:sz w:val="24"/>
                <w:szCs w:val="24"/>
                <w:lang w:val="en-GB"/>
              </w:rPr>
              <w:t xml:space="preserve"> the high learning scenario.</w:t>
            </w:r>
            <w:r w:rsidR="00C27B3D">
              <w:rPr>
                <w:sz w:val="24"/>
                <w:szCs w:val="24"/>
                <w:lang w:val="en-GB"/>
              </w:rPr>
              <w:t xml:space="preserve"> Both vehicle costs and learning rates are likely highly conservative given recent advances in electric vehicle technology (</w:t>
            </w:r>
            <w:proofErr w:type="spellStart"/>
            <w:r w:rsidR="00C27B3D">
              <w:rPr>
                <w:sz w:val="24"/>
                <w:szCs w:val="24"/>
                <w:lang w:val="en-GB"/>
              </w:rPr>
              <w:t>eg</w:t>
            </w:r>
            <w:proofErr w:type="spellEnd"/>
            <w:r w:rsidR="00C27B3D">
              <w:rPr>
                <w:sz w:val="24"/>
                <w:szCs w:val="24"/>
                <w:lang w:val="en-GB"/>
              </w:rPr>
              <w:t xml:space="preserve">. Davies 2016; </w:t>
            </w:r>
            <w:proofErr w:type="spellStart"/>
            <w:r w:rsidR="00C27B3D">
              <w:rPr>
                <w:sz w:val="24"/>
                <w:szCs w:val="24"/>
                <w:lang w:val="en-GB"/>
              </w:rPr>
              <w:t>Mundada</w:t>
            </w:r>
            <w:proofErr w:type="spellEnd"/>
            <w:r w:rsidR="00C27B3D">
              <w:rPr>
                <w:sz w:val="24"/>
                <w:szCs w:val="24"/>
                <w:lang w:val="en-GB"/>
              </w:rPr>
              <w:t xml:space="preserve"> et al 2016).</w:t>
            </w:r>
          </w:p>
          <w:p w14:paraId="7103EBF3" w14:textId="77777777" w:rsidR="000616F0" w:rsidRPr="00914BAB" w:rsidRDefault="000616F0" w:rsidP="00C07145">
            <w:pPr>
              <w:pStyle w:val="NoSpacing"/>
              <w:rPr>
                <w:sz w:val="24"/>
                <w:szCs w:val="24"/>
                <w:lang w:val="en-GB"/>
              </w:rPr>
            </w:pPr>
          </w:p>
        </w:tc>
      </w:tr>
    </w:tbl>
    <w:p w14:paraId="0558FFEB" w14:textId="77777777" w:rsidR="000616F0" w:rsidRPr="00914BAB" w:rsidRDefault="000616F0" w:rsidP="000616F0">
      <w:pPr>
        <w:rPr>
          <w:sz w:val="24"/>
        </w:rPr>
      </w:pPr>
    </w:p>
    <w:p w14:paraId="42ECF30D" w14:textId="77777777" w:rsidR="000616F0" w:rsidRPr="00914BAB" w:rsidRDefault="000616F0" w:rsidP="005914B3">
      <w:pPr>
        <w:pStyle w:val="Heading3"/>
        <w:rPr>
          <w:sz w:val="24"/>
        </w:rPr>
      </w:pPr>
      <w:bookmarkStart w:id="14" w:name="_Toc292953281"/>
      <w:r w:rsidRPr="00914BAB">
        <w:rPr>
          <w:sz w:val="24"/>
        </w:rPr>
        <w:lastRenderedPageBreak/>
        <w:t>Waste</w:t>
      </w:r>
      <w:bookmarkEnd w:id="14"/>
    </w:p>
    <w:tbl>
      <w:tblPr>
        <w:tblStyle w:val="TableGrid"/>
        <w:tblW w:w="0" w:type="auto"/>
        <w:tblLook w:val="04A0" w:firstRow="1" w:lastRow="0" w:firstColumn="1" w:lastColumn="0" w:noHBand="0" w:noVBand="1"/>
      </w:tblPr>
      <w:tblGrid>
        <w:gridCol w:w="1384"/>
        <w:gridCol w:w="2977"/>
        <w:gridCol w:w="4495"/>
      </w:tblGrid>
      <w:tr w:rsidR="000616F0" w:rsidRPr="00914BAB" w14:paraId="5DE43449" w14:textId="77777777" w:rsidTr="007079A3">
        <w:trPr>
          <w:trHeight w:val="416"/>
        </w:trPr>
        <w:tc>
          <w:tcPr>
            <w:tcW w:w="1384" w:type="dxa"/>
          </w:tcPr>
          <w:p w14:paraId="6C477572" w14:textId="77777777" w:rsidR="000616F0" w:rsidRPr="00914BAB" w:rsidRDefault="000616F0" w:rsidP="00061339">
            <w:pPr>
              <w:pStyle w:val="NoSpacing"/>
              <w:rPr>
                <w:b/>
                <w:bCs/>
                <w:sz w:val="24"/>
                <w:szCs w:val="24"/>
                <w:lang w:val="en-GB"/>
              </w:rPr>
            </w:pPr>
          </w:p>
        </w:tc>
        <w:tc>
          <w:tcPr>
            <w:tcW w:w="2977" w:type="dxa"/>
          </w:tcPr>
          <w:p w14:paraId="0C71810A" w14:textId="77777777" w:rsidR="000616F0" w:rsidRPr="00914BAB" w:rsidRDefault="000616F0" w:rsidP="00061339">
            <w:pPr>
              <w:pStyle w:val="NoSpacing"/>
              <w:rPr>
                <w:b/>
                <w:bCs/>
                <w:sz w:val="24"/>
                <w:szCs w:val="24"/>
                <w:lang w:val="en-GB"/>
              </w:rPr>
            </w:pPr>
            <w:r w:rsidRPr="00914BAB">
              <w:rPr>
                <w:rFonts w:eastAsia="Times New Roman"/>
                <w:b/>
                <w:bCs/>
                <w:sz w:val="24"/>
                <w:szCs w:val="24"/>
                <w:lang w:val="en-GB"/>
              </w:rPr>
              <w:t>Mitigation – assumptions and data</w:t>
            </w:r>
            <w:r w:rsidRPr="00914BAB">
              <w:rPr>
                <w:rStyle w:val="FootnoteReference"/>
                <w:b/>
                <w:bCs/>
                <w:sz w:val="24"/>
                <w:szCs w:val="24"/>
                <w:lang w:val="en-GB"/>
              </w:rPr>
              <w:footnoteReference w:id="17"/>
            </w:r>
          </w:p>
        </w:tc>
        <w:tc>
          <w:tcPr>
            <w:tcW w:w="4495" w:type="dxa"/>
          </w:tcPr>
          <w:p w14:paraId="79702263" w14:textId="77777777" w:rsidR="000616F0" w:rsidRPr="00914BAB" w:rsidRDefault="000616F0" w:rsidP="00061339">
            <w:pPr>
              <w:pStyle w:val="NoSpacing"/>
              <w:rPr>
                <w:b/>
                <w:bCs/>
                <w:sz w:val="24"/>
                <w:szCs w:val="24"/>
                <w:lang w:val="en-GB"/>
              </w:rPr>
            </w:pPr>
            <w:r w:rsidRPr="00914BAB">
              <w:rPr>
                <w:rFonts w:eastAsia="Times New Roman"/>
                <w:b/>
                <w:bCs/>
                <w:sz w:val="24"/>
                <w:szCs w:val="24"/>
                <w:lang w:val="en-GB"/>
              </w:rPr>
              <w:t>Costs - assumptions and data</w:t>
            </w:r>
          </w:p>
        </w:tc>
      </w:tr>
      <w:tr w:rsidR="000616F0" w:rsidRPr="00914BAB" w14:paraId="791DE4A4" w14:textId="77777777" w:rsidTr="007079A3">
        <w:tc>
          <w:tcPr>
            <w:tcW w:w="1384" w:type="dxa"/>
          </w:tcPr>
          <w:p w14:paraId="16B6CC55" w14:textId="77777777" w:rsidR="000616F0" w:rsidRPr="00914BAB" w:rsidRDefault="000616F0" w:rsidP="00061339">
            <w:pPr>
              <w:pStyle w:val="NoSpacing"/>
              <w:rPr>
                <w:b/>
                <w:bCs/>
                <w:sz w:val="24"/>
                <w:szCs w:val="24"/>
                <w:lang w:val="en-GB"/>
              </w:rPr>
            </w:pPr>
            <w:r w:rsidRPr="00914BAB">
              <w:rPr>
                <w:b/>
                <w:bCs/>
                <w:sz w:val="24"/>
                <w:szCs w:val="24"/>
                <w:lang w:val="en-GB"/>
              </w:rPr>
              <w:t>Recycling</w:t>
            </w:r>
          </w:p>
        </w:tc>
        <w:tc>
          <w:tcPr>
            <w:tcW w:w="2977" w:type="dxa"/>
          </w:tcPr>
          <w:p w14:paraId="7DC99D5C" w14:textId="77777777" w:rsidR="000616F0" w:rsidRPr="00914BAB" w:rsidRDefault="000616F0" w:rsidP="00C07145">
            <w:pPr>
              <w:pStyle w:val="NoSpacing"/>
              <w:rPr>
                <w:sz w:val="24"/>
                <w:szCs w:val="24"/>
              </w:rPr>
            </w:pPr>
            <w:r w:rsidRPr="00914BAB">
              <w:rPr>
                <w:sz w:val="24"/>
                <w:szCs w:val="24"/>
              </w:rPr>
              <w:t xml:space="preserve">Recycling rates rise 80% of recoverable materials by 2050 in all regions by 2050. </w:t>
            </w:r>
          </w:p>
          <w:p w14:paraId="3AA6D360" w14:textId="77777777" w:rsidR="000616F0" w:rsidRPr="00914BAB" w:rsidRDefault="000616F0" w:rsidP="00C07145">
            <w:pPr>
              <w:pStyle w:val="NoSpacing"/>
              <w:rPr>
                <w:sz w:val="24"/>
                <w:szCs w:val="24"/>
              </w:rPr>
            </w:pPr>
          </w:p>
        </w:tc>
        <w:tc>
          <w:tcPr>
            <w:tcW w:w="4495" w:type="dxa"/>
          </w:tcPr>
          <w:p w14:paraId="2D07D494" w14:textId="77777777" w:rsidR="000616F0" w:rsidRPr="00914BAB" w:rsidRDefault="000616F0" w:rsidP="00C07145">
            <w:pPr>
              <w:pStyle w:val="NoSpacing"/>
              <w:rPr>
                <w:sz w:val="24"/>
                <w:szCs w:val="24"/>
              </w:rPr>
            </w:pPr>
            <w:r w:rsidRPr="00914BAB">
              <w:rPr>
                <w:sz w:val="24"/>
                <w:szCs w:val="24"/>
              </w:rPr>
              <w:t xml:space="preserve">No costs were developed for this measure, however, research suggests that recycling in certain circumstances can generate net economic returns </w:t>
            </w:r>
            <w:proofErr w:type="spellStart"/>
            <w:r w:rsidRPr="00914BAB">
              <w:rPr>
                <w:sz w:val="24"/>
                <w:szCs w:val="24"/>
              </w:rPr>
              <w:t>Graedel</w:t>
            </w:r>
            <w:proofErr w:type="spellEnd"/>
            <w:r w:rsidRPr="00914BAB">
              <w:rPr>
                <w:sz w:val="24"/>
                <w:szCs w:val="24"/>
              </w:rPr>
              <w:t xml:space="preserve"> 2011; </w:t>
            </w:r>
            <w:proofErr w:type="spellStart"/>
            <w:r w:rsidRPr="00914BAB">
              <w:rPr>
                <w:sz w:val="24"/>
                <w:szCs w:val="24"/>
              </w:rPr>
              <w:t>Goe</w:t>
            </w:r>
            <w:proofErr w:type="spellEnd"/>
            <w:r w:rsidRPr="00914BAB">
              <w:rPr>
                <w:sz w:val="24"/>
                <w:szCs w:val="24"/>
              </w:rPr>
              <w:t xml:space="preserve">, and Gabrielle 2014; </w:t>
            </w:r>
            <w:proofErr w:type="spellStart"/>
            <w:r w:rsidRPr="00914BAB">
              <w:rPr>
                <w:sz w:val="24"/>
                <w:szCs w:val="24"/>
              </w:rPr>
              <w:t>Colenbrander</w:t>
            </w:r>
            <w:proofErr w:type="spellEnd"/>
            <w:r w:rsidRPr="00914BAB">
              <w:rPr>
                <w:sz w:val="24"/>
                <w:szCs w:val="24"/>
              </w:rPr>
              <w:t xml:space="preserve"> 2015)</w:t>
            </w:r>
          </w:p>
          <w:p w14:paraId="20730F47" w14:textId="77777777" w:rsidR="000616F0" w:rsidRPr="00914BAB" w:rsidRDefault="000616F0" w:rsidP="00C07145">
            <w:pPr>
              <w:pStyle w:val="NoSpacing"/>
              <w:rPr>
                <w:sz w:val="24"/>
                <w:szCs w:val="24"/>
              </w:rPr>
            </w:pPr>
          </w:p>
        </w:tc>
      </w:tr>
      <w:tr w:rsidR="000616F0" w:rsidRPr="00914BAB" w14:paraId="7195826E" w14:textId="77777777" w:rsidTr="007079A3">
        <w:tc>
          <w:tcPr>
            <w:tcW w:w="1384" w:type="dxa"/>
          </w:tcPr>
          <w:p w14:paraId="0AD95D38" w14:textId="77777777" w:rsidR="000616F0" w:rsidRPr="00914BAB" w:rsidRDefault="000616F0" w:rsidP="00061339">
            <w:pPr>
              <w:pStyle w:val="NoSpacing"/>
              <w:rPr>
                <w:b/>
                <w:bCs/>
                <w:sz w:val="24"/>
                <w:szCs w:val="24"/>
                <w:lang w:val="en-GB"/>
              </w:rPr>
            </w:pPr>
            <w:r w:rsidRPr="00914BAB">
              <w:rPr>
                <w:b/>
                <w:bCs/>
                <w:sz w:val="24"/>
                <w:szCs w:val="24"/>
                <w:lang w:val="en-GB"/>
              </w:rPr>
              <w:t>Landfill gas capture</w:t>
            </w:r>
          </w:p>
        </w:tc>
        <w:tc>
          <w:tcPr>
            <w:tcW w:w="2977" w:type="dxa"/>
          </w:tcPr>
          <w:p w14:paraId="759B1E0F" w14:textId="1C9C98F6" w:rsidR="000616F0" w:rsidRPr="00914BAB" w:rsidRDefault="000616F0" w:rsidP="00C07145">
            <w:pPr>
              <w:pStyle w:val="NoSpacing"/>
              <w:rPr>
                <w:sz w:val="24"/>
                <w:szCs w:val="24"/>
              </w:rPr>
            </w:pPr>
            <w:r w:rsidRPr="00914BAB">
              <w:rPr>
                <w:sz w:val="24"/>
                <w:szCs w:val="24"/>
              </w:rPr>
              <w:t xml:space="preserve">The fraction of methane captured rises 5.5% annually in non-OECD countries and 2.5% in OECD. This is a result of increased number and efficiency of capture facilities. OECD countries increase the share of facilities capturing methane to 80% by 2050, from 30% in the reference scenario. In non-OECD countries the respective increase is 50% by 2050 from a reference case of 65%. The efficiency of capture increases 1.3% per year to 84% relative to a reference case of .3% growth in all countries. All regions experience 2% annual growth in methane capture capable facilities that also generate grid electricity. </w:t>
            </w:r>
          </w:p>
        </w:tc>
        <w:tc>
          <w:tcPr>
            <w:tcW w:w="4495" w:type="dxa"/>
          </w:tcPr>
          <w:p w14:paraId="4DCDA712" w14:textId="77777777" w:rsidR="00212796" w:rsidRPr="00914BAB" w:rsidRDefault="000616F0" w:rsidP="00C07145">
            <w:pPr>
              <w:pStyle w:val="NoSpacing"/>
              <w:rPr>
                <w:sz w:val="24"/>
                <w:szCs w:val="24"/>
              </w:rPr>
            </w:pPr>
            <w:r w:rsidRPr="00914BAB">
              <w:rPr>
                <w:sz w:val="24"/>
                <w:szCs w:val="24"/>
              </w:rPr>
              <w:t xml:space="preserve">The capital cost of capture facilities, operating costs and capacity factors were drawn from WEC/BNEF (2013). </w:t>
            </w:r>
          </w:p>
          <w:p w14:paraId="4534D46A" w14:textId="77777777" w:rsidR="00212796" w:rsidRPr="00914BAB" w:rsidRDefault="00212796" w:rsidP="00C07145">
            <w:pPr>
              <w:pStyle w:val="NoSpacing"/>
              <w:rPr>
                <w:sz w:val="24"/>
                <w:szCs w:val="24"/>
              </w:rPr>
            </w:pPr>
          </w:p>
          <w:p w14:paraId="23927774" w14:textId="77777777" w:rsidR="000616F0" w:rsidRDefault="000616F0" w:rsidP="00212796">
            <w:pPr>
              <w:pStyle w:val="NoSpacing"/>
              <w:rPr>
                <w:sz w:val="24"/>
                <w:szCs w:val="24"/>
              </w:rPr>
            </w:pPr>
            <w:r w:rsidRPr="00914BAB">
              <w:rPr>
                <w:sz w:val="24"/>
                <w:szCs w:val="24"/>
              </w:rPr>
              <w:t>Based on the Energy Investment Outlook, IEA (2014c) assumptions a based learning factor of 5% is applied and a high learning factor of 7%</w:t>
            </w:r>
            <w:r w:rsidR="00212796" w:rsidRPr="00914BAB">
              <w:rPr>
                <w:sz w:val="24"/>
                <w:szCs w:val="24"/>
              </w:rPr>
              <w:t xml:space="preserve">  (i.e. a 40% increase consistent with the other measures)</w:t>
            </w:r>
            <w:r w:rsidRPr="00914BAB">
              <w:rPr>
                <w:sz w:val="24"/>
                <w:szCs w:val="24"/>
              </w:rPr>
              <w:t>.</w:t>
            </w:r>
          </w:p>
          <w:p w14:paraId="44FD5111" w14:textId="77777777" w:rsidR="008C66E1" w:rsidRDefault="008C66E1" w:rsidP="00212796">
            <w:pPr>
              <w:pStyle w:val="NoSpacing"/>
              <w:rPr>
                <w:sz w:val="24"/>
                <w:szCs w:val="24"/>
              </w:rPr>
            </w:pPr>
          </w:p>
          <w:p w14:paraId="5ADD29B2" w14:textId="67D05FCF" w:rsidR="008C66E1" w:rsidRPr="00914BAB" w:rsidRDefault="00613377" w:rsidP="00613377">
            <w:pPr>
              <w:pStyle w:val="NoSpacing"/>
              <w:rPr>
                <w:sz w:val="24"/>
                <w:szCs w:val="24"/>
              </w:rPr>
            </w:pPr>
            <w:r>
              <w:rPr>
                <w:sz w:val="24"/>
                <w:szCs w:val="24"/>
              </w:rPr>
              <w:t xml:space="preserve">Limited country-level data limits our analysis to a global level, however WEC/BNEF analysis suggests that the cost differential between nations is narrowing, suggesting estimates of 2015 costs and learning factors are likely conservative. </w:t>
            </w:r>
          </w:p>
        </w:tc>
      </w:tr>
    </w:tbl>
    <w:p w14:paraId="0D92D78E" w14:textId="77777777" w:rsidR="00061339" w:rsidRPr="00914BAB" w:rsidRDefault="00061339" w:rsidP="00061339">
      <w:pPr>
        <w:rPr>
          <w:sz w:val="24"/>
        </w:rPr>
      </w:pPr>
    </w:p>
    <w:p w14:paraId="4F6C6ED4" w14:textId="14D82F28" w:rsidR="00AD1056" w:rsidRPr="00914BAB" w:rsidRDefault="00AD1056" w:rsidP="00061339">
      <w:pPr>
        <w:pStyle w:val="Heading2"/>
        <w:rPr>
          <w:szCs w:val="24"/>
        </w:rPr>
      </w:pPr>
      <w:bookmarkStart w:id="15" w:name="_Toc292953282"/>
      <w:r w:rsidRPr="00914BAB">
        <w:rPr>
          <w:szCs w:val="24"/>
        </w:rPr>
        <w:t>Limitations</w:t>
      </w:r>
      <w:bookmarkEnd w:id="15"/>
    </w:p>
    <w:p w14:paraId="6F04BCA1" w14:textId="42AA9D24" w:rsidR="009973AB" w:rsidRPr="00914BAB" w:rsidRDefault="009973AB" w:rsidP="00442712">
      <w:pPr>
        <w:rPr>
          <w:i/>
          <w:sz w:val="24"/>
        </w:rPr>
      </w:pPr>
      <w:r w:rsidRPr="00914BAB">
        <w:rPr>
          <w:sz w:val="24"/>
        </w:rPr>
        <w:t>Long-term estimates of investment needs and economic costs carry a high level of uncertainty owing to the compounding effect of minor changes in assumptions, and uncertainty surrounding emerging technologies, en</w:t>
      </w:r>
      <w:r w:rsidR="008B5D63" w:rsidRPr="00914BAB">
        <w:rPr>
          <w:sz w:val="24"/>
        </w:rPr>
        <w:t>ergy prices and economic growth</w:t>
      </w:r>
      <w:r w:rsidRPr="00914BAB">
        <w:rPr>
          <w:sz w:val="24"/>
        </w:rPr>
        <w:t xml:space="preserve"> </w:t>
      </w:r>
      <w:r w:rsidR="00CF7F2C">
        <w:rPr>
          <w:sz w:val="24"/>
        </w:rPr>
        <w:t>(</w:t>
      </w:r>
      <w:r w:rsidRPr="00914BAB">
        <w:rPr>
          <w:sz w:val="24"/>
        </w:rPr>
        <w:t xml:space="preserve">to </w:t>
      </w:r>
      <w:r w:rsidRPr="00914BAB">
        <w:rPr>
          <w:sz w:val="24"/>
        </w:rPr>
        <w:lastRenderedPageBreak/>
        <w:t>name only a few key factors</w:t>
      </w:r>
      <w:r w:rsidR="00CF7F2C">
        <w:rPr>
          <w:sz w:val="24"/>
        </w:rPr>
        <w:t>)</w:t>
      </w:r>
      <w:r w:rsidRPr="00914BAB">
        <w:rPr>
          <w:sz w:val="24"/>
        </w:rPr>
        <w:t>. We therefore emphasi</w:t>
      </w:r>
      <w:r w:rsidR="00442712" w:rsidRPr="00914BAB">
        <w:rPr>
          <w:sz w:val="24"/>
        </w:rPr>
        <w:t>s</w:t>
      </w:r>
      <w:r w:rsidRPr="00914BAB">
        <w:rPr>
          <w:sz w:val="24"/>
        </w:rPr>
        <w:t>e that this work should be seen as a high level estimate of the investment needs and economic potential of an ambitious set of urban climate mitigation actions, but not as a business</w:t>
      </w:r>
      <w:r w:rsidR="00CF7F2C">
        <w:rPr>
          <w:sz w:val="24"/>
        </w:rPr>
        <w:t>-</w:t>
      </w:r>
      <w:r w:rsidRPr="00914BAB">
        <w:rPr>
          <w:sz w:val="24"/>
        </w:rPr>
        <w:t>case or macroeconomic analysis of the impact of these scenarios</w:t>
      </w:r>
      <w:r w:rsidRPr="00914BAB">
        <w:rPr>
          <w:i/>
          <w:sz w:val="24"/>
        </w:rPr>
        <w:t>.</w:t>
      </w:r>
    </w:p>
    <w:p w14:paraId="54F705C7" w14:textId="16199D19" w:rsidR="000A083E" w:rsidRPr="00914BAB" w:rsidRDefault="009973AB" w:rsidP="009973AB">
      <w:pPr>
        <w:rPr>
          <w:sz w:val="24"/>
        </w:rPr>
      </w:pPr>
      <w:r w:rsidRPr="00914BAB">
        <w:rPr>
          <w:sz w:val="24"/>
        </w:rPr>
        <w:t>Due to limitations in the availability of data, analysis in this paper frequently relies on data at the OECD / non-OECD level which is then applied to urban areas. Further, only average annual data is considered. As a result, findings are applicable at a macro</w:t>
      </w:r>
      <w:r w:rsidR="00CF7F2C">
        <w:rPr>
          <w:sz w:val="24"/>
        </w:rPr>
        <w:t>-</w:t>
      </w:r>
      <w:r w:rsidRPr="00914BAB">
        <w:rPr>
          <w:sz w:val="24"/>
        </w:rPr>
        <w:t xml:space="preserve">scale but not </w:t>
      </w:r>
      <w:proofErr w:type="gramStart"/>
      <w:r w:rsidRPr="00914BAB">
        <w:rPr>
          <w:sz w:val="24"/>
        </w:rPr>
        <w:t>to</w:t>
      </w:r>
      <w:proofErr w:type="gramEnd"/>
      <w:r w:rsidRPr="00914BAB">
        <w:rPr>
          <w:sz w:val="24"/>
        </w:rPr>
        <w:t xml:space="preserve"> individual regions, countries or urban areas. Caution should therefore be exercised applying the specific results of these results at less than a global scale.</w:t>
      </w:r>
      <w:r w:rsidR="009015FE">
        <w:rPr>
          <w:sz w:val="24"/>
        </w:rPr>
        <w:t xml:space="preserve"> This issue is particularly significant in Sou</w:t>
      </w:r>
      <w:r w:rsidR="000A083E">
        <w:rPr>
          <w:sz w:val="24"/>
        </w:rPr>
        <w:t>th-East Asia and Sub-Saharan Africa</w:t>
      </w:r>
      <w:r w:rsidR="00CF7F2C">
        <w:rPr>
          <w:sz w:val="24"/>
        </w:rPr>
        <w:t>,</w:t>
      </w:r>
      <w:r w:rsidR="000A083E">
        <w:rPr>
          <w:sz w:val="24"/>
        </w:rPr>
        <w:t xml:space="preserve"> where non-OECD data is a poor substitute for city</w:t>
      </w:r>
      <w:r w:rsidR="00CF7F2C">
        <w:rPr>
          <w:sz w:val="24"/>
        </w:rPr>
        <w:t>-</w:t>
      </w:r>
      <w:r w:rsidR="000A083E">
        <w:rPr>
          <w:sz w:val="24"/>
        </w:rPr>
        <w:t>level data and where some of the fastest urbanisation is taking place.</w:t>
      </w:r>
    </w:p>
    <w:p w14:paraId="1F8666C3" w14:textId="55AEAEDF" w:rsidR="000A083E" w:rsidRPr="00914BAB" w:rsidRDefault="009973AB" w:rsidP="009973AB">
      <w:pPr>
        <w:rPr>
          <w:sz w:val="24"/>
        </w:rPr>
      </w:pPr>
      <w:r w:rsidRPr="00914BAB">
        <w:rPr>
          <w:sz w:val="24"/>
        </w:rPr>
        <w:t>It is also important to note that a number of</w:t>
      </w:r>
      <w:r w:rsidR="00CF7F2C">
        <w:rPr>
          <w:sz w:val="24"/>
        </w:rPr>
        <w:t xml:space="preserve"> important</w:t>
      </w:r>
      <w:r w:rsidRPr="00914BAB">
        <w:rPr>
          <w:sz w:val="24"/>
        </w:rPr>
        <w:t xml:space="preserve"> factors were not considered in this analysis.  Energy savings post-</w:t>
      </w:r>
      <w:r w:rsidR="00B26608" w:rsidRPr="00914BAB">
        <w:rPr>
          <w:sz w:val="24"/>
        </w:rPr>
        <w:t>2050 are not included due to</w:t>
      </w:r>
      <w:r w:rsidRPr="00914BAB">
        <w:rPr>
          <w:sz w:val="24"/>
        </w:rPr>
        <w:t xml:space="preserve"> uncertainty surrounding energy prices </w:t>
      </w:r>
      <w:r w:rsidR="00CF7F2C">
        <w:rPr>
          <w:sz w:val="24"/>
        </w:rPr>
        <w:t xml:space="preserve">this far </w:t>
      </w:r>
      <w:r w:rsidRPr="00914BAB">
        <w:rPr>
          <w:sz w:val="24"/>
        </w:rPr>
        <w:t>in</w:t>
      </w:r>
      <w:r w:rsidR="00CF7F2C">
        <w:rPr>
          <w:sz w:val="24"/>
        </w:rPr>
        <w:t>to</w:t>
      </w:r>
      <w:r w:rsidRPr="00914BAB">
        <w:rPr>
          <w:sz w:val="24"/>
        </w:rPr>
        <w:t xml:space="preserve"> the future. In addition, avoided costs, particularly in the transport sector (i.e</w:t>
      </w:r>
      <w:r w:rsidR="00442712" w:rsidRPr="00914BAB">
        <w:rPr>
          <w:sz w:val="24"/>
        </w:rPr>
        <w:t>.</w:t>
      </w:r>
      <w:r w:rsidRPr="00914BAB">
        <w:rPr>
          <w:sz w:val="24"/>
        </w:rPr>
        <w:t xml:space="preserve"> cars not purchased,) are not included. Further, additional co-benefits and cost savings are not included. For example the health savings from improved urban mobility and reduced vehicle travel, or increase</w:t>
      </w:r>
      <w:r w:rsidR="00442712" w:rsidRPr="00914BAB">
        <w:rPr>
          <w:sz w:val="24"/>
        </w:rPr>
        <w:t>d</w:t>
      </w:r>
      <w:r w:rsidRPr="00914BAB">
        <w:rPr>
          <w:sz w:val="24"/>
        </w:rPr>
        <w:t xml:space="preserve"> productivity in green buildings. These factors are explored </w:t>
      </w:r>
      <w:r w:rsidR="00D64E50" w:rsidRPr="00914BAB">
        <w:rPr>
          <w:sz w:val="24"/>
        </w:rPr>
        <w:t>in the cities chapter of Calderon and Stern (2015).</w:t>
      </w:r>
      <w:r w:rsidRPr="00914BAB">
        <w:rPr>
          <w:sz w:val="24"/>
        </w:rPr>
        <w:t xml:space="preserve"> Feedback effects and rebound effects – changes in the consumption of energy and travel due to changes in prices – have also not been specifically accounted for in these models although they may have significant effects on energy use and emissi</w:t>
      </w:r>
      <w:r w:rsidR="000A083E">
        <w:rPr>
          <w:sz w:val="24"/>
        </w:rPr>
        <w:t xml:space="preserve">ons over the period 2015 – 2050. In addition, </w:t>
      </w:r>
      <w:r w:rsidR="00612A22">
        <w:rPr>
          <w:sz w:val="24"/>
        </w:rPr>
        <w:t xml:space="preserve">forecast but unrealised technological breakthroughs, including autonomous vehicles, low carbon energy sources, </w:t>
      </w:r>
      <w:r w:rsidR="00C20E82">
        <w:rPr>
          <w:sz w:val="24"/>
        </w:rPr>
        <w:t xml:space="preserve">carbon capture and storage, fusion, </w:t>
      </w:r>
      <w:bookmarkStart w:id="16" w:name="_GoBack"/>
      <w:bookmarkEnd w:id="16"/>
      <w:r w:rsidR="00612A22">
        <w:rPr>
          <w:sz w:val="24"/>
        </w:rPr>
        <w:t>and high efficiency buildings materials, not to mention technological developments beyond the horizon, have not been included in this analysis but have the potential to dramatically alter results.</w:t>
      </w:r>
    </w:p>
    <w:p w14:paraId="5C302D4C" w14:textId="0DF4B17A" w:rsidR="009973AB" w:rsidRPr="00914BAB" w:rsidRDefault="009973AB" w:rsidP="00442712">
      <w:pPr>
        <w:rPr>
          <w:sz w:val="24"/>
        </w:rPr>
      </w:pPr>
      <w:r w:rsidRPr="00914BAB">
        <w:rPr>
          <w:sz w:val="24"/>
        </w:rPr>
        <w:t>The importance of a number of key sensitivities</w:t>
      </w:r>
      <w:r w:rsidR="00442712" w:rsidRPr="00914BAB">
        <w:rPr>
          <w:sz w:val="24"/>
        </w:rPr>
        <w:t xml:space="preserve"> – </w:t>
      </w:r>
      <w:r w:rsidRPr="00914BAB">
        <w:rPr>
          <w:sz w:val="24"/>
        </w:rPr>
        <w:t>including energy prices, learning rates and discount rates</w:t>
      </w:r>
      <w:r w:rsidR="00442712" w:rsidRPr="00914BAB">
        <w:rPr>
          <w:sz w:val="24"/>
        </w:rPr>
        <w:t xml:space="preserve"> –</w:t>
      </w:r>
      <w:r w:rsidR="00442712" w:rsidRPr="00914BAB">
        <w:rPr>
          <w:rFonts w:eastAsia="PMingLiU"/>
          <w:sz w:val="24"/>
          <w:lang w:eastAsia="zh-TW"/>
        </w:rPr>
        <w:t xml:space="preserve"> </w:t>
      </w:r>
      <w:r w:rsidR="00442712" w:rsidRPr="00914BAB">
        <w:rPr>
          <w:sz w:val="24"/>
        </w:rPr>
        <w:t>is</w:t>
      </w:r>
      <w:r w:rsidRPr="00914BAB">
        <w:rPr>
          <w:sz w:val="24"/>
        </w:rPr>
        <w:t xml:space="preserve"> illustrated in Figure 1. While these are by no means the only important variables they illustrate the key point – relatively small changes in underlying assumptions generate significant changes in overall results over the time period to 2050. </w:t>
      </w:r>
    </w:p>
    <w:p w14:paraId="2C1F6B46" w14:textId="77777777" w:rsidR="00AD1056" w:rsidRPr="00914BAB" w:rsidRDefault="00AD1056" w:rsidP="002434E1">
      <w:pPr>
        <w:rPr>
          <w:sz w:val="24"/>
          <w:shd w:val="clear" w:color="auto" w:fill="FFFFFF"/>
        </w:rPr>
      </w:pPr>
    </w:p>
    <w:p w14:paraId="51262070" w14:textId="77777777" w:rsidR="000965A2" w:rsidRPr="00914BAB" w:rsidRDefault="000965A2" w:rsidP="00CC50B1">
      <w:pPr>
        <w:pStyle w:val="Heading1"/>
        <w:rPr>
          <w:sz w:val="24"/>
          <w:szCs w:val="24"/>
        </w:rPr>
      </w:pPr>
      <w:bookmarkStart w:id="17" w:name="_Toc292953283"/>
      <w:r w:rsidRPr="00914BAB">
        <w:rPr>
          <w:sz w:val="24"/>
          <w:szCs w:val="24"/>
        </w:rPr>
        <w:t>Results</w:t>
      </w:r>
      <w:bookmarkEnd w:id="17"/>
    </w:p>
    <w:p w14:paraId="592DEF29" w14:textId="3DBD6CC9" w:rsidR="008C6983" w:rsidRPr="00914BAB" w:rsidRDefault="007B3FFB" w:rsidP="007B3FFB">
      <w:pPr>
        <w:pStyle w:val="Heading2"/>
        <w:rPr>
          <w:szCs w:val="24"/>
        </w:rPr>
      </w:pPr>
      <w:bookmarkStart w:id="18" w:name="_Toc292953284"/>
      <w:r w:rsidRPr="00914BAB">
        <w:rPr>
          <w:szCs w:val="24"/>
        </w:rPr>
        <w:t>Central Projections</w:t>
      </w:r>
      <w:bookmarkEnd w:id="18"/>
    </w:p>
    <w:p w14:paraId="3CBCC3CD" w14:textId="01D46F7D" w:rsidR="0013654C" w:rsidRPr="00914BAB" w:rsidRDefault="009973AB" w:rsidP="0013654C">
      <w:pPr>
        <w:rPr>
          <w:sz w:val="24"/>
        </w:rPr>
      </w:pPr>
      <w:r w:rsidRPr="00914BAB">
        <w:rPr>
          <w:sz w:val="24"/>
        </w:rPr>
        <w:t xml:space="preserve">Results demonstrate that a compelling economic case exists for urban climate action across cities of more than 300,000 inhabitants. Using a discount rate of 3% and annual energy price increase of 2.5% the total global cost of these investments would be $976.7 billion per year between 2015 and 2050 (equivalent to 1.3% of global GDP in 2014). While this is a substantial expenditure these investments would lead to savings in energy expenditure of $1.6 trillion in 2030 and $5.9 trillion in 2050 (see Table 1). Across all investments, the </w:t>
      </w:r>
      <w:r w:rsidRPr="00914BAB">
        <w:rPr>
          <w:sz w:val="24"/>
        </w:rPr>
        <w:lastRenderedPageBreak/>
        <w:t>average payback period weighted by investment value is 16</w:t>
      </w:r>
      <w:r w:rsidRPr="00914BAB">
        <w:rPr>
          <w:rStyle w:val="FootnoteReference"/>
          <w:sz w:val="24"/>
        </w:rPr>
        <w:footnoteReference w:id="18"/>
      </w:r>
      <w:r w:rsidRPr="00914BAB">
        <w:rPr>
          <w:sz w:val="24"/>
        </w:rPr>
        <w:t xml:space="preserve"> years and the net present value of these investments is $16.6 trillion between 2015 and 2050. Notably, these urban actions continue to generate energy savings after 2050, suggesting that there is substantial additional value not included in these calculations</w:t>
      </w:r>
      <w:r w:rsidRPr="00914BAB">
        <w:rPr>
          <w:rStyle w:val="FootnoteReference"/>
          <w:sz w:val="24"/>
        </w:rPr>
        <w:footnoteReference w:id="19"/>
      </w:r>
      <w:r w:rsidRPr="00914BAB">
        <w:rPr>
          <w:sz w:val="24"/>
        </w:rPr>
        <w:t>.</w:t>
      </w:r>
    </w:p>
    <w:p w14:paraId="37319219" w14:textId="1219A054" w:rsidR="0013654C" w:rsidRPr="00914BAB" w:rsidRDefault="007B3FFB" w:rsidP="007B3FFB">
      <w:pPr>
        <w:rPr>
          <w:iCs/>
          <w:sz w:val="24"/>
          <w:shd w:val="clear" w:color="auto" w:fill="FFFFFF"/>
        </w:rPr>
      </w:pPr>
      <w:r w:rsidRPr="00914BAB">
        <w:rPr>
          <w:iCs/>
          <w:sz w:val="24"/>
          <w:shd w:val="clear" w:color="auto" w:fill="FFFFFF"/>
        </w:rPr>
        <w:t>Within sectors there is substantial variation in the economic case for low carbon investment. In the ‘Buildings – residential’ sector a strong economic case exists for ‘new building heating efficiency’ measures, but not for the retrofitting of existing buildings. The most cost-effective measure, however, is ‘appliances and lighting’ where the average payback period is less than one year. In the ‘Buildings – commercial’ sector ‘New building heating efficiency’ measures have a stronger economic case than ‘heating retrofits’, however both measures show a negative net present value under a discount rate of 3% and energy prices rises of 2.5% per year. Across both sectors, owing to the strong economic case for investments in ‘Appliances and lighting’, investment of USD $23.7 trillion would payback in 17 years, generate a net present value of USD $6.0 trillion by 2050 and continue to generate economic returns after 2050.</w:t>
      </w:r>
    </w:p>
    <w:p w14:paraId="0463C1EA" w14:textId="6211C42D" w:rsidR="007B3FFB" w:rsidRPr="004679F0" w:rsidRDefault="005F4478" w:rsidP="007B3FFB">
      <w:pPr>
        <w:rPr>
          <w:iCs/>
          <w:sz w:val="24"/>
          <w:shd w:val="clear" w:color="auto" w:fill="FFFFFF"/>
        </w:rPr>
        <w:sectPr w:rsidR="007B3FFB" w:rsidRPr="004679F0" w:rsidSect="00C43089">
          <w:pgSz w:w="11906" w:h="16838"/>
          <w:pgMar w:top="1440" w:right="1440" w:bottom="1440" w:left="1440" w:header="708" w:footer="708" w:gutter="0"/>
          <w:cols w:space="708"/>
          <w:docGrid w:linePitch="360"/>
        </w:sectPr>
      </w:pPr>
      <w:r w:rsidRPr="00914BAB">
        <w:rPr>
          <w:iCs/>
          <w:sz w:val="24"/>
          <w:shd w:val="clear" w:color="auto" w:fill="FFFFFF"/>
        </w:rPr>
        <w:t xml:space="preserve">In the transport sector, investments in ‘Urban planning – reduced travel demand’ and ‘Logistics improvements’ are not estimated, however analysis from the New Climate Economy suggests that urban planning for compact and connected cities could reduce investment costs by $3 trillion between 2015 and 2030 (Floater et al 2014). This is further supported by work from the World Bank </w:t>
      </w:r>
      <w:r w:rsidRPr="00914BAB">
        <w:rPr>
          <w:iCs/>
          <w:sz w:val="24"/>
          <w:shd w:val="clear" w:color="auto" w:fill="FFFFFF"/>
          <w:lang w:val="en-US"/>
        </w:rPr>
        <w:t>who find that China could save up to US$1.4 trillion in infrastructure spending to 2030 if more compact urban forms were pursued (Zhang et al 2013). These numbers suggest that these measure</w:t>
      </w:r>
      <w:r w:rsidR="004679F0">
        <w:rPr>
          <w:iCs/>
          <w:sz w:val="24"/>
          <w:shd w:val="clear" w:color="auto" w:fill="FFFFFF"/>
          <w:lang w:val="en-US"/>
        </w:rPr>
        <w:t>s</w:t>
      </w:r>
      <w:r w:rsidRPr="00914BAB">
        <w:rPr>
          <w:iCs/>
          <w:sz w:val="24"/>
          <w:shd w:val="clear" w:color="auto" w:fill="FFFFFF"/>
          <w:lang w:val="en-US"/>
        </w:rPr>
        <w:t xml:space="preserve"> can not only save substantial expenditure on energy in cities – combined USD $116 billion in 2030 and USD $619 billion in 2050 – but free up capital for other priorities in cities. All measures in the transport sector show positive net present</w:t>
      </w:r>
      <w:r w:rsidR="004679F0">
        <w:rPr>
          <w:iCs/>
          <w:sz w:val="24"/>
          <w:shd w:val="clear" w:color="auto" w:fill="FFFFFF"/>
        </w:rPr>
        <w:t xml:space="preserve"> values. </w:t>
      </w:r>
    </w:p>
    <w:p w14:paraId="43438BFE" w14:textId="5364777F" w:rsidR="0013654C" w:rsidRPr="00914BAB" w:rsidRDefault="00597543" w:rsidP="008C6983">
      <w:pPr>
        <w:rPr>
          <w:b/>
          <w:bCs/>
          <w:sz w:val="24"/>
        </w:rPr>
      </w:pPr>
      <w:r w:rsidRPr="00914BAB">
        <w:rPr>
          <w:b/>
          <w:bCs/>
          <w:sz w:val="24"/>
        </w:rPr>
        <w:lastRenderedPageBreak/>
        <w:t>Table 2:</w:t>
      </w:r>
      <w:r w:rsidR="0013654C" w:rsidRPr="00914BAB">
        <w:rPr>
          <w:b/>
          <w:bCs/>
          <w:sz w:val="24"/>
        </w:rPr>
        <w:t xml:space="preserve"> Potential urban abatement and the associated economic case by sector in 2030. Analysis from the University of Leeds and Stockholm Environment Institute.</w:t>
      </w:r>
    </w:p>
    <w:tbl>
      <w:tblPr>
        <w:tblW w:w="13944" w:type="dxa"/>
        <w:tblInd w:w="103" w:type="dxa"/>
        <w:tblLook w:val="04A0" w:firstRow="1" w:lastRow="0" w:firstColumn="1" w:lastColumn="0" w:noHBand="0" w:noVBand="1"/>
      </w:tblPr>
      <w:tblGrid>
        <w:gridCol w:w="1268"/>
        <w:gridCol w:w="2963"/>
        <w:gridCol w:w="1205"/>
        <w:gridCol w:w="1205"/>
        <w:gridCol w:w="777"/>
        <w:gridCol w:w="777"/>
        <w:gridCol w:w="664"/>
        <w:gridCol w:w="664"/>
        <w:gridCol w:w="1310"/>
        <w:gridCol w:w="664"/>
        <w:gridCol w:w="664"/>
        <w:gridCol w:w="883"/>
        <w:gridCol w:w="1027"/>
      </w:tblGrid>
      <w:tr w:rsidR="000837E4" w:rsidRPr="00914BAB" w14:paraId="5382961E" w14:textId="77777777" w:rsidTr="00C234D1">
        <w:trPr>
          <w:trHeight w:val="690"/>
        </w:trPr>
        <w:tc>
          <w:tcPr>
            <w:tcW w:w="11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F2954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Sector</w:t>
            </w:r>
          </w:p>
        </w:tc>
        <w:tc>
          <w:tcPr>
            <w:tcW w:w="3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55BC7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Measure</w:t>
            </w:r>
          </w:p>
        </w:tc>
        <w:tc>
          <w:tcPr>
            <w:tcW w:w="11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2B8B0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Annual abatement 2050 (GtCO2-e)</w:t>
            </w:r>
          </w:p>
        </w:tc>
        <w:tc>
          <w:tcPr>
            <w:tcW w:w="11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82548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Share of total abatement (%)</w:t>
            </w:r>
          </w:p>
        </w:tc>
        <w:tc>
          <w:tcPr>
            <w:tcW w:w="286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F2958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Energy savings</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5FB3C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Total Investment</w:t>
            </w:r>
            <w:r w:rsidRPr="00914BAB">
              <w:rPr>
                <w:rFonts w:eastAsia="Times New Roman" w:cs="Times New Roman"/>
                <w:color w:val="000000"/>
                <w:sz w:val="24"/>
                <w:vertAlign w:val="superscript"/>
              </w:rPr>
              <w:t>1</w:t>
            </w:r>
            <w:r w:rsidRPr="00914BAB">
              <w:rPr>
                <w:rFonts w:eastAsia="Times New Roman" w:cs="Times New Roman"/>
                <w:color w:val="000000"/>
                <w:sz w:val="24"/>
              </w:rPr>
              <w:t xml:space="preserve"> (2015-2050; USD </w:t>
            </w:r>
            <w:proofErr w:type="spellStart"/>
            <w:r w:rsidRPr="00914BAB">
              <w:rPr>
                <w:rFonts w:eastAsia="Times New Roman" w:cs="Times New Roman"/>
                <w:color w:val="000000"/>
                <w:sz w:val="24"/>
              </w:rPr>
              <w:t>tlns</w:t>
            </w:r>
            <w:proofErr w:type="spellEnd"/>
            <w:r w:rsidRPr="00914BAB">
              <w:rPr>
                <w:rFonts w:eastAsia="Times New Roman" w:cs="Times New Roman"/>
                <w:color w:val="000000"/>
                <w:sz w:val="24"/>
              </w:rPr>
              <w:t>)</w:t>
            </w:r>
          </w:p>
        </w:tc>
        <w:tc>
          <w:tcPr>
            <w:tcW w:w="14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480178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Energy cost savings</w:t>
            </w:r>
            <w:r w:rsidRPr="00914BAB">
              <w:rPr>
                <w:rFonts w:eastAsia="Times New Roman" w:cs="Times New Roman"/>
                <w:color w:val="000000"/>
                <w:sz w:val="24"/>
                <w:vertAlign w:val="superscript"/>
              </w:rPr>
              <w:t>2</w:t>
            </w:r>
            <w:r w:rsidRPr="00914BAB">
              <w:rPr>
                <w:rFonts w:eastAsia="Times New Roman" w:cs="Times New Roman"/>
                <w:color w:val="000000"/>
                <w:sz w:val="24"/>
              </w:rPr>
              <w:t xml:space="preserve"> (2015; USD </w:t>
            </w:r>
            <w:proofErr w:type="spellStart"/>
            <w:r w:rsidRPr="00914BAB">
              <w:rPr>
                <w:rFonts w:eastAsia="Times New Roman" w:cs="Times New Roman"/>
                <w:color w:val="000000"/>
                <w:sz w:val="24"/>
              </w:rPr>
              <w:t>blns</w:t>
            </w:r>
            <w:proofErr w:type="spellEnd"/>
            <w:r w:rsidRPr="00914BAB">
              <w:rPr>
                <w:rFonts w:eastAsia="Times New Roman" w:cs="Times New Roman"/>
                <w:color w:val="000000"/>
                <w:sz w:val="24"/>
              </w:rPr>
              <w:t>)</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129DA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NPV</w:t>
            </w:r>
            <w:r w:rsidRPr="00914BAB">
              <w:rPr>
                <w:rFonts w:eastAsia="Times New Roman" w:cs="Times New Roman"/>
                <w:color w:val="000000"/>
                <w:sz w:val="24"/>
                <w:vertAlign w:val="superscript"/>
              </w:rPr>
              <w:t>3</w:t>
            </w:r>
            <w:r w:rsidRPr="00914BAB">
              <w:rPr>
                <w:rFonts w:eastAsia="Times New Roman" w:cs="Times New Roman"/>
                <w:color w:val="000000"/>
                <w:sz w:val="24"/>
              </w:rPr>
              <w:t xml:space="preserve"> (USD </w:t>
            </w:r>
            <w:proofErr w:type="spellStart"/>
            <w:r w:rsidRPr="00914BAB">
              <w:rPr>
                <w:rFonts w:eastAsia="Times New Roman" w:cs="Times New Roman"/>
                <w:color w:val="000000"/>
                <w:sz w:val="24"/>
              </w:rPr>
              <w:t>tlns</w:t>
            </w:r>
            <w:proofErr w:type="spellEnd"/>
            <w:r w:rsidRPr="00914BAB">
              <w:rPr>
                <w:rFonts w:eastAsia="Times New Roman" w:cs="Times New Roman"/>
                <w:color w:val="000000"/>
                <w:sz w:val="24"/>
              </w:rPr>
              <w:t>)</w:t>
            </w:r>
          </w:p>
        </w:tc>
        <w:tc>
          <w:tcPr>
            <w:tcW w:w="9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362DA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Average Payback</w:t>
            </w:r>
            <w:r w:rsidRPr="00914BAB">
              <w:rPr>
                <w:rFonts w:eastAsia="Times New Roman" w:cs="Times New Roman"/>
                <w:color w:val="000000"/>
                <w:sz w:val="24"/>
                <w:vertAlign w:val="superscript"/>
              </w:rPr>
              <w:t>4</w:t>
            </w:r>
            <w:r w:rsidRPr="00914BAB">
              <w:rPr>
                <w:rFonts w:eastAsia="Times New Roman" w:cs="Times New Roman"/>
                <w:color w:val="000000"/>
                <w:sz w:val="24"/>
              </w:rPr>
              <w:t xml:space="preserve"> (years)</w:t>
            </w:r>
          </w:p>
        </w:tc>
      </w:tr>
      <w:tr w:rsidR="000837E4" w:rsidRPr="00914BAB" w14:paraId="44C01CA7" w14:textId="77777777" w:rsidTr="00C234D1">
        <w:trPr>
          <w:trHeight w:val="282"/>
        </w:trPr>
        <w:tc>
          <w:tcPr>
            <w:tcW w:w="1167" w:type="dxa"/>
            <w:vMerge/>
            <w:tcBorders>
              <w:top w:val="single" w:sz="4" w:space="0" w:color="auto"/>
              <w:left w:val="single" w:sz="4" w:space="0" w:color="auto"/>
              <w:bottom w:val="single" w:sz="4" w:space="0" w:color="000000"/>
              <w:right w:val="single" w:sz="4" w:space="0" w:color="auto"/>
            </w:tcBorders>
            <w:vAlign w:val="center"/>
            <w:hideMark/>
          </w:tcPr>
          <w:p w14:paraId="53C5E20D" w14:textId="77777777" w:rsidR="000837E4" w:rsidRPr="00914BAB" w:rsidRDefault="000837E4" w:rsidP="000837E4">
            <w:pPr>
              <w:spacing w:before="0" w:line="240" w:lineRule="auto"/>
              <w:rPr>
                <w:rFonts w:eastAsia="Times New Roman" w:cs="Times New Roman"/>
                <w:color w:val="000000"/>
                <w:sz w:val="24"/>
              </w:rPr>
            </w:pPr>
          </w:p>
        </w:tc>
        <w:tc>
          <w:tcPr>
            <w:tcW w:w="3200" w:type="dxa"/>
            <w:vMerge/>
            <w:tcBorders>
              <w:top w:val="single" w:sz="4" w:space="0" w:color="auto"/>
              <w:left w:val="single" w:sz="4" w:space="0" w:color="auto"/>
              <w:bottom w:val="single" w:sz="4" w:space="0" w:color="000000"/>
              <w:right w:val="single" w:sz="4" w:space="0" w:color="auto"/>
            </w:tcBorders>
            <w:vAlign w:val="center"/>
            <w:hideMark/>
          </w:tcPr>
          <w:p w14:paraId="697DEECD" w14:textId="77777777" w:rsidR="000837E4" w:rsidRPr="00914BAB" w:rsidRDefault="000837E4" w:rsidP="000837E4">
            <w:pPr>
              <w:spacing w:before="0" w:line="240" w:lineRule="auto"/>
              <w:rPr>
                <w:rFonts w:eastAsia="Times New Roman" w:cs="Times New Roman"/>
                <w:color w:val="000000"/>
                <w:sz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14:paraId="1F3F25C3" w14:textId="77777777" w:rsidR="000837E4" w:rsidRPr="00914BAB" w:rsidRDefault="000837E4" w:rsidP="000837E4">
            <w:pPr>
              <w:spacing w:before="0" w:line="240" w:lineRule="auto"/>
              <w:rPr>
                <w:rFonts w:eastAsia="Times New Roman" w:cs="Times New Roman"/>
                <w:color w:val="000000"/>
                <w:sz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14:paraId="549863E9" w14:textId="77777777" w:rsidR="000837E4" w:rsidRPr="00914BAB" w:rsidRDefault="000837E4" w:rsidP="000837E4">
            <w:pPr>
              <w:spacing w:before="0" w:line="240" w:lineRule="auto"/>
              <w:rPr>
                <w:rFonts w:eastAsia="Times New Roman" w:cs="Times New Roman"/>
                <w:color w:val="000000"/>
                <w:sz w:val="24"/>
              </w:rPr>
            </w:pPr>
          </w:p>
        </w:tc>
        <w:tc>
          <w:tcPr>
            <w:tcW w:w="1545" w:type="dxa"/>
            <w:gridSpan w:val="2"/>
            <w:tcBorders>
              <w:top w:val="single" w:sz="4" w:space="0" w:color="auto"/>
              <w:left w:val="single" w:sz="4" w:space="0" w:color="auto"/>
              <w:bottom w:val="nil"/>
              <w:right w:val="single" w:sz="4" w:space="0" w:color="000000"/>
            </w:tcBorders>
            <w:shd w:val="clear" w:color="auto" w:fill="auto"/>
            <w:noWrap/>
            <w:vAlign w:val="bottom"/>
            <w:hideMark/>
          </w:tcPr>
          <w:p w14:paraId="753DB2B7" w14:textId="77777777" w:rsidR="000837E4" w:rsidRPr="00914BAB" w:rsidRDefault="000837E4" w:rsidP="000837E4">
            <w:pPr>
              <w:spacing w:before="0" w:line="240" w:lineRule="auto"/>
              <w:jc w:val="center"/>
              <w:rPr>
                <w:rFonts w:eastAsia="Times New Roman" w:cs="Times New Roman"/>
                <w:color w:val="000000"/>
                <w:sz w:val="24"/>
              </w:rPr>
            </w:pPr>
            <w:proofErr w:type="spellStart"/>
            <w:r w:rsidRPr="00914BAB">
              <w:rPr>
                <w:rFonts w:eastAsia="Times New Roman" w:cs="Times New Roman"/>
                <w:color w:val="000000"/>
                <w:sz w:val="24"/>
              </w:rPr>
              <w:t>TWh</w:t>
            </w:r>
            <w:proofErr w:type="spellEnd"/>
          </w:p>
        </w:tc>
        <w:tc>
          <w:tcPr>
            <w:tcW w:w="1318" w:type="dxa"/>
            <w:gridSpan w:val="2"/>
            <w:tcBorders>
              <w:top w:val="single" w:sz="4" w:space="0" w:color="auto"/>
              <w:left w:val="nil"/>
              <w:bottom w:val="nil"/>
              <w:right w:val="single" w:sz="4" w:space="0" w:color="000000"/>
            </w:tcBorders>
            <w:shd w:val="clear" w:color="auto" w:fill="auto"/>
            <w:noWrap/>
            <w:vAlign w:val="bottom"/>
            <w:hideMark/>
          </w:tcPr>
          <w:p w14:paraId="5AFE04D9" w14:textId="77777777" w:rsidR="000837E4" w:rsidRPr="00914BAB" w:rsidRDefault="000837E4" w:rsidP="000837E4">
            <w:pPr>
              <w:spacing w:before="0" w:line="240" w:lineRule="auto"/>
              <w:jc w:val="center"/>
              <w:rPr>
                <w:rFonts w:eastAsia="Times New Roman" w:cs="Times New Roman"/>
                <w:color w:val="000000"/>
                <w:sz w:val="24"/>
              </w:rPr>
            </w:pPr>
            <w:proofErr w:type="spellStart"/>
            <w:r w:rsidRPr="00914BAB">
              <w:rPr>
                <w:rFonts w:eastAsia="Times New Roman" w:cs="Times New Roman"/>
                <w:color w:val="000000"/>
                <w:sz w:val="24"/>
              </w:rPr>
              <w:t>Gtoe</w:t>
            </w:r>
            <w:proofErr w:type="spellEnd"/>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5E0CE819" w14:textId="77777777" w:rsidR="000837E4" w:rsidRPr="00914BAB" w:rsidRDefault="000837E4" w:rsidP="000837E4">
            <w:pPr>
              <w:spacing w:before="0" w:line="240" w:lineRule="auto"/>
              <w:rPr>
                <w:rFonts w:eastAsia="Times New Roman" w:cs="Times New Roman"/>
                <w:color w:val="000000"/>
                <w:sz w:val="24"/>
              </w:rPr>
            </w:pPr>
          </w:p>
        </w:tc>
        <w:tc>
          <w:tcPr>
            <w:tcW w:w="1400" w:type="dxa"/>
            <w:gridSpan w:val="2"/>
            <w:vMerge/>
            <w:tcBorders>
              <w:top w:val="single" w:sz="4" w:space="0" w:color="auto"/>
              <w:left w:val="single" w:sz="4" w:space="0" w:color="auto"/>
              <w:bottom w:val="single" w:sz="4" w:space="0" w:color="000000"/>
              <w:right w:val="single" w:sz="4" w:space="0" w:color="000000"/>
            </w:tcBorders>
            <w:vAlign w:val="center"/>
            <w:hideMark/>
          </w:tcPr>
          <w:p w14:paraId="3030FD2C" w14:textId="77777777" w:rsidR="000837E4" w:rsidRPr="00914BAB" w:rsidRDefault="000837E4" w:rsidP="000837E4">
            <w:pPr>
              <w:spacing w:before="0" w:line="240" w:lineRule="auto"/>
              <w:rPr>
                <w:rFonts w:eastAsia="Times New Roman" w:cs="Times New Roman"/>
                <w:color w:val="000000"/>
                <w:sz w:val="24"/>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626D3EA6" w14:textId="77777777" w:rsidR="000837E4" w:rsidRPr="00914BAB" w:rsidRDefault="000837E4" w:rsidP="000837E4">
            <w:pPr>
              <w:spacing w:before="0" w:line="240" w:lineRule="auto"/>
              <w:rPr>
                <w:rFonts w:eastAsia="Times New Roman" w:cs="Times New Roman"/>
                <w:color w:val="000000"/>
                <w:sz w:val="24"/>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14:paraId="140952F4" w14:textId="77777777" w:rsidR="000837E4" w:rsidRPr="00914BAB" w:rsidRDefault="000837E4" w:rsidP="000837E4">
            <w:pPr>
              <w:spacing w:before="0" w:line="240" w:lineRule="auto"/>
              <w:rPr>
                <w:rFonts w:eastAsia="Times New Roman" w:cs="Times New Roman"/>
                <w:color w:val="000000"/>
                <w:sz w:val="24"/>
              </w:rPr>
            </w:pPr>
          </w:p>
        </w:tc>
      </w:tr>
      <w:tr w:rsidR="000837E4" w:rsidRPr="00914BAB" w14:paraId="0ECD884B" w14:textId="77777777" w:rsidTr="00C234D1">
        <w:trPr>
          <w:trHeight w:val="282"/>
        </w:trPr>
        <w:tc>
          <w:tcPr>
            <w:tcW w:w="1167" w:type="dxa"/>
            <w:vMerge/>
            <w:tcBorders>
              <w:top w:val="single" w:sz="4" w:space="0" w:color="auto"/>
              <w:left w:val="single" w:sz="4" w:space="0" w:color="auto"/>
              <w:bottom w:val="single" w:sz="4" w:space="0" w:color="000000"/>
              <w:right w:val="single" w:sz="4" w:space="0" w:color="auto"/>
            </w:tcBorders>
            <w:vAlign w:val="center"/>
            <w:hideMark/>
          </w:tcPr>
          <w:p w14:paraId="19180D7C" w14:textId="77777777" w:rsidR="000837E4" w:rsidRPr="00914BAB" w:rsidRDefault="000837E4" w:rsidP="000837E4">
            <w:pPr>
              <w:spacing w:before="0" w:line="240" w:lineRule="auto"/>
              <w:rPr>
                <w:rFonts w:eastAsia="Times New Roman" w:cs="Times New Roman"/>
                <w:color w:val="000000"/>
                <w:sz w:val="24"/>
              </w:rPr>
            </w:pPr>
          </w:p>
        </w:tc>
        <w:tc>
          <w:tcPr>
            <w:tcW w:w="3200" w:type="dxa"/>
            <w:vMerge/>
            <w:tcBorders>
              <w:top w:val="single" w:sz="4" w:space="0" w:color="auto"/>
              <w:left w:val="single" w:sz="4" w:space="0" w:color="auto"/>
              <w:bottom w:val="single" w:sz="4" w:space="0" w:color="000000"/>
              <w:right w:val="single" w:sz="4" w:space="0" w:color="auto"/>
            </w:tcBorders>
            <w:vAlign w:val="center"/>
            <w:hideMark/>
          </w:tcPr>
          <w:p w14:paraId="4ACA0738" w14:textId="77777777" w:rsidR="000837E4" w:rsidRPr="00914BAB" w:rsidRDefault="000837E4" w:rsidP="000837E4">
            <w:pPr>
              <w:spacing w:before="0" w:line="240" w:lineRule="auto"/>
              <w:rPr>
                <w:rFonts w:eastAsia="Times New Roman" w:cs="Times New Roman"/>
                <w:color w:val="000000"/>
                <w:sz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14:paraId="4383B986" w14:textId="77777777" w:rsidR="000837E4" w:rsidRPr="00914BAB" w:rsidRDefault="000837E4" w:rsidP="000837E4">
            <w:pPr>
              <w:spacing w:before="0" w:line="240" w:lineRule="auto"/>
              <w:rPr>
                <w:rFonts w:eastAsia="Times New Roman" w:cs="Times New Roman"/>
                <w:color w:val="000000"/>
                <w:sz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14:paraId="2F711CC7" w14:textId="77777777" w:rsidR="000837E4" w:rsidRPr="00914BAB" w:rsidRDefault="000837E4" w:rsidP="000837E4">
            <w:pPr>
              <w:spacing w:before="0" w:line="240" w:lineRule="auto"/>
              <w:rPr>
                <w:rFonts w:eastAsia="Times New Roman" w:cs="Times New Roman"/>
                <w:color w:val="000000"/>
                <w:sz w:val="24"/>
              </w:rPr>
            </w:pPr>
          </w:p>
        </w:tc>
        <w:tc>
          <w:tcPr>
            <w:tcW w:w="723" w:type="dxa"/>
            <w:tcBorders>
              <w:top w:val="nil"/>
              <w:left w:val="single" w:sz="4" w:space="0" w:color="auto"/>
              <w:bottom w:val="single" w:sz="4" w:space="0" w:color="auto"/>
              <w:right w:val="nil"/>
            </w:tcBorders>
            <w:shd w:val="clear" w:color="auto" w:fill="auto"/>
            <w:noWrap/>
            <w:vAlign w:val="center"/>
            <w:hideMark/>
          </w:tcPr>
          <w:p w14:paraId="2169C2A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2030</w:t>
            </w:r>
          </w:p>
        </w:tc>
        <w:tc>
          <w:tcPr>
            <w:tcW w:w="822" w:type="dxa"/>
            <w:tcBorders>
              <w:top w:val="nil"/>
              <w:left w:val="nil"/>
              <w:bottom w:val="single" w:sz="4" w:space="0" w:color="auto"/>
              <w:right w:val="single" w:sz="4" w:space="0" w:color="auto"/>
            </w:tcBorders>
            <w:shd w:val="clear" w:color="auto" w:fill="auto"/>
            <w:noWrap/>
            <w:vAlign w:val="center"/>
            <w:hideMark/>
          </w:tcPr>
          <w:p w14:paraId="715C672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2050</w:t>
            </w:r>
          </w:p>
        </w:tc>
        <w:tc>
          <w:tcPr>
            <w:tcW w:w="659" w:type="dxa"/>
            <w:tcBorders>
              <w:top w:val="nil"/>
              <w:left w:val="nil"/>
              <w:bottom w:val="single" w:sz="4" w:space="0" w:color="auto"/>
              <w:right w:val="nil"/>
            </w:tcBorders>
            <w:shd w:val="clear" w:color="auto" w:fill="auto"/>
            <w:noWrap/>
            <w:vAlign w:val="center"/>
            <w:hideMark/>
          </w:tcPr>
          <w:p w14:paraId="00EDA2F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2030</w:t>
            </w:r>
          </w:p>
        </w:tc>
        <w:tc>
          <w:tcPr>
            <w:tcW w:w="659" w:type="dxa"/>
            <w:tcBorders>
              <w:top w:val="nil"/>
              <w:left w:val="nil"/>
              <w:bottom w:val="single" w:sz="4" w:space="0" w:color="auto"/>
              <w:right w:val="single" w:sz="4" w:space="0" w:color="auto"/>
            </w:tcBorders>
            <w:shd w:val="clear" w:color="auto" w:fill="auto"/>
            <w:noWrap/>
            <w:vAlign w:val="center"/>
            <w:hideMark/>
          </w:tcPr>
          <w:p w14:paraId="37911A1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2050</w:t>
            </w: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54A1FD8E" w14:textId="77777777" w:rsidR="000837E4" w:rsidRPr="00914BAB" w:rsidRDefault="000837E4" w:rsidP="000837E4">
            <w:pPr>
              <w:spacing w:before="0" w:line="240" w:lineRule="auto"/>
              <w:rPr>
                <w:rFonts w:eastAsia="Times New Roman" w:cs="Times New Roman"/>
                <w:color w:val="000000"/>
                <w:sz w:val="24"/>
              </w:rPr>
            </w:pPr>
          </w:p>
        </w:tc>
        <w:tc>
          <w:tcPr>
            <w:tcW w:w="700" w:type="dxa"/>
            <w:tcBorders>
              <w:top w:val="nil"/>
              <w:left w:val="nil"/>
              <w:bottom w:val="single" w:sz="4" w:space="0" w:color="auto"/>
              <w:right w:val="nil"/>
            </w:tcBorders>
            <w:shd w:val="clear" w:color="auto" w:fill="auto"/>
            <w:vAlign w:val="center"/>
            <w:hideMark/>
          </w:tcPr>
          <w:p w14:paraId="65890DC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2030</w:t>
            </w:r>
          </w:p>
        </w:tc>
        <w:tc>
          <w:tcPr>
            <w:tcW w:w="700" w:type="dxa"/>
            <w:tcBorders>
              <w:top w:val="nil"/>
              <w:left w:val="nil"/>
              <w:bottom w:val="single" w:sz="4" w:space="0" w:color="auto"/>
              <w:right w:val="single" w:sz="4" w:space="0" w:color="auto"/>
            </w:tcBorders>
            <w:shd w:val="clear" w:color="auto" w:fill="auto"/>
            <w:vAlign w:val="center"/>
            <w:hideMark/>
          </w:tcPr>
          <w:p w14:paraId="55E3237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2050</w:t>
            </w: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05D3D28A" w14:textId="77777777" w:rsidR="000837E4" w:rsidRPr="00914BAB" w:rsidRDefault="000837E4" w:rsidP="000837E4">
            <w:pPr>
              <w:spacing w:before="0" w:line="240" w:lineRule="auto"/>
              <w:rPr>
                <w:rFonts w:eastAsia="Times New Roman" w:cs="Times New Roman"/>
                <w:color w:val="000000"/>
                <w:sz w:val="24"/>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14:paraId="2A40B0DB" w14:textId="77777777" w:rsidR="000837E4" w:rsidRPr="00914BAB" w:rsidRDefault="000837E4" w:rsidP="000837E4">
            <w:pPr>
              <w:spacing w:before="0" w:line="240" w:lineRule="auto"/>
              <w:rPr>
                <w:rFonts w:eastAsia="Times New Roman" w:cs="Times New Roman"/>
                <w:color w:val="000000"/>
                <w:sz w:val="24"/>
              </w:rPr>
            </w:pPr>
          </w:p>
        </w:tc>
      </w:tr>
      <w:tr w:rsidR="000837E4" w:rsidRPr="00914BAB" w14:paraId="6DBC1FF5" w14:textId="77777777" w:rsidTr="00C234D1">
        <w:trPr>
          <w:trHeight w:val="300"/>
        </w:trPr>
        <w:tc>
          <w:tcPr>
            <w:tcW w:w="1167" w:type="dxa"/>
            <w:vMerge w:val="restart"/>
            <w:tcBorders>
              <w:top w:val="nil"/>
              <w:left w:val="single" w:sz="4" w:space="0" w:color="auto"/>
              <w:bottom w:val="single" w:sz="4" w:space="0" w:color="auto"/>
              <w:right w:val="nil"/>
            </w:tcBorders>
            <w:shd w:val="clear" w:color="auto" w:fill="auto"/>
            <w:vAlign w:val="center"/>
            <w:hideMark/>
          </w:tcPr>
          <w:p w14:paraId="7DF26AB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Buildings - residential</w:t>
            </w:r>
          </w:p>
        </w:tc>
        <w:tc>
          <w:tcPr>
            <w:tcW w:w="3200" w:type="dxa"/>
            <w:tcBorders>
              <w:top w:val="nil"/>
              <w:left w:val="single" w:sz="4" w:space="0" w:color="auto"/>
              <w:bottom w:val="nil"/>
              <w:right w:val="single" w:sz="4" w:space="0" w:color="auto"/>
            </w:tcBorders>
            <w:shd w:val="clear" w:color="auto" w:fill="auto"/>
            <w:noWrap/>
            <w:vAlign w:val="center"/>
            <w:hideMark/>
          </w:tcPr>
          <w:p w14:paraId="57F463D7"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New building heating efficiency</w:t>
            </w:r>
          </w:p>
        </w:tc>
        <w:tc>
          <w:tcPr>
            <w:tcW w:w="1111" w:type="dxa"/>
            <w:tcBorders>
              <w:top w:val="nil"/>
              <w:left w:val="nil"/>
              <w:bottom w:val="nil"/>
              <w:right w:val="single" w:sz="4" w:space="0" w:color="auto"/>
            </w:tcBorders>
            <w:shd w:val="clear" w:color="auto" w:fill="auto"/>
            <w:noWrap/>
            <w:vAlign w:val="center"/>
            <w:hideMark/>
          </w:tcPr>
          <w:p w14:paraId="55A710E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1.2</w:t>
            </w:r>
          </w:p>
        </w:tc>
        <w:tc>
          <w:tcPr>
            <w:tcW w:w="1111" w:type="dxa"/>
            <w:tcBorders>
              <w:top w:val="nil"/>
              <w:left w:val="nil"/>
              <w:bottom w:val="nil"/>
              <w:right w:val="single" w:sz="4" w:space="0" w:color="auto"/>
            </w:tcBorders>
            <w:shd w:val="clear" w:color="auto" w:fill="auto"/>
            <w:noWrap/>
            <w:vAlign w:val="center"/>
            <w:hideMark/>
          </w:tcPr>
          <w:p w14:paraId="053FAFE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15%</w:t>
            </w:r>
          </w:p>
        </w:tc>
        <w:tc>
          <w:tcPr>
            <w:tcW w:w="723" w:type="dxa"/>
            <w:tcBorders>
              <w:top w:val="nil"/>
              <w:left w:val="nil"/>
              <w:bottom w:val="nil"/>
              <w:right w:val="nil"/>
            </w:tcBorders>
            <w:shd w:val="clear" w:color="auto" w:fill="auto"/>
            <w:noWrap/>
            <w:vAlign w:val="center"/>
            <w:hideMark/>
          </w:tcPr>
          <w:p w14:paraId="774B154A" w14:textId="6188B4AA"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19</w:t>
            </w:r>
            <w:r w:rsidR="000837E4" w:rsidRPr="00914BAB">
              <w:rPr>
                <w:rFonts w:eastAsia="Times New Roman" w:cs="Times New Roman"/>
                <w:color w:val="000000"/>
                <w:sz w:val="24"/>
              </w:rPr>
              <w:t>55</w:t>
            </w:r>
          </w:p>
        </w:tc>
        <w:tc>
          <w:tcPr>
            <w:tcW w:w="822" w:type="dxa"/>
            <w:tcBorders>
              <w:top w:val="nil"/>
              <w:left w:val="nil"/>
              <w:bottom w:val="nil"/>
              <w:right w:val="single" w:sz="4" w:space="0" w:color="auto"/>
            </w:tcBorders>
            <w:shd w:val="clear" w:color="auto" w:fill="auto"/>
            <w:noWrap/>
            <w:vAlign w:val="center"/>
            <w:hideMark/>
          </w:tcPr>
          <w:p w14:paraId="167CADD3" w14:textId="32B8FC6D"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4362</w:t>
            </w:r>
          </w:p>
        </w:tc>
        <w:tc>
          <w:tcPr>
            <w:tcW w:w="659" w:type="dxa"/>
            <w:tcBorders>
              <w:top w:val="nil"/>
              <w:left w:val="nil"/>
              <w:bottom w:val="nil"/>
              <w:right w:val="nil"/>
            </w:tcBorders>
            <w:shd w:val="clear" w:color="auto" w:fill="auto"/>
            <w:noWrap/>
            <w:vAlign w:val="center"/>
            <w:hideMark/>
          </w:tcPr>
          <w:p w14:paraId="48252762" w14:textId="5FA15FCC"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168</w:t>
            </w:r>
          </w:p>
        </w:tc>
        <w:tc>
          <w:tcPr>
            <w:tcW w:w="659" w:type="dxa"/>
            <w:tcBorders>
              <w:top w:val="nil"/>
              <w:left w:val="nil"/>
              <w:bottom w:val="nil"/>
              <w:right w:val="single" w:sz="4" w:space="0" w:color="auto"/>
            </w:tcBorders>
            <w:shd w:val="clear" w:color="auto" w:fill="auto"/>
            <w:noWrap/>
            <w:vAlign w:val="center"/>
            <w:hideMark/>
          </w:tcPr>
          <w:p w14:paraId="5464A920" w14:textId="3DC81B12"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375</w:t>
            </w:r>
          </w:p>
        </w:tc>
        <w:tc>
          <w:tcPr>
            <w:tcW w:w="1204" w:type="dxa"/>
            <w:tcBorders>
              <w:top w:val="nil"/>
              <w:left w:val="nil"/>
              <w:bottom w:val="nil"/>
              <w:right w:val="single" w:sz="4" w:space="0" w:color="auto"/>
            </w:tcBorders>
            <w:shd w:val="clear" w:color="auto" w:fill="auto"/>
            <w:noWrap/>
            <w:vAlign w:val="center"/>
            <w:hideMark/>
          </w:tcPr>
          <w:p w14:paraId="34B91840"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5.3</w:t>
            </w:r>
          </w:p>
        </w:tc>
        <w:tc>
          <w:tcPr>
            <w:tcW w:w="700" w:type="dxa"/>
            <w:tcBorders>
              <w:top w:val="nil"/>
              <w:left w:val="nil"/>
              <w:bottom w:val="nil"/>
              <w:right w:val="nil"/>
            </w:tcBorders>
            <w:shd w:val="clear" w:color="auto" w:fill="auto"/>
            <w:noWrap/>
            <w:vAlign w:val="center"/>
            <w:hideMark/>
          </w:tcPr>
          <w:p w14:paraId="3BE4311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267</w:t>
            </w:r>
          </w:p>
        </w:tc>
        <w:tc>
          <w:tcPr>
            <w:tcW w:w="700" w:type="dxa"/>
            <w:tcBorders>
              <w:top w:val="nil"/>
              <w:left w:val="nil"/>
              <w:bottom w:val="nil"/>
              <w:right w:val="single" w:sz="4" w:space="0" w:color="auto"/>
            </w:tcBorders>
            <w:shd w:val="clear" w:color="auto" w:fill="auto"/>
            <w:noWrap/>
            <w:vAlign w:val="center"/>
            <w:hideMark/>
          </w:tcPr>
          <w:p w14:paraId="3C3CBB3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957</w:t>
            </w:r>
          </w:p>
        </w:tc>
        <w:tc>
          <w:tcPr>
            <w:tcW w:w="940" w:type="dxa"/>
            <w:tcBorders>
              <w:top w:val="nil"/>
              <w:left w:val="nil"/>
              <w:bottom w:val="nil"/>
              <w:right w:val="single" w:sz="4" w:space="0" w:color="auto"/>
            </w:tcBorders>
            <w:shd w:val="clear" w:color="auto" w:fill="auto"/>
            <w:noWrap/>
            <w:vAlign w:val="bottom"/>
            <w:hideMark/>
          </w:tcPr>
          <w:p w14:paraId="00E60D3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2.1</w:t>
            </w:r>
          </w:p>
        </w:tc>
        <w:tc>
          <w:tcPr>
            <w:tcW w:w="948" w:type="dxa"/>
            <w:tcBorders>
              <w:top w:val="nil"/>
              <w:left w:val="nil"/>
              <w:bottom w:val="nil"/>
              <w:right w:val="single" w:sz="4" w:space="0" w:color="auto"/>
            </w:tcBorders>
            <w:shd w:val="clear" w:color="auto" w:fill="auto"/>
            <w:noWrap/>
            <w:vAlign w:val="center"/>
            <w:hideMark/>
          </w:tcPr>
          <w:p w14:paraId="149686C0"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8.4</w:t>
            </w:r>
          </w:p>
        </w:tc>
      </w:tr>
      <w:tr w:rsidR="000837E4" w:rsidRPr="00914BAB" w14:paraId="0D4DCF8B" w14:textId="77777777" w:rsidTr="00C234D1">
        <w:trPr>
          <w:trHeight w:val="300"/>
        </w:trPr>
        <w:tc>
          <w:tcPr>
            <w:tcW w:w="1167" w:type="dxa"/>
            <w:vMerge/>
            <w:tcBorders>
              <w:top w:val="nil"/>
              <w:left w:val="single" w:sz="4" w:space="0" w:color="auto"/>
              <w:bottom w:val="single" w:sz="4" w:space="0" w:color="auto"/>
              <w:right w:val="nil"/>
            </w:tcBorders>
            <w:vAlign w:val="center"/>
            <w:hideMark/>
          </w:tcPr>
          <w:p w14:paraId="6522E5C9"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single" w:sz="4" w:space="0" w:color="auto"/>
              <w:bottom w:val="nil"/>
              <w:right w:val="single" w:sz="4" w:space="0" w:color="auto"/>
            </w:tcBorders>
            <w:shd w:val="clear" w:color="auto" w:fill="auto"/>
            <w:noWrap/>
            <w:vAlign w:val="center"/>
            <w:hideMark/>
          </w:tcPr>
          <w:p w14:paraId="06D64822"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Heating retrofits</w:t>
            </w:r>
          </w:p>
        </w:tc>
        <w:tc>
          <w:tcPr>
            <w:tcW w:w="1111" w:type="dxa"/>
            <w:tcBorders>
              <w:top w:val="nil"/>
              <w:left w:val="nil"/>
              <w:bottom w:val="nil"/>
              <w:right w:val="single" w:sz="4" w:space="0" w:color="auto"/>
            </w:tcBorders>
            <w:shd w:val="clear" w:color="auto" w:fill="auto"/>
            <w:noWrap/>
            <w:vAlign w:val="center"/>
            <w:hideMark/>
          </w:tcPr>
          <w:p w14:paraId="6599FA5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0.5</w:t>
            </w:r>
          </w:p>
        </w:tc>
        <w:tc>
          <w:tcPr>
            <w:tcW w:w="1111" w:type="dxa"/>
            <w:tcBorders>
              <w:top w:val="nil"/>
              <w:left w:val="nil"/>
              <w:bottom w:val="nil"/>
              <w:right w:val="single" w:sz="4" w:space="0" w:color="auto"/>
            </w:tcBorders>
            <w:shd w:val="clear" w:color="auto" w:fill="auto"/>
            <w:noWrap/>
            <w:vAlign w:val="center"/>
            <w:hideMark/>
          </w:tcPr>
          <w:p w14:paraId="5F25F26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w:t>
            </w:r>
          </w:p>
        </w:tc>
        <w:tc>
          <w:tcPr>
            <w:tcW w:w="723" w:type="dxa"/>
            <w:tcBorders>
              <w:top w:val="nil"/>
              <w:left w:val="nil"/>
              <w:bottom w:val="nil"/>
              <w:right w:val="nil"/>
            </w:tcBorders>
            <w:shd w:val="clear" w:color="auto" w:fill="auto"/>
            <w:noWrap/>
            <w:vAlign w:val="center"/>
            <w:hideMark/>
          </w:tcPr>
          <w:p w14:paraId="4DD27ED0" w14:textId="4201E990"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1655</w:t>
            </w:r>
          </w:p>
        </w:tc>
        <w:tc>
          <w:tcPr>
            <w:tcW w:w="822" w:type="dxa"/>
            <w:tcBorders>
              <w:top w:val="nil"/>
              <w:left w:val="nil"/>
              <w:bottom w:val="nil"/>
              <w:right w:val="single" w:sz="4" w:space="0" w:color="auto"/>
            </w:tcBorders>
            <w:shd w:val="clear" w:color="auto" w:fill="auto"/>
            <w:noWrap/>
            <w:vAlign w:val="center"/>
            <w:hideMark/>
          </w:tcPr>
          <w:p w14:paraId="1F57E062" w14:textId="5EB13F1C"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2033</w:t>
            </w:r>
          </w:p>
        </w:tc>
        <w:tc>
          <w:tcPr>
            <w:tcW w:w="659" w:type="dxa"/>
            <w:tcBorders>
              <w:top w:val="nil"/>
              <w:left w:val="nil"/>
              <w:bottom w:val="nil"/>
              <w:right w:val="nil"/>
            </w:tcBorders>
            <w:shd w:val="clear" w:color="auto" w:fill="auto"/>
            <w:noWrap/>
            <w:vAlign w:val="center"/>
            <w:hideMark/>
          </w:tcPr>
          <w:p w14:paraId="0947DBE2" w14:textId="40C348F2"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w:t>
            </w:r>
            <w:r w:rsidR="000837E4" w:rsidRPr="00914BAB">
              <w:rPr>
                <w:rFonts w:eastAsia="Times New Roman" w:cs="Times New Roman"/>
                <w:color w:val="000000"/>
                <w:sz w:val="24"/>
              </w:rPr>
              <w:t>42</w:t>
            </w:r>
          </w:p>
        </w:tc>
        <w:tc>
          <w:tcPr>
            <w:tcW w:w="659" w:type="dxa"/>
            <w:tcBorders>
              <w:top w:val="nil"/>
              <w:left w:val="nil"/>
              <w:bottom w:val="nil"/>
              <w:right w:val="single" w:sz="4" w:space="0" w:color="auto"/>
            </w:tcBorders>
            <w:shd w:val="clear" w:color="auto" w:fill="auto"/>
            <w:noWrap/>
            <w:vAlign w:val="center"/>
            <w:hideMark/>
          </w:tcPr>
          <w:p w14:paraId="24CB1D22" w14:textId="6AFFBA9D" w:rsidR="000837E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175</w:t>
            </w:r>
          </w:p>
        </w:tc>
        <w:tc>
          <w:tcPr>
            <w:tcW w:w="1204" w:type="dxa"/>
            <w:tcBorders>
              <w:top w:val="nil"/>
              <w:left w:val="nil"/>
              <w:bottom w:val="nil"/>
              <w:right w:val="single" w:sz="4" w:space="0" w:color="auto"/>
            </w:tcBorders>
            <w:shd w:val="clear" w:color="auto" w:fill="auto"/>
            <w:noWrap/>
            <w:vAlign w:val="center"/>
            <w:hideMark/>
          </w:tcPr>
          <w:p w14:paraId="1F29656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6.4</w:t>
            </w:r>
          </w:p>
        </w:tc>
        <w:tc>
          <w:tcPr>
            <w:tcW w:w="700" w:type="dxa"/>
            <w:tcBorders>
              <w:top w:val="nil"/>
              <w:left w:val="nil"/>
              <w:bottom w:val="nil"/>
              <w:right w:val="nil"/>
            </w:tcBorders>
            <w:shd w:val="clear" w:color="auto" w:fill="auto"/>
            <w:noWrap/>
            <w:vAlign w:val="center"/>
            <w:hideMark/>
          </w:tcPr>
          <w:p w14:paraId="12235E1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209</w:t>
            </w:r>
          </w:p>
        </w:tc>
        <w:tc>
          <w:tcPr>
            <w:tcW w:w="700" w:type="dxa"/>
            <w:tcBorders>
              <w:top w:val="nil"/>
              <w:left w:val="nil"/>
              <w:bottom w:val="nil"/>
              <w:right w:val="single" w:sz="4" w:space="0" w:color="auto"/>
            </w:tcBorders>
            <w:shd w:val="clear" w:color="auto" w:fill="auto"/>
            <w:noWrap/>
            <w:vAlign w:val="center"/>
            <w:hideMark/>
          </w:tcPr>
          <w:p w14:paraId="71DE152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501</w:t>
            </w:r>
          </w:p>
        </w:tc>
        <w:tc>
          <w:tcPr>
            <w:tcW w:w="940" w:type="dxa"/>
            <w:tcBorders>
              <w:top w:val="nil"/>
              <w:left w:val="nil"/>
              <w:bottom w:val="nil"/>
              <w:right w:val="single" w:sz="4" w:space="0" w:color="auto"/>
            </w:tcBorders>
            <w:shd w:val="clear" w:color="auto" w:fill="auto"/>
            <w:noWrap/>
            <w:vAlign w:val="bottom"/>
            <w:hideMark/>
          </w:tcPr>
          <w:p w14:paraId="6FDEC08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-0.3</w:t>
            </w:r>
          </w:p>
        </w:tc>
        <w:tc>
          <w:tcPr>
            <w:tcW w:w="948" w:type="dxa"/>
            <w:tcBorders>
              <w:top w:val="nil"/>
              <w:left w:val="nil"/>
              <w:bottom w:val="nil"/>
              <w:right w:val="single" w:sz="4" w:space="0" w:color="auto"/>
            </w:tcBorders>
            <w:shd w:val="clear" w:color="auto" w:fill="auto"/>
            <w:noWrap/>
            <w:vAlign w:val="center"/>
            <w:hideMark/>
          </w:tcPr>
          <w:p w14:paraId="4F8DC86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w:t>
            </w:r>
          </w:p>
        </w:tc>
      </w:tr>
      <w:tr w:rsidR="000837E4" w:rsidRPr="00914BAB" w14:paraId="1A9D4101" w14:textId="77777777" w:rsidTr="00C234D1">
        <w:trPr>
          <w:trHeight w:val="300"/>
        </w:trPr>
        <w:tc>
          <w:tcPr>
            <w:tcW w:w="1167" w:type="dxa"/>
            <w:vMerge/>
            <w:tcBorders>
              <w:top w:val="nil"/>
              <w:left w:val="single" w:sz="4" w:space="0" w:color="auto"/>
              <w:bottom w:val="single" w:sz="4" w:space="0" w:color="auto"/>
              <w:right w:val="nil"/>
            </w:tcBorders>
            <w:vAlign w:val="center"/>
            <w:hideMark/>
          </w:tcPr>
          <w:p w14:paraId="7D1FBCD7"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single" w:sz="4" w:space="0" w:color="auto"/>
              <w:bottom w:val="nil"/>
              <w:right w:val="single" w:sz="4" w:space="0" w:color="auto"/>
            </w:tcBorders>
            <w:shd w:val="clear" w:color="auto" w:fill="auto"/>
            <w:noWrap/>
            <w:vAlign w:val="center"/>
            <w:hideMark/>
          </w:tcPr>
          <w:p w14:paraId="459C90E5"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Appliances and lighting</w:t>
            </w:r>
          </w:p>
        </w:tc>
        <w:tc>
          <w:tcPr>
            <w:tcW w:w="1111" w:type="dxa"/>
            <w:tcBorders>
              <w:top w:val="nil"/>
              <w:left w:val="nil"/>
              <w:bottom w:val="nil"/>
              <w:right w:val="single" w:sz="4" w:space="0" w:color="auto"/>
            </w:tcBorders>
            <w:shd w:val="clear" w:color="auto" w:fill="auto"/>
            <w:noWrap/>
            <w:vAlign w:val="center"/>
            <w:hideMark/>
          </w:tcPr>
          <w:p w14:paraId="226F86B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0.9</w:t>
            </w:r>
          </w:p>
        </w:tc>
        <w:tc>
          <w:tcPr>
            <w:tcW w:w="1111" w:type="dxa"/>
            <w:tcBorders>
              <w:top w:val="nil"/>
              <w:left w:val="nil"/>
              <w:bottom w:val="nil"/>
              <w:right w:val="single" w:sz="4" w:space="0" w:color="auto"/>
            </w:tcBorders>
            <w:shd w:val="clear" w:color="auto" w:fill="auto"/>
            <w:noWrap/>
            <w:vAlign w:val="center"/>
            <w:hideMark/>
          </w:tcPr>
          <w:p w14:paraId="2B901F6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w:t>
            </w:r>
          </w:p>
        </w:tc>
        <w:tc>
          <w:tcPr>
            <w:tcW w:w="723" w:type="dxa"/>
            <w:tcBorders>
              <w:top w:val="nil"/>
              <w:left w:val="nil"/>
              <w:bottom w:val="nil"/>
              <w:right w:val="nil"/>
            </w:tcBorders>
            <w:shd w:val="clear" w:color="auto" w:fill="auto"/>
            <w:noWrap/>
            <w:vAlign w:val="center"/>
            <w:hideMark/>
          </w:tcPr>
          <w:p w14:paraId="53119519" w14:textId="6530E2EF"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1071</w:t>
            </w:r>
          </w:p>
        </w:tc>
        <w:tc>
          <w:tcPr>
            <w:tcW w:w="822" w:type="dxa"/>
            <w:tcBorders>
              <w:top w:val="nil"/>
              <w:left w:val="nil"/>
              <w:bottom w:val="nil"/>
              <w:right w:val="single" w:sz="4" w:space="0" w:color="auto"/>
            </w:tcBorders>
            <w:shd w:val="clear" w:color="auto" w:fill="auto"/>
            <w:noWrap/>
            <w:vAlign w:val="center"/>
            <w:hideMark/>
          </w:tcPr>
          <w:p w14:paraId="6491C263" w14:textId="1DD03BFF"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2452</w:t>
            </w:r>
          </w:p>
        </w:tc>
        <w:tc>
          <w:tcPr>
            <w:tcW w:w="659" w:type="dxa"/>
            <w:tcBorders>
              <w:top w:val="nil"/>
              <w:left w:val="nil"/>
              <w:bottom w:val="nil"/>
              <w:right w:val="nil"/>
            </w:tcBorders>
            <w:shd w:val="clear" w:color="auto" w:fill="auto"/>
            <w:noWrap/>
            <w:vAlign w:val="center"/>
            <w:hideMark/>
          </w:tcPr>
          <w:p w14:paraId="46DB35CB" w14:textId="79E2BA1D"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92</w:t>
            </w:r>
          </w:p>
        </w:tc>
        <w:tc>
          <w:tcPr>
            <w:tcW w:w="659" w:type="dxa"/>
            <w:tcBorders>
              <w:top w:val="nil"/>
              <w:left w:val="nil"/>
              <w:bottom w:val="nil"/>
              <w:right w:val="single" w:sz="4" w:space="0" w:color="auto"/>
            </w:tcBorders>
            <w:shd w:val="clear" w:color="auto" w:fill="auto"/>
            <w:noWrap/>
            <w:vAlign w:val="center"/>
            <w:hideMark/>
          </w:tcPr>
          <w:p w14:paraId="62AB80D0" w14:textId="626D61C0"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211</w:t>
            </w:r>
          </w:p>
        </w:tc>
        <w:tc>
          <w:tcPr>
            <w:tcW w:w="1204" w:type="dxa"/>
            <w:tcBorders>
              <w:top w:val="nil"/>
              <w:left w:val="nil"/>
              <w:bottom w:val="nil"/>
              <w:right w:val="single" w:sz="4" w:space="0" w:color="auto"/>
            </w:tcBorders>
            <w:shd w:val="clear" w:color="auto" w:fill="auto"/>
            <w:noWrap/>
            <w:vAlign w:val="center"/>
            <w:hideMark/>
          </w:tcPr>
          <w:p w14:paraId="6879A41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0.1</w:t>
            </w:r>
          </w:p>
        </w:tc>
        <w:tc>
          <w:tcPr>
            <w:tcW w:w="700" w:type="dxa"/>
            <w:tcBorders>
              <w:top w:val="nil"/>
              <w:left w:val="nil"/>
              <w:bottom w:val="nil"/>
              <w:right w:val="nil"/>
            </w:tcBorders>
            <w:shd w:val="clear" w:color="auto" w:fill="auto"/>
            <w:noWrap/>
            <w:vAlign w:val="center"/>
            <w:hideMark/>
          </w:tcPr>
          <w:p w14:paraId="1D9A1D1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147</w:t>
            </w:r>
          </w:p>
        </w:tc>
        <w:tc>
          <w:tcPr>
            <w:tcW w:w="700" w:type="dxa"/>
            <w:tcBorders>
              <w:top w:val="nil"/>
              <w:left w:val="nil"/>
              <w:bottom w:val="nil"/>
              <w:right w:val="single" w:sz="4" w:space="0" w:color="auto"/>
            </w:tcBorders>
            <w:shd w:val="clear" w:color="auto" w:fill="auto"/>
            <w:noWrap/>
            <w:vAlign w:val="center"/>
            <w:hideMark/>
          </w:tcPr>
          <w:p w14:paraId="3C59ECE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529</w:t>
            </w:r>
          </w:p>
        </w:tc>
        <w:tc>
          <w:tcPr>
            <w:tcW w:w="940" w:type="dxa"/>
            <w:tcBorders>
              <w:top w:val="nil"/>
              <w:left w:val="nil"/>
              <w:bottom w:val="nil"/>
              <w:right w:val="single" w:sz="4" w:space="0" w:color="auto"/>
            </w:tcBorders>
            <w:shd w:val="clear" w:color="auto" w:fill="auto"/>
            <w:noWrap/>
            <w:vAlign w:val="bottom"/>
            <w:hideMark/>
          </w:tcPr>
          <w:p w14:paraId="60E2C1B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3.7</w:t>
            </w:r>
          </w:p>
        </w:tc>
        <w:tc>
          <w:tcPr>
            <w:tcW w:w="948" w:type="dxa"/>
            <w:tcBorders>
              <w:top w:val="nil"/>
              <w:left w:val="nil"/>
              <w:bottom w:val="nil"/>
              <w:right w:val="single" w:sz="4" w:space="0" w:color="auto"/>
            </w:tcBorders>
            <w:shd w:val="clear" w:color="auto" w:fill="auto"/>
            <w:noWrap/>
            <w:vAlign w:val="center"/>
            <w:hideMark/>
          </w:tcPr>
          <w:p w14:paraId="762F961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r>
      <w:tr w:rsidR="000837E4" w:rsidRPr="00914BAB" w14:paraId="2B000F8E" w14:textId="77777777" w:rsidTr="00C234D1">
        <w:trPr>
          <w:trHeight w:val="300"/>
        </w:trPr>
        <w:tc>
          <w:tcPr>
            <w:tcW w:w="1167" w:type="dxa"/>
            <w:vMerge/>
            <w:tcBorders>
              <w:top w:val="nil"/>
              <w:left w:val="single" w:sz="4" w:space="0" w:color="auto"/>
              <w:bottom w:val="single" w:sz="4" w:space="0" w:color="auto"/>
              <w:right w:val="nil"/>
            </w:tcBorders>
            <w:vAlign w:val="center"/>
            <w:hideMark/>
          </w:tcPr>
          <w:p w14:paraId="1DD37EA2"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single" w:sz="4" w:space="0" w:color="auto"/>
              <w:bottom w:val="single" w:sz="4" w:space="0" w:color="auto"/>
              <w:right w:val="single" w:sz="4" w:space="0" w:color="auto"/>
            </w:tcBorders>
            <w:shd w:val="clear" w:color="auto" w:fill="auto"/>
            <w:noWrap/>
            <w:vAlign w:val="center"/>
            <w:hideMark/>
          </w:tcPr>
          <w:p w14:paraId="55ADDA54"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Fuel switching / solar PV</w:t>
            </w:r>
          </w:p>
        </w:tc>
        <w:tc>
          <w:tcPr>
            <w:tcW w:w="1111" w:type="dxa"/>
            <w:tcBorders>
              <w:top w:val="nil"/>
              <w:left w:val="nil"/>
              <w:bottom w:val="single" w:sz="4" w:space="0" w:color="auto"/>
              <w:right w:val="single" w:sz="4" w:space="0" w:color="auto"/>
            </w:tcBorders>
            <w:shd w:val="clear" w:color="auto" w:fill="auto"/>
            <w:noWrap/>
            <w:vAlign w:val="center"/>
            <w:hideMark/>
          </w:tcPr>
          <w:p w14:paraId="099D9B5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1111" w:type="dxa"/>
            <w:tcBorders>
              <w:top w:val="nil"/>
              <w:left w:val="nil"/>
              <w:bottom w:val="single" w:sz="4" w:space="0" w:color="auto"/>
              <w:right w:val="single" w:sz="4" w:space="0" w:color="auto"/>
            </w:tcBorders>
            <w:shd w:val="clear" w:color="auto" w:fill="auto"/>
            <w:noWrap/>
            <w:vAlign w:val="center"/>
            <w:hideMark/>
          </w:tcPr>
          <w:p w14:paraId="7E5C1AE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w:t>
            </w:r>
          </w:p>
        </w:tc>
        <w:tc>
          <w:tcPr>
            <w:tcW w:w="723" w:type="dxa"/>
            <w:tcBorders>
              <w:top w:val="nil"/>
              <w:left w:val="nil"/>
              <w:bottom w:val="single" w:sz="4" w:space="0" w:color="auto"/>
              <w:right w:val="nil"/>
            </w:tcBorders>
            <w:shd w:val="clear" w:color="auto" w:fill="auto"/>
            <w:noWrap/>
            <w:vAlign w:val="center"/>
            <w:hideMark/>
          </w:tcPr>
          <w:p w14:paraId="2E80539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65</w:t>
            </w:r>
          </w:p>
        </w:tc>
        <w:tc>
          <w:tcPr>
            <w:tcW w:w="822" w:type="dxa"/>
            <w:tcBorders>
              <w:top w:val="nil"/>
              <w:left w:val="nil"/>
              <w:bottom w:val="single" w:sz="4" w:space="0" w:color="auto"/>
              <w:right w:val="single" w:sz="4" w:space="0" w:color="auto"/>
            </w:tcBorders>
            <w:shd w:val="clear" w:color="auto" w:fill="auto"/>
            <w:noWrap/>
            <w:vAlign w:val="center"/>
            <w:hideMark/>
          </w:tcPr>
          <w:p w14:paraId="0C140C6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269</w:t>
            </w:r>
          </w:p>
        </w:tc>
        <w:tc>
          <w:tcPr>
            <w:tcW w:w="659" w:type="dxa"/>
            <w:tcBorders>
              <w:top w:val="nil"/>
              <w:left w:val="nil"/>
              <w:bottom w:val="single" w:sz="4" w:space="0" w:color="auto"/>
              <w:right w:val="nil"/>
            </w:tcBorders>
            <w:shd w:val="clear" w:color="auto" w:fill="auto"/>
            <w:noWrap/>
            <w:vAlign w:val="center"/>
            <w:hideMark/>
          </w:tcPr>
          <w:p w14:paraId="782C432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w:t>
            </w:r>
          </w:p>
        </w:tc>
        <w:tc>
          <w:tcPr>
            <w:tcW w:w="659" w:type="dxa"/>
            <w:tcBorders>
              <w:top w:val="nil"/>
              <w:left w:val="nil"/>
              <w:bottom w:val="single" w:sz="4" w:space="0" w:color="auto"/>
              <w:right w:val="single" w:sz="4" w:space="0" w:color="auto"/>
            </w:tcBorders>
            <w:shd w:val="clear" w:color="auto" w:fill="auto"/>
            <w:noWrap/>
            <w:vAlign w:val="center"/>
            <w:hideMark/>
          </w:tcPr>
          <w:p w14:paraId="5519EFE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23</w:t>
            </w:r>
          </w:p>
        </w:tc>
        <w:tc>
          <w:tcPr>
            <w:tcW w:w="1204" w:type="dxa"/>
            <w:tcBorders>
              <w:top w:val="nil"/>
              <w:left w:val="nil"/>
              <w:bottom w:val="single" w:sz="4" w:space="0" w:color="auto"/>
              <w:right w:val="single" w:sz="4" w:space="0" w:color="auto"/>
            </w:tcBorders>
            <w:shd w:val="clear" w:color="auto" w:fill="auto"/>
            <w:noWrap/>
            <w:vAlign w:val="center"/>
            <w:hideMark/>
          </w:tcPr>
          <w:p w14:paraId="5F1694E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0.7</w:t>
            </w:r>
          </w:p>
        </w:tc>
        <w:tc>
          <w:tcPr>
            <w:tcW w:w="700" w:type="dxa"/>
            <w:tcBorders>
              <w:top w:val="nil"/>
              <w:left w:val="nil"/>
              <w:bottom w:val="single" w:sz="4" w:space="0" w:color="auto"/>
              <w:right w:val="nil"/>
            </w:tcBorders>
            <w:shd w:val="clear" w:color="auto" w:fill="auto"/>
            <w:noWrap/>
            <w:vAlign w:val="center"/>
            <w:hideMark/>
          </w:tcPr>
          <w:p w14:paraId="005ACC5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15.6</w:t>
            </w:r>
          </w:p>
        </w:tc>
        <w:tc>
          <w:tcPr>
            <w:tcW w:w="700" w:type="dxa"/>
            <w:tcBorders>
              <w:top w:val="nil"/>
              <w:left w:val="nil"/>
              <w:bottom w:val="single" w:sz="4" w:space="0" w:color="auto"/>
              <w:right w:val="single" w:sz="4" w:space="0" w:color="auto"/>
            </w:tcBorders>
            <w:shd w:val="clear" w:color="auto" w:fill="auto"/>
            <w:noWrap/>
            <w:vAlign w:val="center"/>
            <w:hideMark/>
          </w:tcPr>
          <w:p w14:paraId="365DF37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100</w:t>
            </w:r>
          </w:p>
        </w:tc>
        <w:tc>
          <w:tcPr>
            <w:tcW w:w="940" w:type="dxa"/>
            <w:tcBorders>
              <w:top w:val="nil"/>
              <w:left w:val="nil"/>
              <w:bottom w:val="single" w:sz="4" w:space="0" w:color="auto"/>
              <w:right w:val="single" w:sz="4" w:space="0" w:color="auto"/>
            </w:tcBorders>
            <w:shd w:val="clear" w:color="auto" w:fill="auto"/>
            <w:noWrap/>
            <w:vAlign w:val="bottom"/>
            <w:hideMark/>
          </w:tcPr>
          <w:p w14:paraId="4D519EC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948" w:type="dxa"/>
            <w:tcBorders>
              <w:top w:val="nil"/>
              <w:left w:val="nil"/>
              <w:bottom w:val="single" w:sz="4" w:space="0" w:color="auto"/>
              <w:right w:val="single" w:sz="4" w:space="0" w:color="auto"/>
            </w:tcBorders>
            <w:shd w:val="clear" w:color="auto" w:fill="auto"/>
            <w:noWrap/>
            <w:vAlign w:val="center"/>
            <w:hideMark/>
          </w:tcPr>
          <w:p w14:paraId="4F45274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w:t>
            </w:r>
          </w:p>
        </w:tc>
      </w:tr>
      <w:tr w:rsidR="000837E4" w:rsidRPr="00914BAB" w14:paraId="15B76E81" w14:textId="77777777" w:rsidTr="00C234D1">
        <w:trPr>
          <w:trHeight w:val="300"/>
        </w:trPr>
        <w:tc>
          <w:tcPr>
            <w:tcW w:w="1167" w:type="dxa"/>
            <w:vMerge w:val="restart"/>
            <w:tcBorders>
              <w:top w:val="nil"/>
              <w:left w:val="single" w:sz="4" w:space="0" w:color="auto"/>
              <w:bottom w:val="single" w:sz="4" w:space="0" w:color="auto"/>
              <w:right w:val="single" w:sz="4" w:space="0" w:color="auto"/>
            </w:tcBorders>
            <w:shd w:val="clear" w:color="auto" w:fill="auto"/>
            <w:vAlign w:val="center"/>
            <w:hideMark/>
          </w:tcPr>
          <w:p w14:paraId="3C6188B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Buildings - commercial</w:t>
            </w:r>
          </w:p>
        </w:tc>
        <w:tc>
          <w:tcPr>
            <w:tcW w:w="3200" w:type="dxa"/>
            <w:tcBorders>
              <w:top w:val="nil"/>
              <w:left w:val="nil"/>
              <w:bottom w:val="nil"/>
              <w:right w:val="single" w:sz="4" w:space="0" w:color="auto"/>
            </w:tcBorders>
            <w:shd w:val="clear" w:color="auto" w:fill="auto"/>
            <w:noWrap/>
            <w:vAlign w:val="center"/>
            <w:hideMark/>
          </w:tcPr>
          <w:p w14:paraId="04C77F73"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New building heating efficiency</w:t>
            </w:r>
          </w:p>
        </w:tc>
        <w:tc>
          <w:tcPr>
            <w:tcW w:w="1111" w:type="dxa"/>
            <w:tcBorders>
              <w:top w:val="nil"/>
              <w:left w:val="nil"/>
              <w:bottom w:val="nil"/>
              <w:right w:val="single" w:sz="4" w:space="0" w:color="auto"/>
            </w:tcBorders>
            <w:shd w:val="clear" w:color="auto" w:fill="auto"/>
            <w:noWrap/>
            <w:vAlign w:val="center"/>
            <w:hideMark/>
          </w:tcPr>
          <w:p w14:paraId="7471088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0.5</w:t>
            </w:r>
          </w:p>
        </w:tc>
        <w:tc>
          <w:tcPr>
            <w:tcW w:w="1111" w:type="dxa"/>
            <w:tcBorders>
              <w:top w:val="nil"/>
              <w:left w:val="nil"/>
              <w:bottom w:val="nil"/>
              <w:right w:val="single" w:sz="4" w:space="0" w:color="auto"/>
            </w:tcBorders>
            <w:shd w:val="clear" w:color="auto" w:fill="auto"/>
            <w:noWrap/>
            <w:vAlign w:val="center"/>
            <w:hideMark/>
          </w:tcPr>
          <w:p w14:paraId="2F606A1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w:t>
            </w:r>
          </w:p>
        </w:tc>
        <w:tc>
          <w:tcPr>
            <w:tcW w:w="723" w:type="dxa"/>
            <w:tcBorders>
              <w:top w:val="nil"/>
              <w:left w:val="nil"/>
              <w:bottom w:val="nil"/>
              <w:right w:val="nil"/>
            </w:tcBorders>
            <w:shd w:val="clear" w:color="auto" w:fill="auto"/>
            <w:noWrap/>
            <w:vAlign w:val="center"/>
            <w:hideMark/>
          </w:tcPr>
          <w:p w14:paraId="20D31920" w14:textId="55002695"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890</w:t>
            </w:r>
          </w:p>
        </w:tc>
        <w:tc>
          <w:tcPr>
            <w:tcW w:w="822" w:type="dxa"/>
            <w:tcBorders>
              <w:top w:val="nil"/>
              <w:left w:val="nil"/>
              <w:bottom w:val="nil"/>
              <w:right w:val="single" w:sz="4" w:space="0" w:color="auto"/>
            </w:tcBorders>
            <w:shd w:val="clear" w:color="auto" w:fill="auto"/>
            <w:noWrap/>
            <w:vAlign w:val="center"/>
            <w:hideMark/>
          </w:tcPr>
          <w:p w14:paraId="5D77A482" w14:textId="792F7685" w:rsidR="000837E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2281</w:t>
            </w:r>
          </w:p>
        </w:tc>
        <w:tc>
          <w:tcPr>
            <w:tcW w:w="659" w:type="dxa"/>
            <w:tcBorders>
              <w:top w:val="nil"/>
              <w:left w:val="nil"/>
              <w:bottom w:val="nil"/>
              <w:right w:val="nil"/>
            </w:tcBorders>
            <w:shd w:val="clear" w:color="auto" w:fill="auto"/>
            <w:noWrap/>
            <w:vAlign w:val="center"/>
            <w:hideMark/>
          </w:tcPr>
          <w:p w14:paraId="51EEFECB" w14:textId="2B144EAE"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77</w:t>
            </w:r>
          </w:p>
        </w:tc>
        <w:tc>
          <w:tcPr>
            <w:tcW w:w="659" w:type="dxa"/>
            <w:tcBorders>
              <w:top w:val="nil"/>
              <w:left w:val="nil"/>
              <w:bottom w:val="nil"/>
              <w:right w:val="single" w:sz="4" w:space="0" w:color="auto"/>
            </w:tcBorders>
            <w:shd w:val="clear" w:color="auto" w:fill="auto"/>
            <w:noWrap/>
            <w:vAlign w:val="center"/>
            <w:hideMark/>
          </w:tcPr>
          <w:p w14:paraId="58B19D58" w14:textId="4D4909EC"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196</w:t>
            </w:r>
          </w:p>
        </w:tc>
        <w:tc>
          <w:tcPr>
            <w:tcW w:w="1204" w:type="dxa"/>
            <w:tcBorders>
              <w:top w:val="nil"/>
              <w:left w:val="nil"/>
              <w:bottom w:val="nil"/>
              <w:right w:val="single" w:sz="4" w:space="0" w:color="auto"/>
            </w:tcBorders>
            <w:shd w:val="clear" w:color="auto" w:fill="auto"/>
            <w:noWrap/>
            <w:vAlign w:val="center"/>
            <w:hideMark/>
          </w:tcPr>
          <w:p w14:paraId="30EE0C8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6.6</w:t>
            </w:r>
          </w:p>
        </w:tc>
        <w:tc>
          <w:tcPr>
            <w:tcW w:w="700" w:type="dxa"/>
            <w:tcBorders>
              <w:top w:val="nil"/>
              <w:left w:val="nil"/>
              <w:bottom w:val="nil"/>
              <w:right w:val="nil"/>
            </w:tcBorders>
            <w:shd w:val="clear" w:color="auto" w:fill="auto"/>
            <w:noWrap/>
            <w:vAlign w:val="center"/>
            <w:hideMark/>
          </w:tcPr>
          <w:p w14:paraId="3762EBB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120</w:t>
            </w:r>
          </w:p>
        </w:tc>
        <w:tc>
          <w:tcPr>
            <w:tcW w:w="700" w:type="dxa"/>
            <w:tcBorders>
              <w:top w:val="nil"/>
              <w:left w:val="nil"/>
              <w:bottom w:val="nil"/>
              <w:right w:val="single" w:sz="4" w:space="0" w:color="auto"/>
            </w:tcBorders>
            <w:shd w:val="clear" w:color="auto" w:fill="auto"/>
            <w:noWrap/>
            <w:vAlign w:val="center"/>
            <w:hideMark/>
          </w:tcPr>
          <w:p w14:paraId="68FA659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479</w:t>
            </w:r>
          </w:p>
        </w:tc>
        <w:tc>
          <w:tcPr>
            <w:tcW w:w="940" w:type="dxa"/>
            <w:tcBorders>
              <w:top w:val="nil"/>
              <w:left w:val="nil"/>
              <w:bottom w:val="nil"/>
              <w:right w:val="single" w:sz="4" w:space="0" w:color="auto"/>
            </w:tcBorders>
            <w:shd w:val="clear" w:color="auto" w:fill="auto"/>
            <w:noWrap/>
            <w:vAlign w:val="bottom"/>
            <w:hideMark/>
          </w:tcPr>
          <w:p w14:paraId="6918009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-2.1</w:t>
            </w:r>
          </w:p>
        </w:tc>
        <w:tc>
          <w:tcPr>
            <w:tcW w:w="948" w:type="dxa"/>
            <w:tcBorders>
              <w:top w:val="nil"/>
              <w:left w:val="nil"/>
              <w:bottom w:val="nil"/>
              <w:right w:val="single" w:sz="4" w:space="0" w:color="auto"/>
            </w:tcBorders>
            <w:shd w:val="clear" w:color="auto" w:fill="auto"/>
            <w:noWrap/>
            <w:vAlign w:val="center"/>
            <w:hideMark/>
          </w:tcPr>
          <w:p w14:paraId="58DC47B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21</w:t>
            </w:r>
          </w:p>
        </w:tc>
      </w:tr>
      <w:tr w:rsidR="000837E4" w:rsidRPr="00914BAB" w14:paraId="5D74D056"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3917017D"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nil"/>
              <w:bottom w:val="nil"/>
              <w:right w:val="single" w:sz="4" w:space="0" w:color="auto"/>
            </w:tcBorders>
            <w:shd w:val="clear" w:color="auto" w:fill="auto"/>
            <w:noWrap/>
            <w:vAlign w:val="center"/>
            <w:hideMark/>
          </w:tcPr>
          <w:p w14:paraId="42A0DBD9"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Heating retrofits</w:t>
            </w:r>
          </w:p>
        </w:tc>
        <w:tc>
          <w:tcPr>
            <w:tcW w:w="1111" w:type="dxa"/>
            <w:tcBorders>
              <w:top w:val="nil"/>
              <w:left w:val="nil"/>
              <w:bottom w:val="nil"/>
              <w:right w:val="single" w:sz="4" w:space="0" w:color="auto"/>
            </w:tcBorders>
            <w:shd w:val="clear" w:color="auto" w:fill="auto"/>
            <w:noWrap/>
            <w:vAlign w:val="center"/>
            <w:hideMark/>
          </w:tcPr>
          <w:p w14:paraId="301ED99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1111" w:type="dxa"/>
            <w:tcBorders>
              <w:top w:val="nil"/>
              <w:left w:val="nil"/>
              <w:bottom w:val="nil"/>
              <w:right w:val="single" w:sz="4" w:space="0" w:color="auto"/>
            </w:tcBorders>
            <w:shd w:val="clear" w:color="auto" w:fill="auto"/>
            <w:noWrap/>
            <w:vAlign w:val="center"/>
            <w:hideMark/>
          </w:tcPr>
          <w:p w14:paraId="2A8E53D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w:t>
            </w:r>
          </w:p>
        </w:tc>
        <w:tc>
          <w:tcPr>
            <w:tcW w:w="723" w:type="dxa"/>
            <w:tcBorders>
              <w:top w:val="nil"/>
              <w:left w:val="nil"/>
              <w:bottom w:val="nil"/>
              <w:right w:val="nil"/>
            </w:tcBorders>
            <w:shd w:val="clear" w:color="auto" w:fill="auto"/>
            <w:noWrap/>
            <w:vAlign w:val="center"/>
            <w:hideMark/>
          </w:tcPr>
          <w:p w14:paraId="31324A39" w14:textId="0BE3D294"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764</w:t>
            </w:r>
          </w:p>
        </w:tc>
        <w:tc>
          <w:tcPr>
            <w:tcW w:w="822" w:type="dxa"/>
            <w:tcBorders>
              <w:top w:val="nil"/>
              <w:left w:val="nil"/>
              <w:bottom w:val="nil"/>
              <w:right w:val="single" w:sz="4" w:space="0" w:color="auto"/>
            </w:tcBorders>
            <w:shd w:val="clear" w:color="auto" w:fill="auto"/>
            <w:noWrap/>
            <w:vAlign w:val="center"/>
            <w:hideMark/>
          </w:tcPr>
          <w:p w14:paraId="7156499E" w14:textId="107A011F"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1013</w:t>
            </w:r>
          </w:p>
        </w:tc>
        <w:tc>
          <w:tcPr>
            <w:tcW w:w="659" w:type="dxa"/>
            <w:tcBorders>
              <w:top w:val="nil"/>
              <w:left w:val="nil"/>
              <w:bottom w:val="nil"/>
              <w:right w:val="nil"/>
            </w:tcBorders>
            <w:shd w:val="clear" w:color="auto" w:fill="auto"/>
            <w:noWrap/>
            <w:vAlign w:val="center"/>
            <w:hideMark/>
          </w:tcPr>
          <w:p w14:paraId="1653153B" w14:textId="5C1CAB86"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66</w:t>
            </w:r>
          </w:p>
        </w:tc>
        <w:tc>
          <w:tcPr>
            <w:tcW w:w="659" w:type="dxa"/>
            <w:tcBorders>
              <w:top w:val="nil"/>
              <w:left w:val="nil"/>
              <w:bottom w:val="nil"/>
              <w:right w:val="single" w:sz="4" w:space="0" w:color="auto"/>
            </w:tcBorders>
            <w:shd w:val="clear" w:color="auto" w:fill="auto"/>
            <w:noWrap/>
            <w:vAlign w:val="center"/>
            <w:hideMark/>
          </w:tcPr>
          <w:p w14:paraId="0C624264" w14:textId="6249C878"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87</w:t>
            </w:r>
          </w:p>
        </w:tc>
        <w:tc>
          <w:tcPr>
            <w:tcW w:w="1204" w:type="dxa"/>
            <w:tcBorders>
              <w:top w:val="nil"/>
              <w:left w:val="nil"/>
              <w:bottom w:val="nil"/>
              <w:right w:val="single" w:sz="4" w:space="0" w:color="auto"/>
            </w:tcBorders>
            <w:shd w:val="clear" w:color="auto" w:fill="auto"/>
            <w:noWrap/>
            <w:vAlign w:val="center"/>
            <w:hideMark/>
          </w:tcPr>
          <w:p w14:paraId="3099B48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4.0</w:t>
            </w:r>
          </w:p>
        </w:tc>
        <w:tc>
          <w:tcPr>
            <w:tcW w:w="700" w:type="dxa"/>
            <w:tcBorders>
              <w:top w:val="nil"/>
              <w:left w:val="nil"/>
              <w:bottom w:val="nil"/>
              <w:right w:val="nil"/>
            </w:tcBorders>
            <w:shd w:val="clear" w:color="auto" w:fill="auto"/>
            <w:noWrap/>
            <w:vAlign w:val="center"/>
            <w:hideMark/>
          </w:tcPr>
          <w:p w14:paraId="13AF230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103</w:t>
            </w:r>
          </w:p>
        </w:tc>
        <w:tc>
          <w:tcPr>
            <w:tcW w:w="700" w:type="dxa"/>
            <w:tcBorders>
              <w:top w:val="nil"/>
              <w:left w:val="nil"/>
              <w:bottom w:val="nil"/>
              <w:right w:val="single" w:sz="4" w:space="0" w:color="auto"/>
            </w:tcBorders>
            <w:shd w:val="clear" w:color="auto" w:fill="auto"/>
            <w:noWrap/>
            <w:vAlign w:val="center"/>
            <w:hideMark/>
          </w:tcPr>
          <w:p w14:paraId="40DF1BF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260</w:t>
            </w:r>
          </w:p>
        </w:tc>
        <w:tc>
          <w:tcPr>
            <w:tcW w:w="940" w:type="dxa"/>
            <w:tcBorders>
              <w:top w:val="nil"/>
              <w:left w:val="nil"/>
              <w:bottom w:val="nil"/>
              <w:right w:val="single" w:sz="4" w:space="0" w:color="auto"/>
            </w:tcBorders>
            <w:shd w:val="clear" w:color="auto" w:fill="auto"/>
            <w:noWrap/>
            <w:vAlign w:val="bottom"/>
            <w:hideMark/>
          </w:tcPr>
          <w:p w14:paraId="4A41499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-0.7</w:t>
            </w:r>
          </w:p>
        </w:tc>
        <w:tc>
          <w:tcPr>
            <w:tcW w:w="948" w:type="dxa"/>
            <w:tcBorders>
              <w:top w:val="nil"/>
              <w:left w:val="nil"/>
              <w:bottom w:val="nil"/>
              <w:right w:val="single" w:sz="4" w:space="0" w:color="auto"/>
            </w:tcBorders>
            <w:shd w:val="clear" w:color="auto" w:fill="auto"/>
            <w:noWrap/>
            <w:vAlign w:val="center"/>
            <w:hideMark/>
          </w:tcPr>
          <w:p w14:paraId="45B21FA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23</w:t>
            </w:r>
          </w:p>
        </w:tc>
      </w:tr>
      <w:tr w:rsidR="000837E4" w:rsidRPr="00914BAB" w14:paraId="2541B43B"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65695373"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nil"/>
              <w:bottom w:val="nil"/>
              <w:right w:val="single" w:sz="4" w:space="0" w:color="auto"/>
            </w:tcBorders>
            <w:shd w:val="clear" w:color="auto" w:fill="auto"/>
            <w:noWrap/>
            <w:vAlign w:val="center"/>
            <w:hideMark/>
          </w:tcPr>
          <w:p w14:paraId="14B34550"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Appliances and lighting</w:t>
            </w:r>
          </w:p>
        </w:tc>
        <w:tc>
          <w:tcPr>
            <w:tcW w:w="1111" w:type="dxa"/>
            <w:tcBorders>
              <w:top w:val="nil"/>
              <w:left w:val="nil"/>
              <w:bottom w:val="nil"/>
              <w:right w:val="single" w:sz="4" w:space="0" w:color="auto"/>
            </w:tcBorders>
            <w:shd w:val="clear" w:color="auto" w:fill="auto"/>
            <w:noWrap/>
            <w:vAlign w:val="center"/>
            <w:hideMark/>
          </w:tcPr>
          <w:p w14:paraId="3C76BC1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0.7</w:t>
            </w:r>
          </w:p>
        </w:tc>
        <w:tc>
          <w:tcPr>
            <w:tcW w:w="1111" w:type="dxa"/>
            <w:tcBorders>
              <w:top w:val="nil"/>
              <w:left w:val="nil"/>
              <w:bottom w:val="nil"/>
              <w:right w:val="single" w:sz="4" w:space="0" w:color="auto"/>
            </w:tcBorders>
            <w:shd w:val="clear" w:color="auto" w:fill="auto"/>
            <w:noWrap/>
            <w:vAlign w:val="center"/>
            <w:hideMark/>
          </w:tcPr>
          <w:p w14:paraId="3219C63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w:t>
            </w:r>
          </w:p>
        </w:tc>
        <w:tc>
          <w:tcPr>
            <w:tcW w:w="723" w:type="dxa"/>
            <w:tcBorders>
              <w:top w:val="nil"/>
              <w:left w:val="nil"/>
              <w:bottom w:val="nil"/>
              <w:right w:val="nil"/>
            </w:tcBorders>
            <w:shd w:val="clear" w:color="auto" w:fill="auto"/>
            <w:noWrap/>
            <w:vAlign w:val="center"/>
            <w:hideMark/>
          </w:tcPr>
          <w:p w14:paraId="21D73236" w14:textId="3B319C17"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776</w:t>
            </w:r>
          </w:p>
        </w:tc>
        <w:tc>
          <w:tcPr>
            <w:tcW w:w="822" w:type="dxa"/>
            <w:tcBorders>
              <w:top w:val="nil"/>
              <w:left w:val="nil"/>
              <w:bottom w:val="nil"/>
              <w:right w:val="single" w:sz="4" w:space="0" w:color="auto"/>
            </w:tcBorders>
            <w:shd w:val="clear" w:color="auto" w:fill="auto"/>
            <w:noWrap/>
            <w:vAlign w:val="center"/>
            <w:hideMark/>
          </w:tcPr>
          <w:p w14:paraId="57ADF47E" w14:textId="08BAC77D"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2047</w:t>
            </w:r>
          </w:p>
        </w:tc>
        <w:tc>
          <w:tcPr>
            <w:tcW w:w="659" w:type="dxa"/>
            <w:tcBorders>
              <w:top w:val="nil"/>
              <w:left w:val="nil"/>
              <w:bottom w:val="nil"/>
              <w:right w:val="nil"/>
            </w:tcBorders>
            <w:shd w:val="clear" w:color="auto" w:fill="auto"/>
            <w:noWrap/>
            <w:vAlign w:val="center"/>
            <w:hideMark/>
          </w:tcPr>
          <w:p w14:paraId="47896C6D" w14:textId="1B0452E0"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67</w:t>
            </w:r>
          </w:p>
        </w:tc>
        <w:tc>
          <w:tcPr>
            <w:tcW w:w="659" w:type="dxa"/>
            <w:tcBorders>
              <w:top w:val="nil"/>
              <w:left w:val="nil"/>
              <w:bottom w:val="nil"/>
              <w:right w:val="single" w:sz="4" w:space="0" w:color="auto"/>
            </w:tcBorders>
            <w:shd w:val="clear" w:color="auto" w:fill="auto"/>
            <w:noWrap/>
            <w:vAlign w:val="center"/>
            <w:hideMark/>
          </w:tcPr>
          <w:p w14:paraId="7E116597" w14:textId="4DD890DB" w:rsidR="000837E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176</w:t>
            </w:r>
          </w:p>
        </w:tc>
        <w:tc>
          <w:tcPr>
            <w:tcW w:w="1204" w:type="dxa"/>
            <w:tcBorders>
              <w:top w:val="nil"/>
              <w:left w:val="nil"/>
              <w:bottom w:val="nil"/>
              <w:right w:val="single" w:sz="4" w:space="0" w:color="auto"/>
            </w:tcBorders>
            <w:shd w:val="clear" w:color="auto" w:fill="auto"/>
            <w:noWrap/>
            <w:vAlign w:val="center"/>
            <w:hideMark/>
          </w:tcPr>
          <w:p w14:paraId="7C73437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0.4</w:t>
            </w:r>
          </w:p>
        </w:tc>
        <w:tc>
          <w:tcPr>
            <w:tcW w:w="700" w:type="dxa"/>
            <w:tcBorders>
              <w:top w:val="nil"/>
              <w:left w:val="nil"/>
              <w:bottom w:val="nil"/>
              <w:right w:val="nil"/>
            </w:tcBorders>
            <w:shd w:val="clear" w:color="auto" w:fill="auto"/>
            <w:noWrap/>
            <w:vAlign w:val="center"/>
            <w:hideMark/>
          </w:tcPr>
          <w:p w14:paraId="6CEF545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96.2</w:t>
            </w:r>
          </w:p>
        </w:tc>
        <w:tc>
          <w:tcPr>
            <w:tcW w:w="700" w:type="dxa"/>
            <w:tcBorders>
              <w:top w:val="nil"/>
              <w:left w:val="nil"/>
              <w:bottom w:val="nil"/>
              <w:right w:val="single" w:sz="4" w:space="0" w:color="auto"/>
            </w:tcBorders>
            <w:shd w:val="clear" w:color="auto" w:fill="auto"/>
            <w:noWrap/>
            <w:vAlign w:val="center"/>
            <w:hideMark/>
          </w:tcPr>
          <w:p w14:paraId="3483650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584</w:t>
            </w:r>
          </w:p>
        </w:tc>
        <w:tc>
          <w:tcPr>
            <w:tcW w:w="940" w:type="dxa"/>
            <w:tcBorders>
              <w:top w:val="nil"/>
              <w:left w:val="nil"/>
              <w:bottom w:val="nil"/>
              <w:right w:val="single" w:sz="4" w:space="0" w:color="auto"/>
            </w:tcBorders>
            <w:shd w:val="clear" w:color="auto" w:fill="auto"/>
            <w:noWrap/>
            <w:vAlign w:val="bottom"/>
            <w:hideMark/>
          </w:tcPr>
          <w:p w14:paraId="2FC8564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3.0</w:t>
            </w:r>
          </w:p>
        </w:tc>
        <w:tc>
          <w:tcPr>
            <w:tcW w:w="948" w:type="dxa"/>
            <w:tcBorders>
              <w:top w:val="nil"/>
              <w:left w:val="nil"/>
              <w:bottom w:val="nil"/>
              <w:right w:val="single" w:sz="4" w:space="0" w:color="auto"/>
            </w:tcBorders>
            <w:shd w:val="clear" w:color="auto" w:fill="auto"/>
            <w:noWrap/>
            <w:vAlign w:val="center"/>
            <w:hideMark/>
          </w:tcPr>
          <w:p w14:paraId="33A392C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w:t>
            </w:r>
          </w:p>
        </w:tc>
      </w:tr>
      <w:tr w:rsidR="000837E4" w:rsidRPr="00914BAB" w14:paraId="00882E7A"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64AC0529"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nil"/>
              <w:bottom w:val="single" w:sz="4" w:space="0" w:color="auto"/>
              <w:right w:val="single" w:sz="4" w:space="0" w:color="auto"/>
            </w:tcBorders>
            <w:shd w:val="clear" w:color="auto" w:fill="auto"/>
            <w:noWrap/>
            <w:vAlign w:val="center"/>
            <w:hideMark/>
          </w:tcPr>
          <w:p w14:paraId="364EEBE8"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Fuel switching / solar PV</w:t>
            </w:r>
          </w:p>
        </w:tc>
        <w:tc>
          <w:tcPr>
            <w:tcW w:w="1111" w:type="dxa"/>
            <w:tcBorders>
              <w:top w:val="nil"/>
              <w:left w:val="nil"/>
              <w:bottom w:val="single" w:sz="4" w:space="0" w:color="auto"/>
              <w:right w:val="single" w:sz="4" w:space="0" w:color="auto"/>
            </w:tcBorders>
            <w:shd w:val="clear" w:color="auto" w:fill="auto"/>
            <w:noWrap/>
            <w:vAlign w:val="center"/>
            <w:hideMark/>
          </w:tcPr>
          <w:p w14:paraId="0CBD005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1111" w:type="dxa"/>
            <w:tcBorders>
              <w:top w:val="nil"/>
              <w:left w:val="nil"/>
              <w:bottom w:val="single" w:sz="4" w:space="0" w:color="auto"/>
              <w:right w:val="single" w:sz="4" w:space="0" w:color="auto"/>
            </w:tcBorders>
            <w:shd w:val="clear" w:color="auto" w:fill="auto"/>
            <w:noWrap/>
            <w:vAlign w:val="center"/>
            <w:hideMark/>
          </w:tcPr>
          <w:p w14:paraId="49C2FA5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w:t>
            </w:r>
          </w:p>
        </w:tc>
        <w:tc>
          <w:tcPr>
            <w:tcW w:w="723" w:type="dxa"/>
            <w:tcBorders>
              <w:top w:val="nil"/>
              <w:left w:val="nil"/>
              <w:bottom w:val="single" w:sz="4" w:space="0" w:color="auto"/>
              <w:right w:val="nil"/>
            </w:tcBorders>
            <w:shd w:val="clear" w:color="auto" w:fill="auto"/>
            <w:noWrap/>
            <w:vAlign w:val="center"/>
            <w:hideMark/>
          </w:tcPr>
          <w:p w14:paraId="580BF68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19</w:t>
            </w:r>
          </w:p>
        </w:tc>
        <w:tc>
          <w:tcPr>
            <w:tcW w:w="822" w:type="dxa"/>
            <w:tcBorders>
              <w:top w:val="nil"/>
              <w:left w:val="nil"/>
              <w:bottom w:val="single" w:sz="4" w:space="0" w:color="auto"/>
              <w:right w:val="single" w:sz="4" w:space="0" w:color="auto"/>
            </w:tcBorders>
            <w:shd w:val="clear" w:color="auto" w:fill="auto"/>
            <w:noWrap/>
            <w:vAlign w:val="center"/>
            <w:hideMark/>
          </w:tcPr>
          <w:p w14:paraId="5DFCDDE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79</w:t>
            </w:r>
          </w:p>
        </w:tc>
        <w:tc>
          <w:tcPr>
            <w:tcW w:w="659" w:type="dxa"/>
            <w:tcBorders>
              <w:top w:val="nil"/>
              <w:left w:val="nil"/>
              <w:bottom w:val="single" w:sz="4" w:space="0" w:color="auto"/>
              <w:right w:val="nil"/>
            </w:tcBorders>
            <w:shd w:val="clear" w:color="auto" w:fill="auto"/>
            <w:noWrap/>
            <w:vAlign w:val="center"/>
            <w:hideMark/>
          </w:tcPr>
          <w:p w14:paraId="48DA9AD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w:t>
            </w:r>
          </w:p>
        </w:tc>
        <w:tc>
          <w:tcPr>
            <w:tcW w:w="659" w:type="dxa"/>
            <w:tcBorders>
              <w:top w:val="nil"/>
              <w:left w:val="nil"/>
              <w:bottom w:val="single" w:sz="4" w:space="0" w:color="auto"/>
              <w:right w:val="single" w:sz="4" w:space="0" w:color="auto"/>
            </w:tcBorders>
            <w:shd w:val="clear" w:color="auto" w:fill="auto"/>
            <w:noWrap/>
            <w:vAlign w:val="center"/>
            <w:hideMark/>
          </w:tcPr>
          <w:p w14:paraId="05744BA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w:t>
            </w:r>
          </w:p>
        </w:tc>
        <w:tc>
          <w:tcPr>
            <w:tcW w:w="1204" w:type="dxa"/>
            <w:tcBorders>
              <w:top w:val="nil"/>
              <w:left w:val="nil"/>
              <w:bottom w:val="single" w:sz="4" w:space="0" w:color="auto"/>
              <w:right w:val="single" w:sz="4" w:space="0" w:color="auto"/>
            </w:tcBorders>
            <w:shd w:val="clear" w:color="auto" w:fill="auto"/>
            <w:noWrap/>
            <w:vAlign w:val="center"/>
            <w:hideMark/>
          </w:tcPr>
          <w:p w14:paraId="598836E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700" w:type="dxa"/>
            <w:tcBorders>
              <w:top w:val="nil"/>
              <w:left w:val="nil"/>
              <w:bottom w:val="single" w:sz="4" w:space="0" w:color="auto"/>
              <w:right w:val="nil"/>
            </w:tcBorders>
            <w:shd w:val="clear" w:color="auto" w:fill="auto"/>
            <w:noWrap/>
            <w:vAlign w:val="center"/>
            <w:hideMark/>
          </w:tcPr>
          <w:p w14:paraId="59AF8DA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3.9</w:t>
            </w:r>
          </w:p>
        </w:tc>
        <w:tc>
          <w:tcPr>
            <w:tcW w:w="700" w:type="dxa"/>
            <w:tcBorders>
              <w:top w:val="nil"/>
              <w:left w:val="nil"/>
              <w:bottom w:val="single" w:sz="4" w:space="0" w:color="auto"/>
              <w:right w:val="single" w:sz="4" w:space="0" w:color="auto"/>
            </w:tcBorders>
            <w:shd w:val="clear" w:color="auto" w:fill="auto"/>
            <w:noWrap/>
            <w:vAlign w:val="center"/>
            <w:hideMark/>
          </w:tcPr>
          <w:p w14:paraId="3ED9B63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24.9</w:t>
            </w:r>
          </w:p>
        </w:tc>
        <w:tc>
          <w:tcPr>
            <w:tcW w:w="940" w:type="dxa"/>
            <w:tcBorders>
              <w:top w:val="nil"/>
              <w:left w:val="nil"/>
              <w:bottom w:val="single" w:sz="4" w:space="0" w:color="auto"/>
              <w:right w:val="single" w:sz="4" w:space="0" w:color="auto"/>
            </w:tcBorders>
            <w:shd w:val="clear" w:color="auto" w:fill="auto"/>
            <w:noWrap/>
            <w:vAlign w:val="bottom"/>
            <w:hideMark/>
          </w:tcPr>
          <w:p w14:paraId="4130AD4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0.0</w:t>
            </w:r>
          </w:p>
        </w:tc>
        <w:tc>
          <w:tcPr>
            <w:tcW w:w="948" w:type="dxa"/>
            <w:tcBorders>
              <w:top w:val="nil"/>
              <w:left w:val="nil"/>
              <w:bottom w:val="single" w:sz="4" w:space="0" w:color="auto"/>
              <w:right w:val="single" w:sz="4" w:space="0" w:color="auto"/>
            </w:tcBorders>
            <w:shd w:val="clear" w:color="auto" w:fill="auto"/>
            <w:noWrap/>
            <w:vAlign w:val="center"/>
            <w:hideMark/>
          </w:tcPr>
          <w:p w14:paraId="03737CD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13</w:t>
            </w:r>
          </w:p>
        </w:tc>
      </w:tr>
      <w:tr w:rsidR="004F57D4" w:rsidRPr="00914BAB" w14:paraId="2BC2AD15" w14:textId="77777777" w:rsidTr="00C234D1">
        <w:trPr>
          <w:trHeight w:val="300"/>
        </w:trPr>
        <w:tc>
          <w:tcPr>
            <w:tcW w:w="4367"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14:paraId="036BBBEA"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Sub-total buildings</w:t>
            </w:r>
          </w:p>
        </w:tc>
        <w:tc>
          <w:tcPr>
            <w:tcW w:w="1111" w:type="dxa"/>
            <w:tcBorders>
              <w:top w:val="nil"/>
              <w:left w:val="nil"/>
              <w:bottom w:val="single" w:sz="4" w:space="0" w:color="auto"/>
              <w:right w:val="single" w:sz="4" w:space="0" w:color="auto"/>
            </w:tcBorders>
            <w:shd w:val="clear" w:color="000000" w:fill="F2F2F2"/>
            <w:noWrap/>
            <w:vAlign w:val="center"/>
            <w:hideMark/>
          </w:tcPr>
          <w:p w14:paraId="5714BF53"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4.5</w:t>
            </w:r>
          </w:p>
        </w:tc>
        <w:tc>
          <w:tcPr>
            <w:tcW w:w="1111" w:type="dxa"/>
            <w:tcBorders>
              <w:top w:val="nil"/>
              <w:left w:val="nil"/>
              <w:bottom w:val="single" w:sz="4" w:space="0" w:color="auto"/>
              <w:right w:val="single" w:sz="4" w:space="0" w:color="auto"/>
            </w:tcBorders>
            <w:shd w:val="clear" w:color="000000" w:fill="F2F2F2"/>
            <w:noWrap/>
            <w:vAlign w:val="center"/>
            <w:hideMark/>
          </w:tcPr>
          <w:p w14:paraId="51FCA4C9"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57%</w:t>
            </w:r>
          </w:p>
        </w:tc>
        <w:tc>
          <w:tcPr>
            <w:tcW w:w="723" w:type="dxa"/>
            <w:tcBorders>
              <w:top w:val="nil"/>
              <w:left w:val="nil"/>
              <w:bottom w:val="single" w:sz="4" w:space="0" w:color="auto"/>
              <w:right w:val="nil"/>
            </w:tcBorders>
            <w:shd w:val="clear" w:color="000000" w:fill="F2F2F2"/>
            <w:noWrap/>
            <w:vAlign w:val="center"/>
            <w:hideMark/>
          </w:tcPr>
          <w:p w14:paraId="644A9C24" w14:textId="4714557A" w:rsidR="004F57D4" w:rsidRPr="00914BAB" w:rsidRDefault="004F57D4" w:rsidP="004F57D4">
            <w:pPr>
              <w:spacing w:before="0" w:line="240" w:lineRule="auto"/>
              <w:jc w:val="center"/>
              <w:rPr>
                <w:rFonts w:eastAsia="Times New Roman" w:cs="Times New Roman"/>
                <w:color w:val="000000"/>
                <w:sz w:val="24"/>
              </w:rPr>
            </w:pPr>
            <w:r w:rsidRPr="00914BAB">
              <w:rPr>
                <w:sz w:val="24"/>
              </w:rPr>
              <w:t>7196</w:t>
            </w:r>
          </w:p>
        </w:tc>
        <w:tc>
          <w:tcPr>
            <w:tcW w:w="822" w:type="dxa"/>
            <w:tcBorders>
              <w:top w:val="nil"/>
              <w:left w:val="nil"/>
              <w:bottom w:val="single" w:sz="4" w:space="0" w:color="auto"/>
              <w:right w:val="single" w:sz="4" w:space="0" w:color="auto"/>
            </w:tcBorders>
            <w:shd w:val="clear" w:color="000000" w:fill="F2F2F2"/>
            <w:noWrap/>
            <w:vAlign w:val="center"/>
            <w:hideMark/>
          </w:tcPr>
          <w:p w14:paraId="1D550B37" w14:textId="538D31E4" w:rsidR="004F57D4" w:rsidRPr="00914BAB" w:rsidRDefault="004F57D4" w:rsidP="004F57D4">
            <w:pPr>
              <w:spacing w:before="0" w:line="240" w:lineRule="auto"/>
              <w:jc w:val="center"/>
              <w:rPr>
                <w:rFonts w:eastAsia="Times New Roman" w:cs="Times New Roman"/>
                <w:color w:val="000000"/>
                <w:sz w:val="24"/>
              </w:rPr>
            </w:pPr>
            <w:r w:rsidRPr="00914BAB">
              <w:rPr>
                <w:sz w:val="24"/>
              </w:rPr>
              <w:t>14536</w:t>
            </w:r>
          </w:p>
        </w:tc>
        <w:tc>
          <w:tcPr>
            <w:tcW w:w="659" w:type="dxa"/>
            <w:tcBorders>
              <w:top w:val="nil"/>
              <w:left w:val="nil"/>
              <w:bottom w:val="nil"/>
              <w:right w:val="nil"/>
            </w:tcBorders>
            <w:shd w:val="clear" w:color="000000" w:fill="F2F2F2"/>
            <w:noWrap/>
            <w:vAlign w:val="center"/>
            <w:hideMark/>
          </w:tcPr>
          <w:p w14:paraId="629BF34D" w14:textId="5BDB5ECB" w:rsidR="004F57D4" w:rsidRPr="00914BAB" w:rsidRDefault="004F57D4" w:rsidP="004F57D4">
            <w:pPr>
              <w:spacing w:before="0" w:line="240" w:lineRule="auto"/>
              <w:jc w:val="center"/>
              <w:rPr>
                <w:rFonts w:eastAsia="Times New Roman" w:cs="Times New Roman"/>
                <w:color w:val="000000"/>
                <w:sz w:val="24"/>
              </w:rPr>
            </w:pPr>
            <w:r w:rsidRPr="00914BAB">
              <w:rPr>
                <w:sz w:val="24"/>
              </w:rPr>
              <w:t>619</w:t>
            </w:r>
          </w:p>
        </w:tc>
        <w:tc>
          <w:tcPr>
            <w:tcW w:w="659" w:type="dxa"/>
            <w:tcBorders>
              <w:top w:val="nil"/>
              <w:left w:val="nil"/>
              <w:bottom w:val="nil"/>
              <w:right w:val="nil"/>
            </w:tcBorders>
            <w:shd w:val="clear" w:color="000000" w:fill="F2F2F2"/>
            <w:noWrap/>
            <w:vAlign w:val="center"/>
            <w:hideMark/>
          </w:tcPr>
          <w:p w14:paraId="13D1C544" w14:textId="1BAAEBF1" w:rsidR="004F57D4" w:rsidRPr="00914BAB" w:rsidRDefault="004F57D4" w:rsidP="004F57D4">
            <w:pPr>
              <w:spacing w:before="0" w:line="240" w:lineRule="auto"/>
              <w:jc w:val="center"/>
              <w:rPr>
                <w:rFonts w:eastAsia="Times New Roman" w:cs="Times New Roman"/>
                <w:color w:val="000000"/>
                <w:sz w:val="24"/>
              </w:rPr>
            </w:pPr>
            <w:r w:rsidRPr="00914BAB">
              <w:rPr>
                <w:sz w:val="24"/>
              </w:rPr>
              <w:t>1250</w:t>
            </w:r>
          </w:p>
        </w:tc>
        <w:tc>
          <w:tcPr>
            <w:tcW w:w="1204" w:type="dxa"/>
            <w:tcBorders>
              <w:top w:val="nil"/>
              <w:left w:val="single" w:sz="4" w:space="0" w:color="auto"/>
              <w:bottom w:val="single" w:sz="4" w:space="0" w:color="auto"/>
              <w:right w:val="single" w:sz="4" w:space="0" w:color="auto"/>
            </w:tcBorders>
            <w:shd w:val="clear" w:color="000000" w:fill="F2F2F2"/>
            <w:noWrap/>
            <w:vAlign w:val="center"/>
            <w:hideMark/>
          </w:tcPr>
          <w:p w14:paraId="71897194"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23.7</w:t>
            </w:r>
          </w:p>
        </w:tc>
        <w:tc>
          <w:tcPr>
            <w:tcW w:w="700" w:type="dxa"/>
            <w:tcBorders>
              <w:top w:val="nil"/>
              <w:left w:val="nil"/>
              <w:bottom w:val="single" w:sz="4" w:space="0" w:color="auto"/>
              <w:right w:val="nil"/>
            </w:tcBorders>
            <w:shd w:val="clear" w:color="000000" w:fill="F2F2F2"/>
            <w:noWrap/>
            <w:vAlign w:val="center"/>
            <w:hideMark/>
          </w:tcPr>
          <w:p w14:paraId="40D73D97"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961</w:t>
            </w:r>
          </w:p>
        </w:tc>
        <w:tc>
          <w:tcPr>
            <w:tcW w:w="700" w:type="dxa"/>
            <w:tcBorders>
              <w:top w:val="nil"/>
              <w:left w:val="nil"/>
              <w:bottom w:val="single" w:sz="4" w:space="0" w:color="auto"/>
              <w:right w:val="single" w:sz="4" w:space="0" w:color="auto"/>
            </w:tcBorders>
            <w:shd w:val="clear" w:color="000000" w:fill="F2F2F2"/>
            <w:noWrap/>
            <w:vAlign w:val="center"/>
            <w:hideMark/>
          </w:tcPr>
          <w:p w14:paraId="1C62A93E"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3435</w:t>
            </w:r>
          </w:p>
        </w:tc>
        <w:tc>
          <w:tcPr>
            <w:tcW w:w="940" w:type="dxa"/>
            <w:tcBorders>
              <w:top w:val="nil"/>
              <w:left w:val="nil"/>
              <w:bottom w:val="single" w:sz="4" w:space="0" w:color="auto"/>
              <w:right w:val="single" w:sz="4" w:space="0" w:color="auto"/>
            </w:tcBorders>
            <w:shd w:val="clear" w:color="000000" w:fill="F2F2F2"/>
            <w:noWrap/>
            <w:vAlign w:val="center"/>
            <w:hideMark/>
          </w:tcPr>
          <w:p w14:paraId="10036BC5"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6.0</w:t>
            </w:r>
          </w:p>
        </w:tc>
        <w:tc>
          <w:tcPr>
            <w:tcW w:w="948" w:type="dxa"/>
            <w:tcBorders>
              <w:top w:val="nil"/>
              <w:left w:val="nil"/>
              <w:bottom w:val="single" w:sz="4" w:space="0" w:color="auto"/>
              <w:right w:val="single" w:sz="4" w:space="0" w:color="auto"/>
            </w:tcBorders>
            <w:shd w:val="clear" w:color="000000" w:fill="F2F2F2"/>
            <w:noWrap/>
            <w:vAlign w:val="center"/>
            <w:hideMark/>
          </w:tcPr>
          <w:p w14:paraId="6E4A198A"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17.4</w:t>
            </w:r>
          </w:p>
        </w:tc>
      </w:tr>
      <w:tr w:rsidR="00C234D1" w:rsidRPr="00914BAB" w14:paraId="6F79C3DE" w14:textId="77777777" w:rsidTr="00C234D1">
        <w:trPr>
          <w:trHeight w:val="300"/>
        </w:trPr>
        <w:tc>
          <w:tcPr>
            <w:tcW w:w="1167" w:type="dxa"/>
            <w:vMerge w:val="restart"/>
            <w:tcBorders>
              <w:top w:val="nil"/>
              <w:left w:val="single" w:sz="4" w:space="0" w:color="auto"/>
              <w:bottom w:val="single" w:sz="4" w:space="0" w:color="auto"/>
              <w:right w:val="single" w:sz="4" w:space="0" w:color="auto"/>
            </w:tcBorders>
            <w:shd w:val="clear" w:color="auto" w:fill="auto"/>
            <w:vAlign w:val="center"/>
            <w:hideMark/>
          </w:tcPr>
          <w:p w14:paraId="6676D252"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Transport - passenger</w:t>
            </w:r>
          </w:p>
        </w:tc>
        <w:tc>
          <w:tcPr>
            <w:tcW w:w="3200" w:type="dxa"/>
            <w:tcBorders>
              <w:top w:val="nil"/>
              <w:left w:val="nil"/>
              <w:bottom w:val="nil"/>
              <w:right w:val="single" w:sz="4" w:space="0" w:color="auto"/>
            </w:tcBorders>
            <w:shd w:val="clear" w:color="auto" w:fill="auto"/>
            <w:noWrap/>
            <w:vAlign w:val="center"/>
            <w:hideMark/>
          </w:tcPr>
          <w:p w14:paraId="776F8FDE" w14:textId="77777777" w:rsidR="00C234D1" w:rsidRPr="00914BAB" w:rsidRDefault="00C234D1" w:rsidP="000837E4">
            <w:pPr>
              <w:spacing w:before="0" w:line="240" w:lineRule="auto"/>
              <w:rPr>
                <w:rFonts w:eastAsia="Times New Roman" w:cs="Times New Roman"/>
                <w:color w:val="000000"/>
                <w:sz w:val="24"/>
              </w:rPr>
            </w:pPr>
            <w:r w:rsidRPr="00914BAB">
              <w:rPr>
                <w:rFonts w:eastAsia="Times New Roman" w:cs="Times New Roman"/>
                <w:color w:val="000000"/>
                <w:sz w:val="24"/>
              </w:rPr>
              <w:t>Urban planning: reduced travel</w:t>
            </w:r>
          </w:p>
        </w:tc>
        <w:tc>
          <w:tcPr>
            <w:tcW w:w="1111" w:type="dxa"/>
            <w:tcBorders>
              <w:top w:val="nil"/>
              <w:left w:val="nil"/>
              <w:bottom w:val="nil"/>
              <w:right w:val="single" w:sz="4" w:space="0" w:color="auto"/>
            </w:tcBorders>
            <w:shd w:val="clear" w:color="auto" w:fill="auto"/>
            <w:noWrap/>
            <w:vAlign w:val="center"/>
            <w:hideMark/>
          </w:tcPr>
          <w:p w14:paraId="0DEF3010"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0.5</w:t>
            </w:r>
          </w:p>
        </w:tc>
        <w:tc>
          <w:tcPr>
            <w:tcW w:w="1111" w:type="dxa"/>
            <w:tcBorders>
              <w:top w:val="nil"/>
              <w:left w:val="nil"/>
              <w:bottom w:val="nil"/>
              <w:right w:val="single" w:sz="4" w:space="0" w:color="auto"/>
            </w:tcBorders>
            <w:shd w:val="clear" w:color="auto" w:fill="auto"/>
            <w:noWrap/>
            <w:vAlign w:val="center"/>
            <w:hideMark/>
          </w:tcPr>
          <w:p w14:paraId="2C138565"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w:t>
            </w:r>
          </w:p>
        </w:tc>
        <w:tc>
          <w:tcPr>
            <w:tcW w:w="723" w:type="dxa"/>
            <w:tcBorders>
              <w:top w:val="nil"/>
              <w:left w:val="nil"/>
              <w:bottom w:val="nil"/>
              <w:right w:val="nil"/>
            </w:tcBorders>
            <w:shd w:val="clear" w:color="auto" w:fill="auto"/>
            <w:noWrap/>
            <w:vAlign w:val="center"/>
            <w:hideMark/>
          </w:tcPr>
          <w:p w14:paraId="03F13449"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654</w:t>
            </w:r>
          </w:p>
        </w:tc>
        <w:tc>
          <w:tcPr>
            <w:tcW w:w="822" w:type="dxa"/>
            <w:tcBorders>
              <w:top w:val="nil"/>
              <w:left w:val="nil"/>
              <w:bottom w:val="nil"/>
              <w:right w:val="single" w:sz="4" w:space="0" w:color="auto"/>
            </w:tcBorders>
            <w:shd w:val="clear" w:color="auto" w:fill="auto"/>
            <w:noWrap/>
            <w:vAlign w:val="center"/>
            <w:hideMark/>
          </w:tcPr>
          <w:p w14:paraId="576F77A9" w14:textId="6D23F545" w:rsidR="00C234D1" w:rsidRPr="00914BAB" w:rsidRDefault="00C234D1" w:rsidP="00C234D1">
            <w:pPr>
              <w:spacing w:before="0" w:line="240" w:lineRule="auto"/>
              <w:jc w:val="center"/>
              <w:rPr>
                <w:rFonts w:eastAsia="Times New Roman" w:cs="Times New Roman"/>
                <w:color w:val="000000"/>
                <w:sz w:val="24"/>
              </w:rPr>
            </w:pPr>
            <w:r w:rsidRPr="00914BAB">
              <w:rPr>
                <w:sz w:val="24"/>
              </w:rPr>
              <w:t>1424</w:t>
            </w:r>
          </w:p>
        </w:tc>
        <w:tc>
          <w:tcPr>
            <w:tcW w:w="659" w:type="dxa"/>
            <w:tcBorders>
              <w:top w:val="single" w:sz="4" w:space="0" w:color="auto"/>
              <w:left w:val="nil"/>
              <w:bottom w:val="nil"/>
              <w:right w:val="nil"/>
            </w:tcBorders>
            <w:shd w:val="clear" w:color="auto" w:fill="auto"/>
            <w:noWrap/>
            <w:vAlign w:val="center"/>
            <w:hideMark/>
          </w:tcPr>
          <w:p w14:paraId="6A4E6F80"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56</w:t>
            </w:r>
          </w:p>
        </w:tc>
        <w:tc>
          <w:tcPr>
            <w:tcW w:w="659" w:type="dxa"/>
            <w:tcBorders>
              <w:top w:val="single" w:sz="4" w:space="0" w:color="auto"/>
              <w:left w:val="nil"/>
              <w:bottom w:val="nil"/>
              <w:right w:val="single" w:sz="4" w:space="0" w:color="auto"/>
            </w:tcBorders>
            <w:shd w:val="clear" w:color="auto" w:fill="auto"/>
            <w:noWrap/>
            <w:vAlign w:val="center"/>
            <w:hideMark/>
          </w:tcPr>
          <w:p w14:paraId="5E186AEC"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122</w:t>
            </w:r>
          </w:p>
        </w:tc>
        <w:tc>
          <w:tcPr>
            <w:tcW w:w="1204" w:type="dxa"/>
            <w:tcBorders>
              <w:top w:val="nil"/>
              <w:left w:val="nil"/>
              <w:bottom w:val="nil"/>
              <w:right w:val="single" w:sz="4" w:space="0" w:color="auto"/>
            </w:tcBorders>
            <w:shd w:val="clear" w:color="auto" w:fill="auto"/>
            <w:noWrap/>
            <w:vAlign w:val="center"/>
            <w:hideMark/>
          </w:tcPr>
          <w:p w14:paraId="69CACF60"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700" w:type="dxa"/>
            <w:tcBorders>
              <w:top w:val="nil"/>
              <w:left w:val="nil"/>
              <w:bottom w:val="nil"/>
              <w:right w:val="nil"/>
            </w:tcBorders>
            <w:shd w:val="clear" w:color="auto" w:fill="auto"/>
            <w:noWrap/>
            <w:vAlign w:val="center"/>
            <w:hideMark/>
          </w:tcPr>
          <w:p w14:paraId="24828871"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101</w:t>
            </w:r>
          </w:p>
        </w:tc>
        <w:tc>
          <w:tcPr>
            <w:tcW w:w="700" w:type="dxa"/>
            <w:tcBorders>
              <w:top w:val="nil"/>
              <w:left w:val="nil"/>
              <w:bottom w:val="nil"/>
              <w:right w:val="single" w:sz="4" w:space="0" w:color="auto"/>
            </w:tcBorders>
            <w:shd w:val="clear" w:color="auto" w:fill="auto"/>
            <w:noWrap/>
            <w:vAlign w:val="center"/>
            <w:hideMark/>
          </w:tcPr>
          <w:p w14:paraId="3EB9267A"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553</w:t>
            </w:r>
          </w:p>
        </w:tc>
        <w:tc>
          <w:tcPr>
            <w:tcW w:w="940" w:type="dxa"/>
            <w:tcBorders>
              <w:top w:val="nil"/>
              <w:left w:val="nil"/>
              <w:bottom w:val="nil"/>
              <w:right w:val="single" w:sz="4" w:space="0" w:color="auto"/>
            </w:tcBorders>
            <w:shd w:val="clear" w:color="auto" w:fill="auto"/>
            <w:noWrap/>
            <w:vAlign w:val="bottom"/>
            <w:hideMark/>
          </w:tcPr>
          <w:p w14:paraId="6005DE7A"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2.9</w:t>
            </w:r>
          </w:p>
        </w:tc>
        <w:tc>
          <w:tcPr>
            <w:tcW w:w="948" w:type="dxa"/>
            <w:tcBorders>
              <w:top w:val="nil"/>
              <w:left w:val="nil"/>
              <w:bottom w:val="nil"/>
              <w:right w:val="single" w:sz="4" w:space="0" w:color="auto"/>
            </w:tcBorders>
            <w:shd w:val="clear" w:color="auto" w:fill="auto"/>
            <w:noWrap/>
            <w:vAlign w:val="center"/>
            <w:hideMark/>
          </w:tcPr>
          <w:p w14:paraId="5C34C516"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r>
      <w:tr w:rsidR="00C234D1" w:rsidRPr="00914BAB" w14:paraId="7D748908"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2D5C048D" w14:textId="77777777" w:rsidR="00C234D1" w:rsidRPr="00914BAB" w:rsidRDefault="00C234D1" w:rsidP="000837E4">
            <w:pPr>
              <w:spacing w:before="0" w:line="240" w:lineRule="auto"/>
              <w:rPr>
                <w:rFonts w:eastAsia="Times New Roman" w:cs="Times New Roman"/>
                <w:color w:val="000000"/>
                <w:sz w:val="24"/>
              </w:rPr>
            </w:pPr>
          </w:p>
        </w:tc>
        <w:tc>
          <w:tcPr>
            <w:tcW w:w="3200" w:type="dxa"/>
            <w:tcBorders>
              <w:top w:val="nil"/>
              <w:left w:val="nil"/>
              <w:bottom w:val="nil"/>
              <w:right w:val="single" w:sz="4" w:space="0" w:color="auto"/>
            </w:tcBorders>
            <w:shd w:val="clear" w:color="auto" w:fill="auto"/>
            <w:noWrap/>
            <w:vAlign w:val="center"/>
            <w:hideMark/>
          </w:tcPr>
          <w:p w14:paraId="3E275417" w14:textId="77777777" w:rsidR="00C234D1" w:rsidRPr="00914BAB" w:rsidRDefault="00C234D1" w:rsidP="000837E4">
            <w:pPr>
              <w:spacing w:before="0" w:line="240" w:lineRule="auto"/>
              <w:rPr>
                <w:rFonts w:eastAsia="Times New Roman" w:cs="Times New Roman"/>
                <w:color w:val="000000"/>
                <w:sz w:val="24"/>
              </w:rPr>
            </w:pPr>
            <w:r w:rsidRPr="00914BAB">
              <w:rPr>
                <w:rFonts w:eastAsia="Times New Roman" w:cs="Times New Roman"/>
                <w:color w:val="000000"/>
                <w:sz w:val="24"/>
              </w:rPr>
              <w:t>Mode shift and transit efficiency</w:t>
            </w:r>
          </w:p>
        </w:tc>
        <w:tc>
          <w:tcPr>
            <w:tcW w:w="1111" w:type="dxa"/>
            <w:tcBorders>
              <w:top w:val="nil"/>
              <w:left w:val="nil"/>
              <w:bottom w:val="nil"/>
              <w:right w:val="single" w:sz="4" w:space="0" w:color="auto"/>
            </w:tcBorders>
            <w:shd w:val="clear" w:color="auto" w:fill="auto"/>
            <w:noWrap/>
            <w:vAlign w:val="center"/>
            <w:hideMark/>
          </w:tcPr>
          <w:p w14:paraId="05D1B90C"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w:t>
            </w:r>
          </w:p>
        </w:tc>
        <w:tc>
          <w:tcPr>
            <w:tcW w:w="1111" w:type="dxa"/>
            <w:tcBorders>
              <w:top w:val="nil"/>
              <w:left w:val="nil"/>
              <w:bottom w:val="nil"/>
              <w:right w:val="single" w:sz="4" w:space="0" w:color="auto"/>
            </w:tcBorders>
            <w:shd w:val="clear" w:color="auto" w:fill="auto"/>
            <w:noWrap/>
            <w:vAlign w:val="center"/>
            <w:hideMark/>
          </w:tcPr>
          <w:p w14:paraId="59B4A7CC"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12%</w:t>
            </w:r>
          </w:p>
        </w:tc>
        <w:tc>
          <w:tcPr>
            <w:tcW w:w="723" w:type="dxa"/>
            <w:tcBorders>
              <w:top w:val="nil"/>
              <w:left w:val="nil"/>
              <w:bottom w:val="nil"/>
              <w:right w:val="nil"/>
            </w:tcBorders>
            <w:shd w:val="clear" w:color="auto" w:fill="auto"/>
            <w:noWrap/>
            <w:vAlign w:val="center"/>
            <w:hideMark/>
          </w:tcPr>
          <w:p w14:paraId="02961DEC"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1373</w:t>
            </w:r>
          </w:p>
        </w:tc>
        <w:tc>
          <w:tcPr>
            <w:tcW w:w="822" w:type="dxa"/>
            <w:tcBorders>
              <w:top w:val="nil"/>
              <w:left w:val="nil"/>
              <w:bottom w:val="nil"/>
              <w:right w:val="single" w:sz="4" w:space="0" w:color="auto"/>
            </w:tcBorders>
            <w:shd w:val="clear" w:color="auto" w:fill="auto"/>
            <w:noWrap/>
            <w:vAlign w:val="center"/>
            <w:hideMark/>
          </w:tcPr>
          <w:p w14:paraId="54068DEC" w14:textId="6D22F414" w:rsidR="00C234D1" w:rsidRPr="00914BAB" w:rsidRDefault="00C234D1" w:rsidP="00C234D1">
            <w:pPr>
              <w:spacing w:before="0" w:line="240" w:lineRule="auto"/>
              <w:jc w:val="center"/>
              <w:rPr>
                <w:rFonts w:eastAsia="Times New Roman" w:cs="Times New Roman"/>
                <w:color w:val="000000"/>
                <w:sz w:val="24"/>
              </w:rPr>
            </w:pPr>
            <w:r w:rsidRPr="00914BAB">
              <w:rPr>
                <w:sz w:val="24"/>
              </w:rPr>
              <w:t>3054</w:t>
            </w:r>
          </w:p>
        </w:tc>
        <w:tc>
          <w:tcPr>
            <w:tcW w:w="659" w:type="dxa"/>
            <w:tcBorders>
              <w:top w:val="nil"/>
              <w:left w:val="nil"/>
              <w:bottom w:val="nil"/>
              <w:right w:val="nil"/>
            </w:tcBorders>
            <w:shd w:val="clear" w:color="auto" w:fill="auto"/>
            <w:noWrap/>
            <w:vAlign w:val="center"/>
            <w:hideMark/>
          </w:tcPr>
          <w:p w14:paraId="1A7F7081"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118</w:t>
            </w:r>
          </w:p>
        </w:tc>
        <w:tc>
          <w:tcPr>
            <w:tcW w:w="659" w:type="dxa"/>
            <w:tcBorders>
              <w:top w:val="nil"/>
              <w:left w:val="nil"/>
              <w:bottom w:val="nil"/>
              <w:right w:val="single" w:sz="4" w:space="0" w:color="auto"/>
            </w:tcBorders>
            <w:shd w:val="clear" w:color="auto" w:fill="auto"/>
            <w:noWrap/>
            <w:vAlign w:val="center"/>
            <w:hideMark/>
          </w:tcPr>
          <w:p w14:paraId="260BC035" w14:textId="6929CFAC"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263</w:t>
            </w:r>
          </w:p>
        </w:tc>
        <w:tc>
          <w:tcPr>
            <w:tcW w:w="1204" w:type="dxa"/>
            <w:tcBorders>
              <w:top w:val="nil"/>
              <w:left w:val="nil"/>
              <w:bottom w:val="nil"/>
              <w:right w:val="single" w:sz="4" w:space="0" w:color="auto"/>
            </w:tcBorders>
            <w:shd w:val="clear" w:color="auto" w:fill="auto"/>
            <w:noWrap/>
            <w:vAlign w:val="center"/>
            <w:hideMark/>
          </w:tcPr>
          <w:p w14:paraId="2BD985B3"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6.9</w:t>
            </w:r>
          </w:p>
        </w:tc>
        <w:tc>
          <w:tcPr>
            <w:tcW w:w="700" w:type="dxa"/>
            <w:tcBorders>
              <w:top w:val="nil"/>
              <w:left w:val="nil"/>
              <w:bottom w:val="nil"/>
              <w:right w:val="nil"/>
            </w:tcBorders>
            <w:shd w:val="clear" w:color="auto" w:fill="auto"/>
            <w:noWrap/>
            <w:vAlign w:val="center"/>
            <w:hideMark/>
          </w:tcPr>
          <w:p w14:paraId="52EAF2B4"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210</w:t>
            </w:r>
          </w:p>
        </w:tc>
        <w:tc>
          <w:tcPr>
            <w:tcW w:w="700" w:type="dxa"/>
            <w:tcBorders>
              <w:top w:val="nil"/>
              <w:left w:val="nil"/>
              <w:bottom w:val="nil"/>
              <w:right w:val="single" w:sz="4" w:space="0" w:color="auto"/>
            </w:tcBorders>
            <w:shd w:val="clear" w:color="auto" w:fill="auto"/>
            <w:noWrap/>
            <w:vAlign w:val="center"/>
            <w:hideMark/>
          </w:tcPr>
          <w:p w14:paraId="1A6DB298"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676</w:t>
            </w:r>
          </w:p>
        </w:tc>
        <w:tc>
          <w:tcPr>
            <w:tcW w:w="940" w:type="dxa"/>
            <w:tcBorders>
              <w:top w:val="nil"/>
              <w:left w:val="nil"/>
              <w:bottom w:val="nil"/>
              <w:right w:val="single" w:sz="4" w:space="0" w:color="auto"/>
            </w:tcBorders>
            <w:shd w:val="clear" w:color="auto" w:fill="auto"/>
            <w:noWrap/>
            <w:vAlign w:val="bottom"/>
            <w:hideMark/>
          </w:tcPr>
          <w:p w14:paraId="7D692477"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1.4</w:t>
            </w:r>
          </w:p>
        </w:tc>
        <w:tc>
          <w:tcPr>
            <w:tcW w:w="948" w:type="dxa"/>
            <w:tcBorders>
              <w:top w:val="nil"/>
              <w:left w:val="nil"/>
              <w:bottom w:val="nil"/>
              <w:right w:val="single" w:sz="4" w:space="0" w:color="auto"/>
            </w:tcBorders>
            <w:shd w:val="clear" w:color="auto" w:fill="auto"/>
            <w:noWrap/>
            <w:vAlign w:val="center"/>
            <w:hideMark/>
          </w:tcPr>
          <w:p w14:paraId="45A8F2B9"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16</w:t>
            </w:r>
          </w:p>
        </w:tc>
      </w:tr>
      <w:tr w:rsidR="00C234D1" w:rsidRPr="00914BAB" w14:paraId="1FFD66BA"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7AB9F256" w14:textId="77777777" w:rsidR="00C234D1" w:rsidRPr="00914BAB" w:rsidRDefault="00C234D1" w:rsidP="000837E4">
            <w:pPr>
              <w:spacing w:before="0" w:line="240" w:lineRule="auto"/>
              <w:rPr>
                <w:rFonts w:eastAsia="Times New Roman" w:cs="Times New Roman"/>
                <w:color w:val="000000"/>
                <w:sz w:val="24"/>
              </w:rPr>
            </w:pPr>
          </w:p>
        </w:tc>
        <w:tc>
          <w:tcPr>
            <w:tcW w:w="3200" w:type="dxa"/>
            <w:tcBorders>
              <w:top w:val="nil"/>
              <w:left w:val="nil"/>
              <w:bottom w:val="single" w:sz="4" w:space="0" w:color="auto"/>
              <w:right w:val="single" w:sz="4" w:space="0" w:color="auto"/>
            </w:tcBorders>
            <w:shd w:val="clear" w:color="auto" w:fill="auto"/>
            <w:noWrap/>
            <w:vAlign w:val="center"/>
            <w:hideMark/>
          </w:tcPr>
          <w:p w14:paraId="4A92C5CD" w14:textId="77777777" w:rsidR="00C234D1" w:rsidRPr="00914BAB" w:rsidRDefault="00C234D1" w:rsidP="000837E4">
            <w:pPr>
              <w:spacing w:before="0" w:line="240" w:lineRule="auto"/>
              <w:rPr>
                <w:rFonts w:eastAsia="Times New Roman" w:cs="Times New Roman"/>
                <w:color w:val="000000"/>
                <w:sz w:val="24"/>
              </w:rPr>
            </w:pPr>
            <w:r w:rsidRPr="00914BAB">
              <w:rPr>
                <w:rFonts w:eastAsia="Times New Roman" w:cs="Times New Roman"/>
                <w:color w:val="000000"/>
                <w:sz w:val="24"/>
              </w:rPr>
              <w:t>Car efficiency and electrification</w:t>
            </w:r>
          </w:p>
        </w:tc>
        <w:tc>
          <w:tcPr>
            <w:tcW w:w="1111" w:type="dxa"/>
            <w:tcBorders>
              <w:top w:val="nil"/>
              <w:left w:val="nil"/>
              <w:bottom w:val="single" w:sz="4" w:space="0" w:color="auto"/>
              <w:right w:val="single" w:sz="4" w:space="0" w:color="auto"/>
            </w:tcBorders>
            <w:shd w:val="clear" w:color="auto" w:fill="auto"/>
            <w:noWrap/>
            <w:vAlign w:val="center"/>
            <w:hideMark/>
          </w:tcPr>
          <w:p w14:paraId="7BBB2D59"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0.9</w:t>
            </w:r>
          </w:p>
        </w:tc>
        <w:tc>
          <w:tcPr>
            <w:tcW w:w="1111" w:type="dxa"/>
            <w:tcBorders>
              <w:top w:val="nil"/>
              <w:left w:val="nil"/>
              <w:bottom w:val="single" w:sz="4" w:space="0" w:color="auto"/>
              <w:right w:val="single" w:sz="4" w:space="0" w:color="auto"/>
            </w:tcBorders>
            <w:shd w:val="clear" w:color="auto" w:fill="auto"/>
            <w:noWrap/>
            <w:vAlign w:val="center"/>
            <w:hideMark/>
          </w:tcPr>
          <w:p w14:paraId="56C7B467"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w:t>
            </w:r>
          </w:p>
        </w:tc>
        <w:tc>
          <w:tcPr>
            <w:tcW w:w="723" w:type="dxa"/>
            <w:tcBorders>
              <w:top w:val="nil"/>
              <w:left w:val="nil"/>
              <w:bottom w:val="nil"/>
              <w:right w:val="nil"/>
            </w:tcBorders>
            <w:shd w:val="clear" w:color="auto" w:fill="auto"/>
            <w:noWrap/>
            <w:vAlign w:val="center"/>
            <w:hideMark/>
          </w:tcPr>
          <w:p w14:paraId="4660C409"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1067</w:t>
            </w:r>
          </w:p>
        </w:tc>
        <w:tc>
          <w:tcPr>
            <w:tcW w:w="822" w:type="dxa"/>
            <w:tcBorders>
              <w:top w:val="nil"/>
              <w:left w:val="nil"/>
              <w:bottom w:val="nil"/>
              <w:right w:val="single" w:sz="4" w:space="0" w:color="auto"/>
            </w:tcBorders>
            <w:shd w:val="clear" w:color="auto" w:fill="auto"/>
            <w:noWrap/>
            <w:vAlign w:val="center"/>
            <w:hideMark/>
          </w:tcPr>
          <w:p w14:paraId="094D6756" w14:textId="58447C73" w:rsidR="00C234D1" w:rsidRPr="00914BAB" w:rsidRDefault="00C234D1" w:rsidP="00C234D1">
            <w:pPr>
              <w:spacing w:before="0" w:line="240" w:lineRule="auto"/>
              <w:jc w:val="center"/>
              <w:rPr>
                <w:rFonts w:eastAsia="Times New Roman" w:cs="Times New Roman"/>
                <w:color w:val="000000"/>
                <w:sz w:val="24"/>
              </w:rPr>
            </w:pPr>
            <w:r w:rsidRPr="00914BAB">
              <w:rPr>
                <w:sz w:val="24"/>
              </w:rPr>
              <w:t>2406</w:t>
            </w:r>
          </w:p>
        </w:tc>
        <w:tc>
          <w:tcPr>
            <w:tcW w:w="659" w:type="dxa"/>
            <w:tcBorders>
              <w:top w:val="nil"/>
              <w:left w:val="nil"/>
              <w:bottom w:val="nil"/>
              <w:right w:val="nil"/>
            </w:tcBorders>
            <w:shd w:val="clear" w:color="auto" w:fill="auto"/>
            <w:noWrap/>
            <w:vAlign w:val="center"/>
            <w:hideMark/>
          </w:tcPr>
          <w:p w14:paraId="79820E74"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92</w:t>
            </w:r>
          </w:p>
        </w:tc>
        <w:tc>
          <w:tcPr>
            <w:tcW w:w="659" w:type="dxa"/>
            <w:tcBorders>
              <w:top w:val="nil"/>
              <w:left w:val="nil"/>
              <w:bottom w:val="nil"/>
              <w:right w:val="single" w:sz="4" w:space="0" w:color="auto"/>
            </w:tcBorders>
            <w:shd w:val="clear" w:color="auto" w:fill="auto"/>
            <w:noWrap/>
            <w:vAlign w:val="center"/>
            <w:hideMark/>
          </w:tcPr>
          <w:p w14:paraId="0D716B89" w14:textId="5E2AB0E0"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207</w:t>
            </w:r>
          </w:p>
        </w:tc>
        <w:tc>
          <w:tcPr>
            <w:tcW w:w="1204" w:type="dxa"/>
            <w:tcBorders>
              <w:top w:val="nil"/>
              <w:left w:val="nil"/>
              <w:bottom w:val="single" w:sz="4" w:space="0" w:color="auto"/>
              <w:right w:val="single" w:sz="4" w:space="0" w:color="auto"/>
            </w:tcBorders>
            <w:shd w:val="clear" w:color="auto" w:fill="auto"/>
            <w:noWrap/>
            <w:vAlign w:val="center"/>
            <w:hideMark/>
          </w:tcPr>
          <w:p w14:paraId="53370FC1"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2.5</w:t>
            </w:r>
          </w:p>
        </w:tc>
        <w:tc>
          <w:tcPr>
            <w:tcW w:w="700" w:type="dxa"/>
            <w:tcBorders>
              <w:top w:val="nil"/>
              <w:left w:val="nil"/>
              <w:bottom w:val="single" w:sz="4" w:space="0" w:color="auto"/>
              <w:right w:val="nil"/>
            </w:tcBorders>
            <w:shd w:val="clear" w:color="auto" w:fill="auto"/>
            <w:noWrap/>
            <w:vAlign w:val="center"/>
            <w:hideMark/>
          </w:tcPr>
          <w:p w14:paraId="026446AB"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198</w:t>
            </w:r>
          </w:p>
        </w:tc>
        <w:tc>
          <w:tcPr>
            <w:tcW w:w="700" w:type="dxa"/>
            <w:tcBorders>
              <w:top w:val="nil"/>
              <w:left w:val="nil"/>
              <w:bottom w:val="single" w:sz="4" w:space="0" w:color="auto"/>
              <w:right w:val="single" w:sz="4" w:space="0" w:color="auto"/>
            </w:tcBorders>
            <w:shd w:val="clear" w:color="auto" w:fill="auto"/>
            <w:noWrap/>
            <w:vAlign w:val="center"/>
            <w:hideMark/>
          </w:tcPr>
          <w:p w14:paraId="5BF7C2A5"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777</w:t>
            </w:r>
          </w:p>
        </w:tc>
        <w:tc>
          <w:tcPr>
            <w:tcW w:w="940" w:type="dxa"/>
            <w:tcBorders>
              <w:top w:val="nil"/>
              <w:left w:val="nil"/>
              <w:bottom w:val="nil"/>
              <w:right w:val="single" w:sz="4" w:space="0" w:color="auto"/>
            </w:tcBorders>
            <w:shd w:val="clear" w:color="auto" w:fill="auto"/>
            <w:noWrap/>
            <w:vAlign w:val="bottom"/>
            <w:hideMark/>
          </w:tcPr>
          <w:p w14:paraId="4AF31A72"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3.8</w:t>
            </w:r>
          </w:p>
        </w:tc>
        <w:tc>
          <w:tcPr>
            <w:tcW w:w="948" w:type="dxa"/>
            <w:tcBorders>
              <w:top w:val="nil"/>
              <w:left w:val="nil"/>
              <w:bottom w:val="nil"/>
              <w:right w:val="single" w:sz="4" w:space="0" w:color="auto"/>
            </w:tcBorders>
            <w:shd w:val="clear" w:color="auto" w:fill="auto"/>
            <w:noWrap/>
            <w:vAlign w:val="center"/>
            <w:hideMark/>
          </w:tcPr>
          <w:p w14:paraId="6B4A6479" w14:textId="77777777" w:rsidR="00C234D1"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4.9</w:t>
            </w:r>
          </w:p>
        </w:tc>
      </w:tr>
      <w:tr w:rsidR="000837E4" w:rsidRPr="00914BAB" w14:paraId="699A50FB" w14:textId="77777777" w:rsidTr="00C234D1">
        <w:trPr>
          <w:trHeight w:val="300"/>
        </w:trPr>
        <w:tc>
          <w:tcPr>
            <w:tcW w:w="1167" w:type="dxa"/>
            <w:vMerge w:val="restart"/>
            <w:tcBorders>
              <w:top w:val="nil"/>
              <w:left w:val="single" w:sz="4" w:space="0" w:color="auto"/>
              <w:bottom w:val="single" w:sz="4" w:space="0" w:color="auto"/>
              <w:right w:val="single" w:sz="4" w:space="0" w:color="auto"/>
            </w:tcBorders>
            <w:shd w:val="clear" w:color="auto" w:fill="auto"/>
            <w:vAlign w:val="center"/>
            <w:hideMark/>
          </w:tcPr>
          <w:p w14:paraId="575AAF4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Transport - freight</w:t>
            </w:r>
          </w:p>
        </w:tc>
        <w:tc>
          <w:tcPr>
            <w:tcW w:w="3200" w:type="dxa"/>
            <w:tcBorders>
              <w:top w:val="nil"/>
              <w:left w:val="nil"/>
              <w:bottom w:val="nil"/>
              <w:right w:val="single" w:sz="4" w:space="0" w:color="auto"/>
            </w:tcBorders>
            <w:shd w:val="clear" w:color="auto" w:fill="auto"/>
            <w:noWrap/>
            <w:vAlign w:val="center"/>
            <w:hideMark/>
          </w:tcPr>
          <w:p w14:paraId="4D034275"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Logistics improvements</w:t>
            </w:r>
          </w:p>
        </w:tc>
        <w:tc>
          <w:tcPr>
            <w:tcW w:w="1111" w:type="dxa"/>
            <w:tcBorders>
              <w:top w:val="nil"/>
              <w:left w:val="nil"/>
              <w:bottom w:val="nil"/>
              <w:right w:val="single" w:sz="4" w:space="0" w:color="auto"/>
            </w:tcBorders>
            <w:shd w:val="clear" w:color="auto" w:fill="auto"/>
            <w:noWrap/>
            <w:vAlign w:val="center"/>
            <w:hideMark/>
          </w:tcPr>
          <w:p w14:paraId="1119728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0.2</w:t>
            </w:r>
          </w:p>
        </w:tc>
        <w:tc>
          <w:tcPr>
            <w:tcW w:w="1111" w:type="dxa"/>
            <w:tcBorders>
              <w:top w:val="nil"/>
              <w:left w:val="nil"/>
              <w:bottom w:val="nil"/>
              <w:right w:val="single" w:sz="4" w:space="0" w:color="auto"/>
            </w:tcBorders>
            <w:shd w:val="clear" w:color="auto" w:fill="auto"/>
            <w:noWrap/>
            <w:vAlign w:val="center"/>
            <w:hideMark/>
          </w:tcPr>
          <w:p w14:paraId="184B475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w:t>
            </w:r>
          </w:p>
        </w:tc>
        <w:tc>
          <w:tcPr>
            <w:tcW w:w="723" w:type="dxa"/>
            <w:tcBorders>
              <w:top w:val="single" w:sz="4" w:space="0" w:color="auto"/>
              <w:left w:val="nil"/>
              <w:bottom w:val="nil"/>
              <w:right w:val="nil"/>
            </w:tcBorders>
            <w:shd w:val="clear" w:color="auto" w:fill="auto"/>
            <w:noWrap/>
            <w:vAlign w:val="center"/>
            <w:hideMark/>
          </w:tcPr>
          <w:p w14:paraId="1AFD759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177</w:t>
            </w:r>
          </w:p>
        </w:tc>
        <w:tc>
          <w:tcPr>
            <w:tcW w:w="822" w:type="dxa"/>
            <w:tcBorders>
              <w:top w:val="single" w:sz="4" w:space="0" w:color="auto"/>
              <w:left w:val="nil"/>
              <w:bottom w:val="nil"/>
              <w:right w:val="single" w:sz="4" w:space="0" w:color="auto"/>
            </w:tcBorders>
            <w:shd w:val="clear" w:color="auto" w:fill="auto"/>
            <w:noWrap/>
            <w:vAlign w:val="center"/>
            <w:hideMark/>
          </w:tcPr>
          <w:p w14:paraId="0895855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513</w:t>
            </w:r>
          </w:p>
        </w:tc>
        <w:tc>
          <w:tcPr>
            <w:tcW w:w="659" w:type="dxa"/>
            <w:tcBorders>
              <w:top w:val="single" w:sz="4" w:space="0" w:color="auto"/>
              <w:left w:val="nil"/>
              <w:bottom w:val="nil"/>
              <w:right w:val="nil"/>
            </w:tcBorders>
            <w:shd w:val="clear" w:color="auto" w:fill="auto"/>
            <w:noWrap/>
            <w:vAlign w:val="center"/>
            <w:hideMark/>
          </w:tcPr>
          <w:p w14:paraId="6B291FC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15</w:t>
            </w:r>
          </w:p>
        </w:tc>
        <w:tc>
          <w:tcPr>
            <w:tcW w:w="659" w:type="dxa"/>
            <w:tcBorders>
              <w:top w:val="single" w:sz="4" w:space="0" w:color="auto"/>
              <w:left w:val="nil"/>
              <w:bottom w:val="nil"/>
              <w:right w:val="single" w:sz="4" w:space="0" w:color="auto"/>
            </w:tcBorders>
            <w:shd w:val="clear" w:color="auto" w:fill="auto"/>
            <w:noWrap/>
            <w:vAlign w:val="center"/>
            <w:hideMark/>
          </w:tcPr>
          <w:p w14:paraId="23B46EC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44</w:t>
            </w:r>
          </w:p>
        </w:tc>
        <w:tc>
          <w:tcPr>
            <w:tcW w:w="1204" w:type="dxa"/>
            <w:tcBorders>
              <w:top w:val="nil"/>
              <w:left w:val="nil"/>
              <w:bottom w:val="nil"/>
              <w:right w:val="single" w:sz="4" w:space="0" w:color="auto"/>
            </w:tcBorders>
            <w:shd w:val="clear" w:color="auto" w:fill="auto"/>
            <w:noWrap/>
            <w:vAlign w:val="center"/>
            <w:hideMark/>
          </w:tcPr>
          <w:p w14:paraId="5C0ABA8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700" w:type="dxa"/>
            <w:tcBorders>
              <w:top w:val="nil"/>
              <w:left w:val="nil"/>
              <w:bottom w:val="nil"/>
              <w:right w:val="nil"/>
            </w:tcBorders>
            <w:shd w:val="clear" w:color="auto" w:fill="auto"/>
            <w:noWrap/>
            <w:vAlign w:val="center"/>
            <w:hideMark/>
          </w:tcPr>
          <w:p w14:paraId="22A3D9D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14.6</w:t>
            </w:r>
          </w:p>
        </w:tc>
        <w:tc>
          <w:tcPr>
            <w:tcW w:w="700" w:type="dxa"/>
            <w:tcBorders>
              <w:top w:val="nil"/>
              <w:left w:val="nil"/>
              <w:bottom w:val="nil"/>
              <w:right w:val="single" w:sz="4" w:space="0" w:color="auto"/>
            </w:tcBorders>
            <w:shd w:val="clear" w:color="auto" w:fill="auto"/>
            <w:noWrap/>
            <w:vAlign w:val="center"/>
            <w:hideMark/>
          </w:tcPr>
          <w:p w14:paraId="02E9CBE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66.0</w:t>
            </w:r>
          </w:p>
        </w:tc>
        <w:tc>
          <w:tcPr>
            <w:tcW w:w="940" w:type="dxa"/>
            <w:tcBorders>
              <w:top w:val="single" w:sz="4" w:space="0" w:color="auto"/>
              <w:left w:val="nil"/>
              <w:bottom w:val="nil"/>
              <w:right w:val="single" w:sz="4" w:space="0" w:color="auto"/>
            </w:tcBorders>
            <w:shd w:val="clear" w:color="auto" w:fill="auto"/>
            <w:noWrap/>
            <w:vAlign w:val="bottom"/>
            <w:hideMark/>
          </w:tcPr>
          <w:p w14:paraId="5E41185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0.4</w:t>
            </w:r>
          </w:p>
        </w:tc>
        <w:tc>
          <w:tcPr>
            <w:tcW w:w="948" w:type="dxa"/>
            <w:tcBorders>
              <w:top w:val="single" w:sz="4" w:space="0" w:color="auto"/>
              <w:left w:val="nil"/>
              <w:bottom w:val="nil"/>
              <w:right w:val="single" w:sz="4" w:space="0" w:color="auto"/>
            </w:tcBorders>
            <w:shd w:val="clear" w:color="auto" w:fill="auto"/>
            <w:noWrap/>
            <w:vAlign w:val="center"/>
            <w:hideMark/>
          </w:tcPr>
          <w:p w14:paraId="02509CC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r>
      <w:tr w:rsidR="000837E4" w:rsidRPr="00914BAB" w14:paraId="2255DD02"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6021A837"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nil"/>
              <w:bottom w:val="single" w:sz="4" w:space="0" w:color="auto"/>
              <w:right w:val="single" w:sz="4" w:space="0" w:color="auto"/>
            </w:tcBorders>
            <w:shd w:val="clear" w:color="auto" w:fill="auto"/>
            <w:noWrap/>
            <w:vAlign w:val="center"/>
            <w:hideMark/>
          </w:tcPr>
          <w:p w14:paraId="063F4091"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 xml:space="preserve">Vehicle efficiency and </w:t>
            </w:r>
            <w:r w:rsidRPr="00914BAB">
              <w:rPr>
                <w:rFonts w:eastAsia="Times New Roman" w:cs="Times New Roman"/>
                <w:color w:val="000000"/>
                <w:sz w:val="24"/>
              </w:rPr>
              <w:lastRenderedPageBreak/>
              <w:t>electrification</w:t>
            </w:r>
          </w:p>
        </w:tc>
        <w:tc>
          <w:tcPr>
            <w:tcW w:w="1111" w:type="dxa"/>
            <w:tcBorders>
              <w:top w:val="nil"/>
              <w:left w:val="nil"/>
              <w:bottom w:val="single" w:sz="4" w:space="0" w:color="auto"/>
              <w:right w:val="single" w:sz="4" w:space="0" w:color="auto"/>
            </w:tcBorders>
            <w:shd w:val="clear" w:color="auto" w:fill="auto"/>
            <w:noWrap/>
            <w:vAlign w:val="center"/>
            <w:hideMark/>
          </w:tcPr>
          <w:p w14:paraId="439CB47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lastRenderedPageBreak/>
              <w:t>0.3</w:t>
            </w:r>
          </w:p>
        </w:tc>
        <w:tc>
          <w:tcPr>
            <w:tcW w:w="1111" w:type="dxa"/>
            <w:tcBorders>
              <w:top w:val="nil"/>
              <w:left w:val="nil"/>
              <w:bottom w:val="single" w:sz="4" w:space="0" w:color="auto"/>
              <w:right w:val="single" w:sz="4" w:space="0" w:color="auto"/>
            </w:tcBorders>
            <w:shd w:val="clear" w:color="auto" w:fill="auto"/>
            <w:noWrap/>
            <w:vAlign w:val="center"/>
            <w:hideMark/>
          </w:tcPr>
          <w:p w14:paraId="6DC354F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w:t>
            </w:r>
          </w:p>
        </w:tc>
        <w:tc>
          <w:tcPr>
            <w:tcW w:w="723" w:type="dxa"/>
            <w:tcBorders>
              <w:top w:val="nil"/>
              <w:left w:val="nil"/>
              <w:bottom w:val="single" w:sz="4" w:space="0" w:color="auto"/>
              <w:right w:val="nil"/>
            </w:tcBorders>
            <w:shd w:val="clear" w:color="auto" w:fill="auto"/>
            <w:noWrap/>
            <w:vAlign w:val="center"/>
            <w:hideMark/>
          </w:tcPr>
          <w:p w14:paraId="799FD34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545</w:t>
            </w:r>
          </w:p>
        </w:tc>
        <w:tc>
          <w:tcPr>
            <w:tcW w:w="822" w:type="dxa"/>
            <w:tcBorders>
              <w:top w:val="nil"/>
              <w:left w:val="nil"/>
              <w:bottom w:val="single" w:sz="4" w:space="0" w:color="auto"/>
              <w:right w:val="single" w:sz="4" w:space="0" w:color="auto"/>
            </w:tcBorders>
            <w:shd w:val="clear" w:color="auto" w:fill="auto"/>
            <w:noWrap/>
            <w:vAlign w:val="center"/>
            <w:hideMark/>
          </w:tcPr>
          <w:p w14:paraId="037A6B7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1153</w:t>
            </w:r>
          </w:p>
        </w:tc>
        <w:tc>
          <w:tcPr>
            <w:tcW w:w="659" w:type="dxa"/>
            <w:tcBorders>
              <w:top w:val="nil"/>
              <w:left w:val="nil"/>
              <w:bottom w:val="single" w:sz="4" w:space="0" w:color="auto"/>
              <w:right w:val="nil"/>
            </w:tcBorders>
            <w:shd w:val="clear" w:color="auto" w:fill="auto"/>
            <w:noWrap/>
            <w:vAlign w:val="center"/>
            <w:hideMark/>
          </w:tcPr>
          <w:p w14:paraId="0A79B87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47</w:t>
            </w:r>
          </w:p>
        </w:tc>
        <w:tc>
          <w:tcPr>
            <w:tcW w:w="659" w:type="dxa"/>
            <w:tcBorders>
              <w:top w:val="nil"/>
              <w:left w:val="nil"/>
              <w:bottom w:val="single" w:sz="4" w:space="0" w:color="auto"/>
              <w:right w:val="single" w:sz="4" w:space="0" w:color="auto"/>
            </w:tcBorders>
            <w:shd w:val="clear" w:color="auto" w:fill="auto"/>
            <w:noWrap/>
            <w:vAlign w:val="center"/>
            <w:hideMark/>
          </w:tcPr>
          <w:p w14:paraId="7AA7110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99</w:t>
            </w:r>
          </w:p>
        </w:tc>
        <w:tc>
          <w:tcPr>
            <w:tcW w:w="1204" w:type="dxa"/>
            <w:tcBorders>
              <w:top w:val="nil"/>
              <w:left w:val="nil"/>
              <w:bottom w:val="single" w:sz="4" w:space="0" w:color="auto"/>
              <w:right w:val="single" w:sz="4" w:space="0" w:color="auto"/>
            </w:tcBorders>
            <w:shd w:val="clear" w:color="auto" w:fill="auto"/>
            <w:noWrap/>
            <w:vAlign w:val="center"/>
            <w:hideMark/>
          </w:tcPr>
          <w:p w14:paraId="7644811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w:t>
            </w:r>
          </w:p>
        </w:tc>
        <w:tc>
          <w:tcPr>
            <w:tcW w:w="700" w:type="dxa"/>
            <w:tcBorders>
              <w:top w:val="nil"/>
              <w:left w:val="nil"/>
              <w:bottom w:val="single" w:sz="4" w:space="0" w:color="auto"/>
              <w:right w:val="nil"/>
            </w:tcBorders>
            <w:shd w:val="clear" w:color="auto" w:fill="auto"/>
            <w:noWrap/>
            <w:vAlign w:val="center"/>
            <w:hideMark/>
          </w:tcPr>
          <w:p w14:paraId="3D1A64C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94.4</w:t>
            </w:r>
          </w:p>
        </w:tc>
        <w:tc>
          <w:tcPr>
            <w:tcW w:w="700" w:type="dxa"/>
            <w:tcBorders>
              <w:top w:val="nil"/>
              <w:left w:val="nil"/>
              <w:bottom w:val="single" w:sz="4" w:space="0" w:color="auto"/>
              <w:right w:val="single" w:sz="4" w:space="0" w:color="auto"/>
            </w:tcBorders>
            <w:shd w:val="clear" w:color="auto" w:fill="auto"/>
            <w:noWrap/>
            <w:vAlign w:val="center"/>
            <w:hideMark/>
          </w:tcPr>
          <w:p w14:paraId="3899943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348</w:t>
            </w:r>
          </w:p>
        </w:tc>
        <w:tc>
          <w:tcPr>
            <w:tcW w:w="940" w:type="dxa"/>
            <w:tcBorders>
              <w:top w:val="nil"/>
              <w:left w:val="nil"/>
              <w:bottom w:val="single" w:sz="4" w:space="0" w:color="auto"/>
              <w:right w:val="single" w:sz="4" w:space="0" w:color="auto"/>
            </w:tcBorders>
            <w:shd w:val="clear" w:color="auto" w:fill="auto"/>
            <w:noWrap/>
            <w:vAlign w:val="bottom"/>
            <w:hideMark/>
          </w:tcPr>
          <w:p w14:paraId="76D6EA7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2.2</w:t>
            </w:r>
          </w:p>
        </w:tc>
        <w:tc>
          <w:tcPr>
            <w:tcW w:w="948" w:type="dxa"/>
            <w:tcBorders>
              <w:top w:val="nil"/>
              <w:left w:val="nil"/>
              <w:bottom w:val="single" w:sz="4" w:space="0" w:color="auto"/>
              <w:right w:val="single" w:sz="4" w:space="0" w:color="auto"/>
            </w:tcBorders>
            <w:shd w:val="clear" w:color="auto" w:fill="auto"/>
            <w:noWrap/>
            <w:vAlign w:val="center"/>
            <w:hideMark/>
          </w:tcPr>
          <w:p w14:paraId="2DEE198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4.5</w:t>
            </w:r>
          </w:p>
        </w:tc>
      </w:tr>
      <w:tr w:rsidR="000837E4" w:rsidRPr="00914BAB" w14:paraId="359202F1" w14:textId="77777777" w:rsidTr="00C234D1">
        <w:trPr>
          <w:trHeight w:val="300"/>
        </w:trPr>
        <w:tc>
          <w:tcPr>
            <w:tcW w:w="4367"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14:paraId="530C597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lastRenderedPageBreak/>
              <w:t>Sub-total transport</w:t>
            </w:r>
          </w:p>
        </w:tc>
        <w:tc>
          <w:tcPr>
            <w:tcW w:w="1111" w:type="dxa"/>
            <w:tcBorders>
              <w:top w:val="nil"/>
              <w:left w:val="nil"/>
              <w:bottom w:val="single" w:sz="4" w:space="0" w:color="auto"/>
              <w:right w:val="single" w:sz="4" w:space="0" w:color="auto"/>
            </w:tcBorders>
            <w:shd w:val="clear" w:color="000000" w:fill="F2F2F2"/>
            <w:noWrap/>
            <w:vAlign w:val="center"/>
            <w:hideMark/>
          </w:tcPr>
          <w:p w14:paraId="1BD0E580"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2.8</w:t>
            </w:r>
          </w:p>
        </w:tc>
        <w:tc>
          <w:tcPr>
            <w:tcW w:w="1111" w:type="dxa"/>
            <w:tcBorders>
              <w:top w:val="nil"/>
              <w:left w:val="nil"/>
              <w:bottom w:val="single" w:sz="4" w:space="0" w:color="auto"/>
              <w:right w:val="single" w:sz="4" w:space="0" w:color="auto"/>
            </w:tcBorders>
            <w:shd w:val="clear" w:color="000000" w:fill="F2F2F2"/>
            <w:noWrap/>
            <w:vAlign w:val="center"/>
            <w:hideMark/>
          </w:tcPr>
          <w:p w14:paraId="38012CF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35%</w:t>
            </w:r>
          </w:p>
        </w:tc>
        <w:tc>
          <w:tcPr>
            <w:tcW w:w="723" w:type="dxa"/>
            <w:tcBorders>
              <w:top w:val="nil"/>
              <w:left w:val="nil"/>
              <w:bottom w:val="nil"/>
              <w:right w:val="nil"/>
            </w:tcBorders>
            <w:shd w:val="clear" w:color="000000" w:fill="F2F2F2"/>
            <w:noWrap/>
            <w:vAlign w:val="bottom"/>
            <w:hideMark/>
          </w:tcPr>
          <w:p w14:paraId="2027459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3815</w:t>
            </w:r>
          </w:p>
        </w:tc>
        <w:tc>
          <w:tcPr>
            <w:tcW w:w="822" w:type="dxa"/>
            <w:tcBorders>
              <w:top w:val="nil"/>
              <w:left w:val="nil"/>
              <w:bottom w:val="nil"/>
              <w:right w:val="nil"/>
            </w:tcBorders>
            <w:shd w:val="clear" w:color="000000" w:fill="F2F2F2"/>
            <w:noWrap/>
            <w:vAlign w:val="bottom"/>
            <w:hideMark/>
          </w:tcPr>
          <w:p w14:paraId="1DA68D3A" w14:textId="0189B6DC" w:rsidR="000837E4" w:rsidRPr="00914BAB" w:rsidRDefault="00C234D1"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8549</w:t>
            </w:r>
          </w:p>
        </w:tc>
        <w:tc>
          <w:tcPr>
            <w:tcW w:w="659" w:type="dxa"/>
            <w:tcBorders>
              <w:top w:val="nil"/>
              <w:left w:val="single" w:sz="4" w:space="0" w:color="auto"/>
              <w:bottom w:val="single" w:sz="4" w:space="0" w:color="auto"/>
              <w:right w:val="nil"/>
            </w:tcBorders>
            <w:shd w:val="clear" w:color="000000" w:fill="F2F2F2"/>
            <w:noWrap/>
            <w:vAlign w:val="bottom"/>
            <w:hideMark/>
          </w:tcPr>
          <w:p w14:paraId="1984A0D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328</w:t>
            </w:r>
          </w:p>
        </w:tc>
        <w:tc>
          <w:tcPr>
            <w:tcW w:w="659" w:type="dxa"/>
            <w:tcBorders>
              <w:top w:val="nil"/>
              <w:left w:val="nil"/>
              <w:bottom w:val="single" w:sz="4" w:space="0" w:color="auto"/>
              <w:right w:val="single" w:sz="4" w:space="0" w:color="auto"/>
            </w:tcBorders>
            <w:shd w:val="clear" w:color="000000" w:fill="F2F2F2"/>
            <w:noWrap/>
            <w:vAlign w:val="bottom"/>
            <w:hideMark/>
          </w:tcPr>
          <w:p w14:paraId="101B4FD8" w14:textId="0A3596C9" w:rsidR="000837E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735</w:t>
            </w:r>
          </w:p>
        </w:tc>
        <w:tc>
          <w:tcPr>
            <w:tcW w:w="1204" w:type="dxa"/>
            <w:tcBorders>
              <w:top w:val="nil"/>
              <w:left w:val="nil"/>
              <w:bottom w:val="single" w:sz="4" w:space="0" w:color="auto"/>
              <w:right w:val="single" w:sz="4" w:space="0" w:color="auto"/>
            </w:tcBorders>
            <w:shd w:val="clear" w:color="000000" w:fill="F2F2F2"/>
            <w:noWrap/>
            <w:vAlign w:val="center"/>
            <w:hideMark/>
          </w:tcPr>
          <w:p w14:paraId="02D2CEF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10.4</w:t>
            </w:r>
          </w:p>
        </w:tc>
        <w:tc>
          <w:tcPr>
            <w:tcW w:w="700" w:type="dxa"/>
            <w:tcBorders>
              <w:top w:val="nil"/>
              <w:left w:val="nil"/>
              <w:bottom w:val="single" w:sz="4" w:space="0" w:color="auto"/>
              <w:right w:val="nil"/>
            </w:tcBorders>
            <w:shd w:val="clear" w:color="000000" w:fill="F2F2F2"/>
            <w:noWrap/>
            <w:vAlign w:val="center"/>
            <w:hideMark/>
          </w:tcPr>
          <w:p w14:paraId="6C5B784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618</w:t>
            </w:r>
          </w:p>
        </w:tc>
        <w:tc>
          <w:tcPr>
            <w:tcW w:w="700" w:type="dxa"/>
            <w:tcBorders>
              <w:top w:val="nil"/>
              <w:left w:val="nil"/>
              <w:bottom w:val="single" w:sz="4" w:space="0" w:color="auto"/>
              <w:right w:val="single" w:sz="4" w:space="0" w:color="auto"/>
            </w:tcBorders>
            <w:shd w:val="clear" w:color="000000" w:fill="F2F2F2"/>
            <w:noWrap/>
            <w:vAlign w:val="center"/>
            <w:hideMark/>
          </w:tcPr>
          <w:p w14:paraId="0C21463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2420</w:t>
            </w:r>
          </w:p>
        </w:tc>
        <w:tc>
          <w:tcPr>
            <w:tcW w:w="940" w:type="dxa"/>
            <w:tcBorders>
              <w:top w:val="nil"/>
              <w:left w:val="nil"/>
              <w:bottom w:val="single" w:sz="4" w:space="0" w:color="auto"/>
              <w:right w:val="single" w:sz="4" w:space="0" w:color="auto"/>
            </w:tcBorders>
            <w:shd w:val="clear" w:color="000000" w:fill="F2F2F2"/>
            <w:noWrap/>
            <w:vAlign w:val="center"/>
            <w:hideMark/>
          </w:tcPr>
          <w:p w14:paraId="7390367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10.6</w:t>
            </w:r>
          </w:p>
        </w:tc>
        <w:tc>
          <w:tcPr>
            <w:tcW w:w="948" w:type="dxa"/>
            <w:tcBorders>
              <w:top w:val="nil"/>
              <w:left w:val="nil"/>
              <w:bottom w:val="single" w:sz="4" w:space="0" w:color="auto"/>
              <w:right w:val="single" w:sz="4" w:space="0" w:color="auto"/>
            </w:tcBorders>
            <w:shd w:val="clear" w:color="000000" w:fill="F2F2F2"/>
            <w:noWrap/>
            <w:vAlign w:val="center"/>
            <w:hideMark/>
          </w:tcPr>
          <w:p w14:paraId="7E87AA0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11.9</w:t>
            </w:r>
          </w:p>
        </w:tc>
      </w:tr>
      <w:tr w:rsidR="000837E4" w:rsidRPr="00914BAB" w14:paraId="07081D28" w14:textId="77777777" w:rsidTr="00C234D1">
        <w:trPr>
          <w:trHeight w:val="300"/>
        </w:trPr>
        <w:tc>
          <w:tcPr>
            <w:tcW w:w="1167" w:type="dxa"/>
            <w:vMerge w:val="restart"/>
            <w:tcBorders>
              <w:top w:val="nil"/>
              <w:left w:val="single" w:sz="4" w:space="0" w:color="auto"/>
              <w:bottom w:val="single" w:sz="4" w:space="0" w:color="auto"/>
              <w:right w:val="single" w:sz="4" w:space="0" w:color="auto"/>
            </w:tcBorders>
            <w:shd w:val="clear" w:color="auto" w:fill="auto"/>
            <w:vAlign w:val="center"/>
            <w:hideMark/>
          </w:tcPr>
          <w:p w14:paraId="3D87A6E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Waste</w:t>
            </w:r>
          </w:p>
        </w:tc>
        <w:tc>
          <w:tcPr>
            <w:tcW w:w="3200" w:type="dxa"/>
            <w:tcBorders>
              <w:top w:val="nil"/>
              <w:left w:val="nil"/>
              <w:bottom w:val="nil"/>
              <w:right w:val="single" w:sz="4" w:space="0" w:color="auto"/>
            </w:tcBorders>
            <w:shd w:val="clear" w:color="auto" w:fill="auto"/>
            <w:noWrap/>
            <w:vAlign w:val="center"/>
            <w:hideMark/>
          </w:tcPr>
          <w:p w14:paraId="181AAD1C"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Recycling</w:t>
            </w:r>
          </w:p>
        </w:tc>
        <w:tc>
          <w:tcPr>
            <w:tcW w:w="1111" w:type="dxa"/>
            <w:tcBorders>
              <w:top w:val="nil"/>
              <w:left w:val="nil"/>
              <w:bottom w:val="nil"/>
              <w:right w:val="single" w:sz="4" w:space="0" w:color="auto"/>
            </w:tcBorders>
            <w:shd w:val="clear" w:color="auto" w:fill="auto"/>
            <w:noWrap/>
            <w:vAlign w:val="center"/>
            <w:hideMark/>
          </w:tcPr>
          <w:p w14:paraId="526FBFB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0.3</w:t>
            </w:r>
          </w:p>
        </w:tc>
        <w:tc>
          <w:tcPr>
            <w:tcW w:w="1111" w:type="dxa"/>
            <w:tcBorders>
              <w:top w:val="nil"/>
              <w:left w:val="nil"/>
              <w:bottom w:val="nil"/>
              <w:right w:val="single" w:sz="4" w:space="0" w:color="auto"/>
            </w:tcBorders>
            <w:shd w:val="clear" w:color="auto" w:fill="auto"/>
            <w:noWrap/>
            <w:vAlign w:val="center"/>
            <w:hideMark/>
          </w:tcPr>
          <w:p w14:paraId="2419F62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w:t>
            </w:r>
          </w:p>
        </w:tc>
        <w:tc>
          <w:tcPr>
            <w:tcW w:w="723" w:type="dxa"/>
            <w:tcBorders>
              <w:top w:val="single" w:sz="4" w:space="0" w:color="auto"/>
              <w:left w:val="nil"/>
              <w:bottom w:val="nil"/>
              <w:right w:val="nil"/>
            </w:tcBorders>
            <w:shd w:val="clear" w:color="auto" w:fill="auto"/>
            <w:noWrap/>
            <w:vAlign w:val="center"/>
            <w:hideMark/>
          </w:tcPr>
          <w:p w14:paraId="130595A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822" w:type="dxa"/>
            <w:tcBorders>
              <w:top w:val="single" w:sz="4" w:space="0" w:color="auto"/>
              <w:left w:val="nil"/>
              <w:bottom w:val="nil"/>
              <w:right w:val="single" w:sz="4" w:space="0" w:color="auto"/>
            </w:tcBorders>
            <w:shd w:val="clear" w:color="auto" w:fill="auto"/>
            <w:noWrap/>
            <w:vAlign w:val="center"/>
            <w:hideMark/>
          </w:tcPr>
          <w:p w14:paraId="584C07A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659" w:type="dxa"/>
            <w:tcBorders>
              <w:top w:val="nil"/>
              <w:left w:val="nil"/>
              <w:bottom w:val="nil"/>
              <w:right w:val="nil"/>
            </w:tcBorders>
            <w:shd w:val="clear" w:color="auto" w:fill="auto"/>
            <w:noWrap/>
            <w:vAlign w:val="center"/>
            <w:hideMark/>
          </w:tcPr>
          <w:p w14:paraId="77CF8562"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659" w:type="dxa"/>
            <w:tcBorders>
              <w:top w:val="nil"/>
              <w:left w:val="nil"/>
              <w:bottom w:val="nil"/>
              <w:right w:val="single" w:sz="4" w:space="0" w:color="auto"/>
            </w:tcBorders>
            <w:shd w:val="clear" w:color="auto" w:fill="auto"/>
            <w:noWrap/>
            <w:vAlign w:val="center"/>
            <w:hideMark/>
          </w:tcPr>
          <w:p w14:paraId="6F3D055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1204" w:type="dxa"/>
            <w:tcBorders>
              <w:top w:val="nil"/>
              <w:left w:val="nil"/>
              <w:bottom w:val="nil"/>
              <w:right w:val="single" w:sz="4" w:space="0" w:color="auto"/>
            </w:tcBorders>
            <w:shd w:val="clear" w:color="auto" w:fill="auto"/>
            <w:noWrap/>
            <w:vAlign w:val="center"/>
            <w:hideMark/>
          </w:tcPr>
          <w:p w14:paraId="1304089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700" w:type="dxa"/>
            <w:tcBorders>
              <w:top w:val="nil"/>
              <w:left w:val="nil"/>
              <w:bottom w:val="nil"/>
              <w:right w:val="nil"/>
            </w:tcBorders>
            <w:shd w:val="clear" w:color="auto" w:fill="auto"/>
            <w:noWrap/>
            <w:vAlign w:val="center"/>
            <w:hideMark/>
          </w:tcPr>
          <w:p w14:paraId="1CCB800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700" w:type="dxa"/>
            <w:tcBorders>
              <w:top w:val="nil"/>
              <w:left w:val="nil"/>
              <w:bottom w:val="nil"/>
              <w:right w:val="single" w:sz="4" w:space="0" w:color="auto"/>
            </w:tcBorders>
            <w:shd w:val="clear" w:color="auto" w:fill="auto"/>
            <w:noWrap/>
            <w:vAlign w:val="center"/>
            <w:hideMark/>
          </w:tcPr>
          <w:p w14:paraId="45FB2BD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940" w:type="dxa"/>
            <w:tcBorders>
              <w:top w:val="nil"/>
              <w:left w:val="nil"/>
              <w:bottom w:val="nil"/>
              <w:right w:val="single" w:sz="4" w:space="0" w:color="auto"/>
            </w:tcBorders>
            <w:shd w:val="clear" w:color="auto" w:fill="auto"/>
            <w:noWrap/>
            <w:vAlign w:val="bottom"/>
            <w:hideMark/>
          </w:tcPr>
          <w:p w14:paraId="4FCE944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c>
          <w:tcPr>
            <w:tcW w:w="948" w:type="dxa"/>
            <w:tcBorders>
              <w:top w:val="nil"/>
              <w:left w:val="nil"/>
              <w:bottom w:val="nil"/>
              <w:right w:val="single" w:sz="4" w:space="0" w:color="auto"/>
            </w:tcBorders>
            <w:shd w:val="clear" w:color="auto" w:fill="auto"/>
            <w:noWrap/>
            <w:vAlign w:val="center"/>
            <w:hideMark/>
          </w:tcPr>
          <w:p w14:paraId="431B3D3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w:t>
            </w:r>
          </w:p>
        </w:tc>
      </w:tr>
      <w:tr w:rsidR="000837E4" w:rsidRPr="00914BAB" w14:paraId="78A02B52" w14:textId="77777777" w:rsidTr="00C234D1">
        <w:trPr>
          <w:trHeight w:val="300"/>
        </w:trPr>
        <w:tc>
          <w:tcPr>
            <w:tcW w:w="1167" w:type="dxa"/>
            <w:vMerge/>
            <w:tcBorders>
              <w:top w:val="nil"/>
              <w:left w:val="single" w:sz="4" w:space="0" w:color="auto"/>
              <w:bottom w:val="single" w:sz="4" w:space="0" w:color="auto"/>
              <w:right w:val="single" w:sz="4" w:space="0" w:color="auto"/>
            </w:tcBorders>
            <w:vAlign w:val="center"/>
            <w:hideMark/>
          </w:tcPr>
          <w:p w14:paraId="5D534785" w14:textId="77777777" w:rsidR="000837E4" w:rsidRPr="00914BAB" w:rsidRDefault="000837E4" w:rsidP="000837E4">
            <w:pPr>
              <w:spacing w:before="0" w:line="240" w:lineRule="auto"/>
              <w:rPr>
                <w:rFonts w:eastAsia="Times New Roman" w:cs="Times New Roman"/>
                <w:color w:val="000000"/>
                <w:sz w:val="24"/>
              </w:rPr>
            </w:pPr>
          </w:p>
        </w:tc>
        <w:tc>
          <w:tcPr>
            <w:tcW w:w="3200" w:type="dxa"/>
            <w:tcBorders>
              <w:top w:val="nil"/>
              <w:left w:val="nil"/>
              <w:bottom w:val="single" w:sz="4" w:space="0" w:color="auto"/>
              <w:right w:val="single" w:sz="4" w:space="0" w:color="auto"/>
            </w:tcBorders>
            <w:shd w:val="clear" w:color="auto" w:fill="auto"/>
            <w:noWrap/>
            <w:vAlign w:val="center"/>
            <w:hideMark/>
          </w:tcPr>
          <w:p w14:paraId="5EEB97CD" w14:textId="77777777" w:rsidR="000837E4" w:rsidRPr="00914BAB" w:rsidRDefault="000837E4" w:rsidP="000837E4">
            <w:pPr>
              <w:spacing w:before="0" w:line="240" w:lineRule="auto"/>
              <w:rPr>
                <w:rFonts w:eastAsia="Times New Roman" w:cs="Times New Roman"/>
                <w:color w:val="000000"/>
                <w:sz w:val="24"/>
              </w:rPr>
            </w:pPr>
            <w:r w:rsidRPr="00914BAB">
              <w:rPr>
                <w:rFonts w:eastAsia="Times New Roman" w:cs="Times New Roman"/>
                <w:color w:val="000000"/>
                <w:sz w:val="24"/>
              </w:rPr>
              <w:t>Landfill gas</w:t>
            </w:r>
          </w:p>
        </w:tc>
        <w:tc>
          <w:tcPr>
            <w:tcW w:w="1111" w:type="dxa"/>
            <w:tcBorders>
              <w:top w:val="nil"/>
              <w:left w:val="nil"/>
              <w:bottom w:val="nil"/>
              <w:right w:val="single" w:sz="4" w:space="0" w:color="auto"/>
            </w:tcBorders>
            <w:shd w:val="clear" w:color="auto" w:fill="auto"/>
            <w:noWrap/>
            <w:vAlign w:val="center"/>
            <w:hideMark/>
          </w:tcPr>
          <w:p w14:paraId="0F2B6F30"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0.3</w:t>
            </w:r>
          </w:p>
        </w:tc>
        <w:tc>
          <w:tcPr>
            <w:tcW w:w="1111" w:type="dxa"/>
            <w:tcBorders>
              <w:top w:val="nil"/>
              <w:left w:val="nil"/>
              <w:bottom w:val="nil"/>
              <w:right w:val="single" w:sz="4" w:space="0" w:color="auto"/>
            </w:tcBorders>
            <w:shd w:val="clear" w:color="auto" w:fill="auto"/>
            <w:noWrap/>
            <w:vAlign w:val="center"/>
            <w:hideMark/>
          </w:tcPr>
          <w:p w14:paraId="1055448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w:t>
            </w:r>
          </w:p>
        </w:tc>
        <w:tc>
          <w:tcPr>
            <w:tcW w:w="723" w:type="dxa"/>
            <w:tcBorders>
              <w:top w:val="nil"/>
              <w:left w:val="nil"/>
              <w:bottom w:val="single" w:sz="4" w:space="0" w:color="auto"/>
              <w:right w:val="nil"/>
            </w:tcBorders>
            <w:shd w:val="clear" w:color="auto" w:fill="auto"/>
            <w:noWrap/>
            <w:vAlign w:val="center"/>
            <w:hideMark/>
          </w:tcPr>
          <w:p w14:paraId="3231C7F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w:t>
            </w:r>
          </w:p>
        </w:tc>
        <w:tc>
          <w:tcPr>
            <w:tcW w:w="822" w:type="dxa"/>
            <w:tcBorders>
              <w:top w:val="nil"/>
              <w:left w:val="nil"/>
              <w:bottom w:val="single" w:sz="4" w:space="0" w:color="auto"/>
              <w:right w:val="single" w:sz="4" w:space="0" w:color="auto"/>
            </w:tcBorders>
            <w:shd w:val="clear" w:color="auto" w:fill="auto"/>
            <w:noWrap/>
            <w:vAlign w:val="center"/>
            <w:hideMark/>
          </w:tcPr>
          <w:p w14:paraId="3AD0B33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w:t>
            </w:r>
          </w:p>
        </w:tc>
        <w:tc>
          <w:tcPr>
            <w:tcW w:w="659" w:type="dxa"/>
            <w:tcBorders>
              <w:top w:val="nil"/>
              <w:left w:val="nil"/>
              <w:bottom w:val="single" w:sz="4" w:space="0" w:color="auto"/>
              <w:right w:val="nil"/>
            </w:tcBorders>
            <w:shd w:val="clear" w:color="auto" w:fill="auto"/>
            <w:noWrap/>
            <w:vAlign w:val="center"/>
            <w:hideMark/>
          </w:tcPr>
          <w:p w14:paraId="7378C53B"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w:t>
            </w:r>
          </w:p>
        </w:tc>
        <w:tc>
          <w:tcPr>
            <w:tcW w:w="659" w:type="dxa"/>
            <w:tcBorders>
              <w:top w:val="nil"/>
              <w:left w:val="nil"/>
              <w:bottom w:val="single" w:sz="4" w:space="0" w:color="auto"/>
              <w:right w:val="single" w:sz="4" w:space="0" w:color="auto"/>
            </w:tcBorders>
            <w:shd w:val="clear" w:color="auto" w:fill="auto"/>
            <w:noWrap/>
            <w:vAlign w:val="center"/>
            <w:hideMark/>
          </w:tcPr>
          <w:p w14:paraId="7B3370BA"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w:t>
            </w:r>
          </w:p>
        </w:tc>
        <w:tc>
          <w:tcPr>
            <w:tcW w:w="1204" w:type="dxa"/>
            <w:tcBorders>
              <w:top w:val="nil"/>
              <w:left w:val="nil"/>
              <w:bottom w:val="nil"/>
              <w:right w:val="single" w:sz="4" w:space="0" w:color="auto"/>
            </w:tcBorders>
            <w:shd w:val="clear" w:color="auto" w:fill="auto"/>
            <w:noWrap/>
            <w:vAlign w:val="center"/>
            <w:hideMark/>
          </w:tcPr>
          <w:p w14:paraId="7F7878F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0.03</w:t>
            </w:r>
          </w:p>
        </w:tc>
        <w:tc>
          <w:tcPr>
            <w:tcW w:w="700" w:type="dxa"/>
            <w:tcBorders>
              <w:top w:val="nil"/>
              <w:left w:val="nil"/>
              <w:bottom w:val="nil"/>
              <w:right w:val="nil"/>
            </w:tcBorders>
            <w:shd w:val="clear" w:color="auto" w:fill="auto"/>
            <w:noWrap/>
            <w:vAlign w:val="center"/>
            <w:hideMark/>
          </w:tcPr>
          <w:p w14:paraId="4BC697FE"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0.7</w:t>
            </w:r>
          </w:p>
        </w:tc>
        <w:tc>
          <w:tcPr>
            <w:tcW w:w="700" w:type="dxa"/>
            <w:tcBorders>
              <w:top w:val="nil"/>
              <w:left w:val="nil"/>
              <w:bottom w:val="nil"/>
              <w:right w:val="single" w:sz="4" w:space="0" w:color="auto"/>
            </w:tcBorders>
            <w:shd w:val="clear" w:color="auto" w:fill="auto"/>
            <w:noWrap/>
            <w:vAlign w:val="center"/>
            <w:hideMark/>
          </w:tcPr>
          <w:p w14:paraId="1CC1BE85"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w:t>
            </w:r>
          </w:p>
        </w:tc>
        <w:tc>
          <w:tcPr>
            <w:tcW w:w="940" w:type="dxa"/>
            <w:tcBorders>
              <w:top w:val="nil"/>
              <w:left w:val="nil"/>
              <w:bottom w:val="nil"/>
              <w:right w:val="single" w:sz="4" w:space="0" w:color="auto"/>
            </w:tcBorders>
            <w:shd w:val="clear" w:color="auto" w:fill="auto"/>
            <w:noWrap/>
            <w:vAlign w:val="bottom"/>
            <w:hideMark/>
          </w:tcPr>
          <w:p w14:paraId="4FB6C69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0.0</w:t>
            </w:r>
          </w:p>
        </w:tc>
        <w:tc>
          <w:tcPr>
            <w:tcW w:w="948" w:type="dxa"/>
            <w:tcBorders>
              <w:top w:val="nil"/>
              <w:left w:val="nil"/>
              <w:bottom w:val="nil"/>
              <w:right w:val="single" w:sz="4" w:space="0" w:color="auto"/>
            </w:tcBorders>
            <w:shd w:val="clear" w:color="auto" w:fill="auto"/>
            <w:noWrap/>
            <w:vAlign w:val="center"/>
            <w:hideMark/>
          </w:tcPr>
          <w:p w14:paraId="31ED534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w:t>
            </w:r>
          </w:p>
        </w:tc>
      </w:tr>
      <w:tr w:rsidR="000837E4" w:rsidRPr="00914BAB" w14:paraId="6B5CB629" w14:textId="77777777" w:rsidTr="00C234D1">
        <w:trPr>
          <w:trHeight w:val="300"/>
        </w:trPr>
        <w:tc>
          <w:tcPr>
            <w:tcW w:w="4367"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33AADDE7"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Sub-total waste</w:t>
            </w:r>
          </w:p>
        </w:tc>
        <w:tc>
          <w:tcPr>
            <w:tcW w:w="1111" w:type="dxa"/>
            <w:tcBorders>
              <w:top w:val="single" w:sz="4" w:space="0" w:color="auto"/>
              <w:left w:val="nil"/>
              <w:bottom w:val="single" w:sz="4" w:space="0" w:color="auto"/>
              <w:right w:val="single" w:sz="4" w:space="0" w:color="auto"/>
            </w:tcBorders>
            <w:shd w:val="clear" w:color="000000" w:fill="F2F2F2"/>
            <w:noWrap/>
            <w:vAlign w:val="center"/>
            <w:hideMark/>
          </w:tcPr>
          <w:p w14:paraId="3D0FBD2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0.6</w:t>
            </w:r>
          </w:p>
        </w:tc>
        <w:tc>
          <w:tcPr>
            <w:tcW w:w="1111" w:type="dxa"/>
            <w:tcBorders>
              <w:top w:val="single" w:sz="4" w:space="0" w:color="auto"/>
              <w:left w:val="nil"/>
              <w:bottom w:val="single" w:sz="4" w:space="0" w:color="auto"/>
              <w:right w:val="single" w:sz="4" w:space="0" w:color="auto"/>
            </w:tcBorders>
            <w:shd w:val="clear" w:color="000000" w:fill="F2F2F2"/>
            <w:noWrap/>
            <w:vAlign w:val="center"/>
            <w:hideMark/>
          </w:tcPr>
          <w:p w14:paraId="1FD8AA5C"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8%</w:t>
            </w:r>
          </w:p>
        </w:tc>
        <w:tc>
          <w:tcPr>
            <w:tcW w:w="723" w:type="dxa"/>
            <w:tcBorders>
              <w:top w:val="nil"/>
              <w:left w:val="nil"/>
              <w:bottom w:val="single" w:sz="4" w:space="0" w:color="auto"/>
              <w:right w:val="nil"/>
            </w:tcBorders>
            <w:shd w:val="clear" w:color="000000" w:fill="F2F2F2"/>
            <w:noWrap/>
            <w:vAlign w:val="bottom"/>
            <w:hideMark/>
          </w:tcPr>
          <w:p w14:paraId="560C4471"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4</w:t>
            </w:r>
          </w:p>
        </w:tc>
        <w:tc>
          <w:tcPr>
            <w:tcW w:w="822" w:type="dxa"/>
            <w:tcBorders>
              <w:top w:val="nil"/>
              <w:left w:val="nil"/>
              <w:bottom w:val="single" w:sz="4" w:space="0" w:color="auto"/>
              <w:right w:val="single" w:sz="4" w:space="0" w:color="auto"/>
            </w:tcBorders>
            <w:shd w:val="clear" w:color="000000" w:fill="F2F2F2"/>
            <w:noWrap/>
            <w:vAlign w:val="bottom"/>
            <w:hideMark/>
          </w:tcPr>
          <w:p w14:paraId="2FAA85A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11</w:t>
            </w:r>
          </w:p>
        </w:tc>
        <w:tc>
          <w:tcPr>
            <w:tcW w:w="659" w:type="dxa"/>
            <w:tcBorders>
              <w:top w:val="nil"/>
              <w:left w:val="nil"/>
              <w:bottom w:val="single" w:sz="4" w:space="0" w:color="auto"/>
              <w:right w:val="nil"/>
            </w:tcBorders>
            <w:shd w:val="clear" w:color="000000" w:fill="F2F2F2"/>
            <w:noWrap/>
            <w:vAlign w:val="bottom"/>
            <w:hideMark/>
          </w:tcPr>
          <w:p w14:paraId="3BD6595F"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w:t>
            </w:r>
          </w:p>
        </w:tc>
        <w:tc>
          <w:tcPr>
            <w:tcW w:w="659" w:type="dxa"/>
            <w:tcBorders>
              <w:top w:val="nil"/>
              <w:left w:val="nil"/>
              <w:bottom w:val="single" w:sz="4" w:space="0" w:color="auto"/>
              <w:right w:val="single" w:sz="4" w:space="0" w:color="auto"/>
            </w:tcBorders>
            <w:shd w:val="clear" w:color="000000" w:fill="F2F2F2"/>
            <w:noWrap/>
            <w:vAlign w:val="bottom"/>
            <w:hideMark/>
          </w:tcPr>
          <w:p w14:paraId="292F5519"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w:t>
            </w:r>
          </w:p>
        </w:tc>
        <w:tc>
          <w:tcPr>
            <w:tcW w:w="1204" w:type="dxa"/>
            <w:tcBorders>
              <w:top w:val="single" w:sz="4" w:space="0" w:color="auto"/>
              <w:left w:val="nil"/>
              <w:bottom w:val="single" w:sz="4" w:space="0" w:color="auto"/>
              <w:right w:val="nil"/>
            </w:tcBorders>
            <w:shd w:val="clear" w:color="000000" w:fill="F2F2F2"/>
            <w:noWrap/>
            <w:vAlign w:val="center"/>
            <w:hideMark/>
          </w:tcPr>
          <w:p w14:paraId="17E073C8"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0.0</w:t>
            </w:r>
          </w:p>
        </w:tc>
        <w:tc>
          <w:tcPr>
            <w:tcW w:w="700" w:type="dxa"/>
            <w:tcBorders>
              <w:top w:val="single" w:sz="4" w:space="0" w:color="auto"/>
              <w:left w:val="single" w:sz="4" w:space="0" w:color="auto"/>
              <w:bottom w:val="single" w:sz="4" w:space="0" w:color="auto"/>
              <w:right w:val="nil"/>
            </w:tcBorders>
            <w:shd w:val="clear" w:color="000000" w:fill="F2F2F2"/>
            <w:noWrap/>
            <w:vAlign w:val="center"/>
            <w:hideMark/>
          </w:tcPr>
          <w:p w14:paraId="18C66F03"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0.7</w:t>
            </w:r>
          </w:p>
        </w:tc>
        <w:tc>
          <w:tcPr>
            <w:tcW w:w="700" w:type="dxa"/>
            <w:tcBorders>
              <w:top w:val="single" w:sz="4" w:space="0" w:color="auto"/>
              <w:left w:val="nil"/>
              <w:bottom w:val="single" w:sz="4" w:space="0" w:color="auto"/>
              <w:right w:val="single" w:sz="4" w:space="0" w:color="auto"/>
            </w:tcBorders>
            <w:shd w:val="clear" w:color="000000" w:fill="F2F2F2"/>
            <w:noWrap/>
            <w:vAlign w:val="center"/>
            <w:hideMark/>
          </w:tcPr>
          <w:p w14:paraId="0F9D9824"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2.6</w:t>
            </w:r>
          </w:p>
        </w:tc>
        <w:tc>
          <w:tcPr>
            <w:tcW w:w="940" w:type="dxa"/>
            <w:tcBorders>
              <w:top w:val="single" w:sz="4" w:space="0" w:color="auto"/>
              <w:left w:val="nil"/>
              <w:bottom w:val="single" w:sz="4" w:space="0" w:color="auto"/>
              <w:right w:val="single" w:sz="4" w:space="0" w:color="auto"/>
            </w:tcBorders>
            <w:shd w:val="clear" w:color="000000" w:fill="F2F2F2"/>
            <w:noWrap/>
            <w:vAlign w:val="center"/>
            <w:hideMark/>
          </w:tcPr>
          <w:p w14:paraId="2BE24C96"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0.0</w:t>
            </w:r>
          </w:p>
        </w:tc>
        <w:tc>
          <w:tcPr>
            <w:tcW w:w="948" w:type="dxa"/>
            <w:tcBorders>
              <w:top w:val="single" w:sz="4" w:space="0" w:color="auto"/>
              <w:left w:val="nil"/>
              <w:bottom w:val="single" w:sz="4" w:space="0" w:color="auto"/>
              <w:right w:val="single" w:sz="4" w:space="0" w:color="auto"/>
            </w:tcBorders>
            <w:shd w:val="clear" w:color="000000" w:fill="F2F2F2"/>
            <w:noWrap/>
            <w:vAlign w:val="center"/>
            <w:hideMark/>
          </w:tcPr>
          <w:p w14:paraId="23A0D01D" w14:textId="77777777" w:rsidR="000837E4" w:rsidRPr="00914BAB" w:rsidRDefault="000837E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20</w:t>
            </w:r>
          </w:p>
        </w:tc>
      </w:tr>
      <w:tr w:rsidR="004F57D4" w:rsidRPr="00914BAB" w14:paraId="428F7EAA" w14:textId="77777777" w:rsidTr="00C234D1">
        <w:trPr>
          <w:trHeight w:val="300"/>
        </w:trPr>
        <w:tc>
          <w:tcPr>
            <w:tcW w:w="4367" w:type="dxa"/>
            <w:gridSpan w:val="2"/>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5EC523A0" w14:textId="77777777" w:rsidR="004F57D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Total</w:t>
            </w:r>
          </w:p>
        </w:tc>
        <w:tc>
          <w:tcPr>
            <w:tcW w:w="1111" w:type="dxa"/>
            <w:tcBorders>
              <w:top w:val="nil"/>
              <w:left w:val="nil"/>
              <w:bottom w:val="single" w:sz="4" w:space="0" w:color="auto"/>
              <w:right w:val="single" w:sz="4" w:space="0" w:color="auto"/>
            </w:tcBorders>
            <w:shd w:val="clear" w:color="000000" w:fill="BFBFBF"/>
            <w:noWrap/>
            <w:vAlign w:val="center"/>
            <w:hideMark/>
          </w:tcPr>
          <w:p w14:paraId="4BF49E25" w14:textId="77777777" w:rsidR="004F57D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8.0</w:t>
            </w:r>
          </w:p>
        </w:tc>
        <w:tc>
          <w:tcPr>
            <w:tcW w:w="1111" w:type="dxa"/>
            <w:tcBorders>
              <w:top w:val="nil"/>
              <w:left w:val="nil"/>
              <w:bottom w:val="single" w:sz="4" w:space="0" w:color="auto"/>
              <w:right w:val="single" w:sz="4" w:space="0" w:color="auto"/>
            </w:tcBorders>
            <w:shd w:val="clear" w:color="000000" w:fill="BFBFBF"/>
            <w:noWrap/>
            <w:vAlign w:val="center"/>
            <w:hideMark/>
          </w:tcPr>
          <w:p w14:paraId="0263D64D" w14:textId="77777777" w:rsidR="004F57D4" w:rsidRPr="00914BAB" w:rsidRDefault="004F57D4" w:rsidP="004F57D4">
            <w:pPr>
              <w:spacing w:before="0" w:line="240" w:lineRule="auto"/>
              <w:jc w:val="center"/>
              <w:rPr>
                <w:rFonts w:eastAsia="Times New Roman" w:cs="Times New Roman"/>
                <w:color w:val="000000"/>
                <w:sz w:val="24"/>
              </w:rPr>
            </w:pPr>
            <w:r w:rsidRPr="00914BAB">
              <w:rPr>
                <w:rFonts w:eastAsia="Times New Roman" w:cs="Times New Roman"/>
                <w:color w:val="000000"/>
                <w:sz w:val="24"/>
              </w:rPr>
              <w:t>100%</w:t>
            </w:r>
          </w:p>
        </w:tc>
        <w:tc>
          <w:tcPr>
            <w:tcW w:w="723" w:type="dxa"/>
            <w:tcBorders>
              <w:top w:val="nil"/>
              <w:left w:val="nil"/>
              <w:bottom w:val="single" w:sz="4" w:space="0" w:color="auto"/>
              <w:right w:val="nil"/>
            </w:tcBorders>
            <w:shd w:val="clear" w:color="000000" w:fill="BFBFBF"/>
            <w:noWrap/>
            <w:vAlign w:val="center"/>
            <w:hideMark/>
          </w:tcPr>
          <w:p w14:paraId="4B20E7D1" w14:textId="37BC0023" w:rsidR="004F57D4" w:rsidRPr="00914BAB" w:rsidRDefault="004F57D4" w:rsidP="004F57D4">
            <w:pPr>
              <w:spacing w:before="0" w:line="240" w:lineRule="auto"/>
              <w:jc w:val="center"/>
              <w:rPr>
                <w:rFonts w:eastAsia="Times New Roman" w:cs="Times New Roman"/>
                <w:color w:val="000000"/>
                <w:sz w:val="24"/>
              </w:rPr>
            </w:pPr>
            <w:r w:rsidRPr="00914BAB">
              <w:rPr>
                <w:sz w:val="24"/>
              </w:rPr>
              <w:t>11015</w:t>
            </w:r>
          </w:p>
        </w:tc>
        <w:tc>
          <w:tcPr>
            <w:tcW w:w="822" w:type="dxa"/>
            <w:tcBorders>
              <w:top w:val="nil"/>
              <w:left w:val="nil"/>
              <w:bottom w:val="single" w:sz="4" w:space="0" w:color="auto"/>
              <w:right w:val="single" w:sz="4" w:space="0" w:color="auto"/>
            </w:tcBorders>
            <w:shd w:val="clear" w:color="000000" w:fill="BFBFBF"/>
            <w:noWrap/>
            <w:vAlign w:val="center"/>
            <w:hideMark/>
          </w:tcPr>
          <w:p w14:paraId="486A1E56" w14:textId="1299F8AE" w:rsidR="004F57D4" w:rsidRPr="00914BAB" w:rsidRDefault="00C234D1" w:rsidP="004F57D4">
            <w:pPr>
              <w:spacing w:before="0" w:line="240" w:lineRule="auto"/>
              <w:jc w:val="center"/>
              <w:rPr>
                <w:rFonts w:eastAsia="Times New Roman" w:cs="Times New Roman"/>
                <w:color w:val="000000"/>
                <w:sz w:val="24"/>
              </w:rPr>
            </w:pPr>
            <w:r w:rsidRPr="00914BAB">
              <w:rPr>
                <w:sz w:val="24"/>
              </w:rPr>
              <w:t>23095</w:t>
            </w:r>
          </w:p>
        </w:tc>
        <w:tc>
          <w:tcPr>
            <w:tcW w:w="659" w:type="dxa"/>
            <w:tcBorders>
              <w:top w:val="nil"/>
              <w:left w:val="nil"/>
              <w:bottom w:val="single" w:sz="4" w:space="0" w:color="auto"/>
              <w:right w:val="nil"/>
            </w:tcBorders>
            <w:shd w:val="clear" w:color="000000" w:fill="BFBFBF"/>
            <w:noWrap/>
            <w:vAlign w:val="center"/>
            <w:hideMark/>
          </w:tcPr>
          <w:p w14:paraId="2A1A98D1" w14:textId="0F699E4E" w:rsidR="004F57D4" w:rsidRPr="00914BAB" w:rsidRDefault="004F57D4" w:rsidP="004F57D4">
            <w:pPr>
              <w:spacing w:before="0" w:line="240" w:lineRule="auto"/>
              <w:jc w:val="center"/>
              <w:rPr>
                <w:rFonts w:eastAsia="Times New Roman" w:cs="Times New Roman"/>
                <w:color w:val="000000"/>
                <w:sz w:val="24"/>
              </w:rPr>
            </w:pPr>
            <w:r w:rsidRPr="00914BAB">
              <w:rPr>
                <w:sz w:val="24"/>
              </w:rPr>
              <w:t>947</w:t>
            </w:r>
          </w:p>
        </w:tc>
        <w:tc>
          <w:tcPr>
            <w:tcW w:w="659" w:type="dxa"/>
            <w:tcBorders>
              <w:top w:val="nil"/>
              <w:left w:val="nil"/>
              <w:bottom w:val="single" w:sz="4" w:space="0" w:color="auto"/>
              <w:right w:val="single" w:sz="4" w:space="0" w:color="auto"/>
            </w:tcBorders>
            <w:shd w:val="clear" w:color="000000" w:fill="BFBFBF"/>
            <w:noWrap/>
            <w:vAlign w:val="center"/>
            <w:hideMark/>
          </w:tcPr>
          <w:p w14:paraId="59656004" w14:textId="0627CF6E" w:rsidR="004F57D4" w:rsidRPr="00914BAB" w:rsidRDefault="004F57D4" w:rsidP="004F57D4">
            <w:pPr>
              <w:spacing w:before="0" w:line="240" w:lineRule="auto"/>
              <w:jc w:val="center"/>
              <w:rPr>
                <w:rFonts w:eastAsia="Times New Roman" w:cs="Times New Roman"/>
                <w:color w:val="000000"/>
                <w:sz w:val="24"/>
              </w:rPr>
            </w:pPr>
            <w:r w:rsidRPr="00914BAB">
              <w:rPr>
                <w:sz w:val="24"/>
              </w:rPr>
              <w:t>1986</w:t>
            </w:r>
          </w:p>
        </w:tc>
        <w:tc>
          <w:tcPr>
            <w:tcW w:w="1204" w:type="dxa"/>
            <w:tcBorders>
              <w:top w:val="nil"/>
              <w:left w:val="nil"/>
              <w:bottom w:val="single" w:sz="4" w:space="0" w:color="auto"/>
              <w:right w:val="single" w:sz="4" w:space="0" w:color="auto"/>
            </w:tcBorders>
            <w:shd w:val="clear" w:color="000000" w:fill="BFBFBF"/>
            <w:noWrap/>
            <w:vAlign w:val="center"/>
            <w:hideMark/>
          </w:tcPr>
          <w:p w14:paraId="21216E58"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34.2</w:t>
            </w:r>
          </w:p>
        </w:tc>
        <w:tc>
          <w:tcPr>
            <w:tcW w:w="700" w:type="dxa"/>
            <w:tcBorders>
              <w:top w:val="nil"/>
              <w:left w:val="nil"/>
              <w:bottom w:val="single" w:sz="4" w:space="0" w:color="auto"/>
              <w:right w:val="nil"/>
            </w:tcBorders>
            <w:shd w:val="clear" w:color="000000" w:fill="BFBFBF"/>
            <w:noWrap/>
            <w:vAlign w:val="center"/>
            <w:hideMark/>
          </w:tcPr>
          <w:p w14:paraId="1A92E73C"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1579</w:t>
            </w:r>
          </w:p>
        </w:tc>
        <w:tc>
          <w:tcPr>
            <w:tcW w:w="700" w:type="dxa"/>
            <w:tcBorders>
              <w:top w:val="nil"/>
              <w:left w:val="nil"/>
              <w:bottom w:val="single" w:sz="4" w:space="0" w:color="auto"/>
              <w:right w:val="single" w:sz="4" w:space="0" w:color="auto"/>
            </w:tcBorders>
            <w:shd w:val="clear" w:color="000000" w:fill="BFBFBF"/>
            <w:noWrap/>
            <w:vAlign w:val="center"/>
            <w:hideMark/>
          </w:tcPr>
          <w:p w14:paraId="10BDA44B"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5858</w:t>
            </w:r>
          </w:p>
        </w:tc>
        <w:tc>
          <w:tcPr>
            <w:tcW w:w="940" w:type="dxa"/>
            <w:tcBorders>
              <w:top w:val="nil"/>
              <w:left w:val="nil"/>
              <w:bottom w:val="single" w:sz="4" w:space="0" w:color="auto"/>
              <w:right w:val="single" w:sz="4" w:space="0" w:color="auto"/>
            </w:tcBorders>
            <w:shd w:val="clear" w:color="000000" w:fill="BFBFBF"/>
            <w:noWrap/>
            <w:vAlign w:val="center"/>
            <w:hideMark/>
          </w:tcPr>
          <w:p w14:paraId="56548D43"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16.6</w:t>
            </w:r>
          </w:p>
        </w:tc>
        <w:tc>
          <w:tcPr>
            <w:tcW w:w="948" w:type="dxa"/>
            <w:tcBorders>
              <w:top w:val="nil"/>
              <w:left w:val="nil"/>
              <w:bottom w:val="single" w:sz="4" w:space="0" w:color="auto"/>
              <w:right w:val="single" w:sz="4" w:space="0" w:color="auto"/>
            </w:tcBorders>
            <w:shd w:val="clear" w:color="000000" w:fill="BFBFBF"/>
            <w:noWrap/>
            <w:vAlign w:val="center"/>
            <w:hideMark/>
          </w:tcPr>
          <w:p w14:paraId="04BC3024" w14:textId="77777777" w:rsidR="004F57D4" w:rsidRPr="00914BAB" w:rsidRDefault="004F57D4" w:rsidP="000837E4">
            <w:pPr>
              <w:spacing w:before="0" w:line="240" w:lineRule="auto"/>
              <w:jc w:val="center"/>
              <w:rPr>
                <w:rFonts w:eastAsia="Times New Roman" w:cs="Times New Roman"/>
                <w:color w:val="000000"/>
                <w:sz w:val="24"/>
              </w:rPr>
            </w:pPr>
            <w:r w:rsidRPr="00914BAB">
              <w:rPr>
                <w:rFonts w:eastAsia="Times New Roman" w:cs="Times New Roman"/>
                <w:color w:val="000000"/>
                <w:sz w:val="24"/>
              </w:rPr>
              <w:t>15.7</w:t>
            </w:r>
          </w:p>
        </w:tc>
      </w:tr>
    </w:tbl>
    <w:p w14:paraId="41C464C1" w14:textId="390E4085" w:rsidR="0013654C" w:rsidRPr="00914BAB" w:rsidRDefault="008C6983" w:rsidP="008C6983">
      <w:pPr>
        <w:rPr>
          <w:iCs/>
          <w:sz w:val="24"/>
          <w:shd w:val="clear" w:color="auto" w:fill="FFFFFF"/>
        </w:rPr>
        <w:sectPr w:rsidR="0013654C" w:rsidRPr="00914BAB" w:rsidSect="0013654C">
          <w:pgSz w:w="16838" w:h="11906" w:orient="landscape"/>
          <w:pgMar w:top="1440" w:right="1440" w:bottom="1440" w:left="1440" w:header="708" w:footer="708" w:gutter="0"/>
          <w:cols w:space="708"/>
          <w:docGrid w:linePitch="360"/>
        </w:sectPr>
      </w:pPr>
      <w:r w:rsidRPr="00914BAB">
        <w:rPr>
          <w:iCs/>
          <w:sz w:val="24"/>
          <w:shd w:val="clear" w:color="auto" w:fill="FFFFFF"/>
          <w:vertAlign w:val="superscript"/>
        </w:rPr>
        <w:t>1</w:t>
      </w:r>
      <w:r w:rsidRPr="00914BAB">
        <w:rPr>
          <w:iCs/>
          <w:sz w:val="24"/>
          <w:shd w:val="clear" w:color="auto" w:fill="FFFFFF"/>
        </w:rPr>
        <w:t>Undiscounted with reference learning factors</w:t>
      </w:r>
      <w:proofErr w:type="gramStart"/>
      <w:r w:rsidRPr="00914BAB">
        <w:rPr>
          <w:iCs/>
          <w:sz w:val="24"/>
          <w:shd w:val="clear" w:color="auto" w:fill="FFFFFF"/>
        </w:rPr>
        <w:t xml:space="preserve">;  </w:t>
      </w:r>
      <w:r w:rsidRPr="00914BAB">
        <w:rPr>
          <w:iCs/>
          <w:sz w:val="24"/>
          <w:shd w:val="clear" w:color="auto" w:fill="FFFFFF"/>
          <w:vertAlign w:val="superscript"/>
        </w:rPr>
        <w:t>2</w:t>
      </w:r>
      <w:r w:rsidRPr="00914BAB">
        <w:rPr>
          <w:iCs/>
          <w:sz w:val="24"/>
          <w:shd w:val="clear" w:color="auto" w:fill="FFFFFF"/>
        </w:rPr>
        <w:t>Undiscounted</w:t>
      </w:r>
      <w:proofErr w:type="gramEnd"/>
      <w:r w:rsidRPr="00914BAB">
        <w:rPr>
          <w:iCs/>
          <w:sz w:val="24"/>
          <w:shd w:val="clear" w:color="auto" w:fill="FFFFFF"/>
        </w:rPr>
        <w:t xml:space="preserve">, with energy prices increasing at 2.5% per year;  </w:t>
      </w:r>
      <w:r w:rsidRPr="00914BAB">
        <w:rPr>
          <w:iCs/>
          <w:sz w:val="24"/>
          <w:shd w:val="clear" w:color="auto" w:fill="FFFFFF"/>
          <w:vertAlign w:val="superscript"/>
        </w:rPr>
        <w:t>3</w:t>
      </w:r>
      <w:r w:rsidRPr="00914BAB">
        <w:rPr>
          <w:iCs/>
          <w:sz w:val="24"/>
          <w:shd w:val="clear" w:color="auto" w:fill="FFFFFF"/>
        </w:rPr>
        <w:t xml:space="preserve">With a 3% discount rate, energy prices increasing at 2.5% per year, and reference learning curves;  </w:t>
      </w:r>
      <w:r w:rsidRPr="00914BAB">
        <w:rPr>
          <w:iCs/>
          <w:sz w:val="24"/>
          <w:shd w:val="clear" w:color="auto" w:fill="FFFFFF"/>
          <w:vertAlign w:val="superscript"/>
        </w:rPr>
        <w:t>4</w:t>
      </w:r>
      <w:r w:rsidRPr="00914BAB">
        <w:rPr>
          <w:iCs/>
          <w:sz w:val="24"/>
          <w:shd w:val="clear" w:color="auto" w:fill="FFFFFF"/>
        </w:rPr>
        <w:t>With each measure's payback weighted by total investment</w:t>
      </w:r>
    </w:p>
    <w:p w14:paraId="505E59EF" w14:textId="5DE9A7FD" w:rsidR="009973AB" w:rsidRPr="00914BAB" w:rsidRDefault="009973AB" w:rsidP="009973AB">
      <w:pPr>
        <w:rPr>
          <w:iCs/>
          <w:sz w:val="24"/>
          <w:shd w:val="clear" w:color="auto" w:fill="FFFFFF"/>
          <w:lang w:val="en-US"/>
        </w:rPr>
      </w:pPr>
      <w:r w:rsidRPr="00914BAB">
        <w:rPr>
          <w:iCs/>
          <w:sz w:val="24"/>
          <w:shd w:val="clear" w:color="auto" w:fill="FFFFFF"/>
          <w:lang w:val="en-US"/>
        </w:rPr>
        <w:lastRenderedPageBreak/>
        <w:t xml:space="preserve">values over the period 2015 to 2050 at a discount rate of 3% and energy prices increase of 2.5%. The strongest economic case, however, exists for improving vehicle efficiencies and increasing the number of electric vehicles. In the ‘Transport – passenger’ sector this measure has an average payback of 4.9 years while in the ‘Transport – freight’ sector this measure has an average payback of 4.5 years.  </w:t>
      </w:r>
    </w:p>
    <w:p w14:paraId="4EACF672" w14:textId="5E9FE31D" w:rsidR="009973AB" w:rsidRPr="00914BAB" w:rsidRDefault="009973AB" w:rsidP="009973AB">
      <w:pPr>
        <w:rPr>
          <w:sz w:val="24"/>
        </w:rPr>
      </w:pPr>
      <w:r w:rsidRPr="00914BAB">
        <w:rPr>
          <w:iCs/>
          <w:sz w:val="24"/>
          <w:shd w:val="clear" w:color="auto" w:fill="FFFFFF"/>
          <w:lang w:val="en-US"/>
        </w:rPr>
        <w:t>In the waste sector investment in the recycling sector is not estimated due to lack of data, although estimates suggest that investments can, under specific circumstances, generate net economic returns on investment (</w:t>
      </w:r>
      <w:proofErr w:type="spellStart"/>
      <w:r w:rsidRPr="00914BAB">
        <w:rPr>
          <w:sz w:val="24"/>
        </w:rPr>
        <w:t>Graedel</w:t>
      </w:r>
      <w:proofErr w:type="spellEnd"/>
      <w:r w:rsidRPr="00914BAB">
        <w:rPr>
          <w:sz w:val="24"/>
        </w:rPr>
        <w:t xml:space="preserve"> 2011; </w:t>
      </w:r>
      <w:proofErr w:type="spellStart"/>
      <w:r w:rsidRPr="00914BAB">
        <w:rPr>
          <w:sz w:val="24"/>
        </w:rPr>
        <w:t>Goe</w:t>
      </w:r>
      <w:proofErr w:type="spellEnd"/>
      <w:r w:rsidRPr="00914BAB">
        <w:rPr>
          <w:sz w:val="24"/>
        </w:rPr>
        <w:t xml:space="preserve">, and Gabrielle 2014; </w:t>
      </w:r>
      <w:proofErr w:type="spellStart"/>
      <w:r w:rsidRPr="00914BAB">
        <w:rPr>
          <w:sz w:val="24"/>
        </w:rPr>
        <w:t>Colenbrander</w:t>
      </w:r>
      <w:proofErr w:type="spellEnd"/>
      <w:r w:rsidRPr="00914BAB">
        <w:rPr>
          <w:sz w:val="24"/>
        </w:rPr>
        <w:t xml:space="preserve"> </w:t>
      </w:r>
      <w:r w:rsidR="004679F0">
        <w:rPr>
          <w:sz w:val="24"/>
        </w:rPr>
        <w:t xml:space="preserve">at al., </w:t>
      </w:r>
      <w:r w:rsidRPr="00914BAB">
        <w:rPr>
          <w:sz w:val="24"/>
        </w:rPr>
        <w:t xml:space="preserve">2015). Investments in ‘landfill gas’ capture and utilisation show slightly negative economic returns over the period to 2050. </w:t>
      </w:r>
    </w:p>
    <w:p w14:paraId="5C775E56" w14:textId="77777777" w:rsidR="009973AB" w:rsidRPr="00914BAB" w:rsidRDefault="009973AB" w:rsidP="009973AB">
      <w:pPr>
        <w:rPr>
          <w:sz w:val="24"/>
        </w:rPr>
      </w:pPr>
      <w:r w:rsidRPr="00914BAB">
        <w:rPr>
          <w:sz w:val="24"/>
        </w:rPr>
        <w:t>Between sectors the economic case for investment is strongest in the transport sector where the average weighted payback of investments is 12 years at 2.5% annual price increases and a 3% discount rate. In the buildings sector paybacks average 17 years. These numbers suggest, broadly speaking, that mitigation actions in the transport sector may be more amenable to private investors while urban actions in the buildings sector may, in some cases, require more public investment. In both cases, however, it is important to note that the headline global figures hide significant regional variation and variation within specific actions contained in measures. For example, payback periods for high efficiency lighting are dramatically shorter than for high efficiency appliances.</w:t>
      </w:r>
    </w:p>
    <w:p w14:paraId="6AB86054" w14:textId="3C25D2FC" w:rsidR="00633DBE" w:rsidRPr="00914BAB" w:rsidRDefault="00CA6843" w:rsidP="00F86C64">
      <w:pPr>
        <w:rPr>
          <w:sz w:val="24"/>
        </w:rPr>
      </w:pPr>
      <w:r w:rsidRPr="00914BAB">
        <w:rPr>
          <w:sz w:val="24"/>
        </w:rPr>
        <w:t xml:space="preserve">If such a case for investment within these measures exists then </w:t>
      </w:r>
      <w:r w:rsidR="007E097A" w:rsidRPr="00914BAB">
        <w:rPr>
          <w:sz w:val="24"/>
        </w:rPr>
        <w:t>a</w:t>
      </w:r>
      <w:r w:rsidRPr="00914BAB">
        <w:rPr>
          <w:sz w:val="24"/>
        </w:rPr>
        <w:t xml:space="preserve"> legitimate question </w:t>
      </w:r>
      <w:r w:rsidR="007E097A" w:rsidRPr="00914BAB">
        <w:rPr>
          <w:sz w:val="24"/>
        </w:rPr>
        <w:t xml:space="preserve">is </w:t>
      </w:r>
      <w:r w:rsidRPr="00914BAB">
        <w:rPr>
          <w:sz w:val="24"/>
        </w:rPr>
        <w:t xml:space="preserve">why sufficient action is not already underway. </w:t>
      </w:r>
      <w:r w:rsidR="001D53BA" w:rsidRPr="00914BAB">
        <w:rPr>
          <w:sz w:val="24"/>
        </w:rPr>
        <w:t xml:space="preserve">There are, in practice, various reasons for this, including a lack of awareness of environmental and economic benefits; split incentives between renters and occupants; and financial barriers relating to initial costs, perceived risks, discount-factor issues, and investors’ short-term financial criteria </w:t>
      </w:r>
      <w:r w:rsidR="001D53BA" w:rsidRPr="00914BAB">
        <w:rPr>
          <w:noProof/>
          <w:sz w:val="24"/>
        </w:rPr>
        <w:t>(Edenhofer et al., 2014)</w:t>
      </w:r>
      <w:r w:rsidR="001D53BA" w:rsidRPr="00914BAB">
        <w:rPr>
          <w:sz w:val="24"/>
        </w:rPr>
        <w:t>.</w:t>
      </w:r>
      <w:r w:rsidR="007E097A" w:rsidRPr="00914BAB">
        <w:rPr>
          <w:sz w:val="24"/>
        </w:rPr>
        <w:t xml:space="preserve"> In particular, t</w:t>
      </w:r>
      <w:r w:rsidR="00633DBE" w:rsidRPr="00914BAB">
        <w:rPr>
          <w:sz w:val="24"/>
        </w:rPr>
        <w:t xml:space="preserve">he importance of </w:t>
      </w:r>
      <w:r w:rsidR="007E097A" w:rsidRPr="00914BAB">
        <w:rPr>
          <w:sz w:val="24"/>
        </w:rPr>
        <w:t xml:space="preserve">the choice of </w:t>
      </w:r>
      <w:r w:rsidR="00633DBE" w:rsidRPr="00914BAB">
        <w:rPr>
          <w:sz w:val="24"/>
        </w:rPr>
        <w:t>discount rate</w:t>
      </w:r>
      <w:r w:rsidR="007E097A" w:rsidRPr="00914BAB">
        <w:rPr>
          <w:sz w:val="24"/>
        </w:rPr>
        <w:t xml:space="preserve"> in</w:t>
      </w:r>
      <w:r w:rsidR="00633DBE" w:rsidRPr="00914BAB">
        <w:rPr>
          <w:sz w:val="24"/>
        </w:rPr>
        <w:t xml:space="preserve"> analysing long-term</w:t>
      </w:r>
      <w:r w:rsidRPr="00914BAB">
        <w:rPr>
          <w:sz w:val="24"/>
        </w:rPr>
        <w:t xml:space="preserve"> investment programmes</w:t>
      </w:r>
      <w:r w:rsidR="00633DBE" w:rsidRPr="00914BAB">
        <w:rPr>
          <w:sz w:val="24"/>
        </w:rPr>
        <w:t xml:space="preserve"> such as these</w:t>
      </w:r>
      <w:r w:rsidR="007E097A" w:rsidRPr="00914BAB">
        <w:rPr>
          <w:sz w:val="24"/>
        </w:rPr>
        <w:t xml:space="preserve"> – </w:t>
      </w:r>
      <w:r w:rsidRPr="00914BAB">
        <w:rPr>
          <w:sz w:val="24"/>
        </w:rPr>
        <w:t>which span</w:t>
      </w:r>
      <w:r w:rsidR="007E097A" w:rsidRPr="00914BAB">
        <w:rPr>
          <w:sz w:val="24"/>
        </w:rPr>
        <w:t xml:space="preserve"> over</w:t>
      </w:r>
      <w:r w:rsidRPr="00914BAB">
        <w:rPr>
          <w:sz w:val="24"/>
        </w:rPr>
        <w:t xml:space="preserve"> three</w:t>
      </w:r>
      <w:r w:rsidR="00633DBE" w:rsidRPr="00914BAB">
        <w:rPr>
          <w:sz w:val="24"/>
        </w:rPr>
        <w:t xml:space="preserve"> decades </w:t>
      </w:r>
      <w:r w:rsidR="007E097A" w:rsidRPr="00914BAB">
        <w:rPr>
          <w:sz w:val="24"/>
        </w:rPr>
        <w:t>into the future – cannot be overstated. Our central value of 3% (real) is lower than typically used in the private sector</w:t>
      </w:r>
      <w:r w:rsidR="007517E6" w:rsidRPr="00914BAB">
        <w:rPr>
          <w:sz w:val="24"/>
        </w:rPr>
        <w:t>,</w:t>
      </w:r>
      <w:r w:rsidR="00633DBE" w:rsidRPr="00914BAB">
        <w:rPr>
          <w:sz w:val="24"/>
        </w:rPr>
        <w:t xml:space="preserve"> </w:t>
      </w:r>
      <w:r w:rsidR="007E097A" w:rsidRPr="00914BAB">
        <w:rPr>
          <w:sz w:val="24"/>
        </w:rPr>
        <w:t>even accounting for the fact that this real value excludes inflation</w:t>
      </w:r>
      <w:r w:rsidR="007517E6" w:rsidRPr="00914BAB">
        <w:rPr>
          <w:sz w:val="24"/>
        </w:rPr>
        <w:t>.</w:t>
      </w:r>
      <w:r w:rsidR="007E097A" w:rsidRPr="00914BAB">
        <w:rPr>
          <w:sz w:val="24"/>
        </w:rPr>
        <w:t xml:space="preserve"> </w:t>
      </w:r>
      <w:r w:rsidR="007517E6" w:rsidRPr="00914BAB">
        <w:rPr>
          <w:sz w:val="24"/>
        </w:rPr>
        <w:t xml:space="preserve">Therefore, unless such investments remain economically beneficial under higher discount rates, the responsibility to act may fall upon the </w:t>
      </w:r>
      <w:r w:rsidR="00633DBE" w:rsidRPr="00914BAB">
        <w:rPr>
          <w:sz w:val="24"/>
        </w:rPr>
        <w:t xml:space="preserve">public </w:t>
      </w:r>
      <w:r w:rsidR="007517E6" w:rsidRPr="00914BAB">
        <w:rPr>
          <w:sz w:val="24"/>
        </w:rPr>
        <w:t>sector. I</w:t>
      </w:r>
      <w:r w:rsidR="00633DBE" w:rsidRPr="00914BAB">
        <w:rPr>
          <w:sz w:val="24"/>
        </w:rPr>
        <w:t>n</w:t>
      </w:r>
      <w:r w:rsidR="007517E6" w:rsidRPr="00914BAB">
        <w:rPr>
          <w:sz w:val="24"/>
        </w:rPr>
        <w:t xml:space="preserve"> this case, however, </w:t>
      </w:r>
      <w:r w:rsidR="00633DBE" w:rsidRPr="00914BAB">
        <w:rPr>
          <w:sz w:val="24"/>
        </w:rPr>
        <w:t>the</w:t>
      </w:r>
      <w:r w:rsidR="007517E6" w:rsidRPr="00914BAB">
        <w:rPr>
          <w:sz w:val="24"/>
        </w:rPr>
        <w:t xml:space="preserve"> case for investment is strengthened considerably by the numerous co-benefits of such measures as these are most likely accrued by the same public institution</w:t>
      </w:r>
      <w:r w:rsidR="0088366F" w:rsidRPr="00914BAB">
        <w:rPr>
          <w:sz w:val="24"/>
        </w:rPr>
        <w:t xml:space="preserve"> (NCE 2015)</w:t>
      </w:r>
      <w:r w:rsidR="007517E6" w:rsidRPr="00914BAB">
        <w:rPr>
          <w:sz w:val="24"/>
        </w:rPr>
        <w:t>. In contrast, narrow private cases for investment</w:t>
      </w:r>
      <w:r w:rsidR="0088366F" w:rsidRPr="00914BAB">
        <w:rPr>
          <w:sz w:val="24"/>
        </w:rPr>
        <w:t>, which</w:t>
      </w:r>
      <w:r w:rsidR="007517E6" w:rsidRPr="00914BAB">
        <w:rPr>
          <w:sz w:val="24"/>
        </w:rPr>
        <w:t xml:space="preserve"> depend upon self-interested motivations, may consider such wider benefits as irrelevant to investment decision</w:t>
      </w:r>
      <w:r w:rsidR="00F86C64" w:rsidRPr="00914BAB">
        <w:rPr>
          <w:sz w:val="24"/>
        </w:rPr>
        <w:t>-making</w:t>
      </w:r>
      <w:r w:rsidR="007517E6" w:rsidRPr="00914BAB">
        <w:rPr>
          <w:sz w:val="24"/>
        </w:rPr>
        <w:t>.</w:t>
      </w:r>
    </w:p>
    <w:p w14:paraId="515DF235" w14:textId="77777777" w:rsidR="000965A2" w:rsidRPr="00914BAB" w:rsidRDefault="000965A2" w:rsidP="000965A2">
      <w:pPr>
        <w:rPr>
          <w:sz w:val="24"/>
          <w:shd w:val="clear" w:color="auto" w:fill="FFFFFF"/>
        </w:rPr>
      </w:pPr>
    </w:p>
    <w:p w14:paraId="5504C1B1" w14:textId="3DC0BCB4" w:rsidR="000965A2" w:rsidRPr="00914BAB" w:rsidRDefault="007B3FFB" w:rsidP="007B3FFB">
      <w:pPr>
        <w:pStyle w:val="Heading2"/>
        <w:rPr>
          <w:szCs w:val="24"/>
        </w:rPr>
      </w:pPr>
      <w:bookmarkStart w:id="19" w:name="_Toc292953285"/>
      <w:r w:rsidRPr="00914BAB">
        <w:rPr>
          <w:szCs w:val="24"/>
        </w:rPr>
        <w:t>Sensitivity Analysis</w:t>
      </w:r>
      <w:bookmarkEnd w:id="19"/>
    </w:p>
    <w:p w14:paraId="5A4629C4" w14:textId="5ACEDB98" w:rsidR="009973AB" w:rsidRPr="00914BAB" w:rsidRDefault="009973AB" w:rsidP="009973AB">
      <w:pPr>
        <w:rPr>
          <w:sz w:val="24"/>
          <w:shd w:val="clear" w:color="auto" w:fill="FFFFFF"/>
        </w:rPr>
      </w:pPr>
      <w:r w:rsidRPr="00914BAB">
        <w:rPr>
          <w:iCs/>
          <w:sz w:val="24"/>
          <w:shd w:val="clear" w:color="auto" w:fill="FFFFFF"/>
        </w:rPr>
        <w:t xml:space="preserve">To understand the sensitivities of these results we consider the economic case under a range of energy prices, interest rates and learning rates (Figure 1). </w:t>
      </w:r>
      <w:r w:rsidRPr="00914BAB">
        <w:rPr>
          <w:sz w:val="24"/>
          <w:shd w:val="clear" w:color="auto" w:fill="FFFFFF"/>
        </w:rPr>
        <w:t xml:space="preserve">Our analysis suggests that across the sectors and measures under consideration, all measures would generate </w:t>
      </w:r>
      <w:r w:rsidRPr="00914BAB">
        <w:rPr>
          <w:sz w:val="24"/>
          <w:shd w:val="clear" w:color="auto" w:fill="FFFFFF"/>
        </w:rPr>
        <w:lastRenderedPageBreak/>
        <w:t>positive net economic returns in the period to 2050 in a scenario with higher energy prices and more rapid technological learning rates. With these more favourable conditions, the current value of the stream of savings that the investments outlined above would generate in the period through to 2050 would be $</w:t>
      </w:r>
      <w:r w:rsidR="00EB0372" w:rsidRPr="00914BAB">
        <w:rPr>
          <w:sz w:val="24"/>
          <w:shd w:val="clear" w:color="auto" w:fill="FFFFFF"/>
        </w:rPr>
        <w:t>21.9</w:t>
      </w:r>
      <w:r w:rsidRPr="00914BAB">
        <w:rPr>
          <w:sz w:val="24"/>
          <w:shd w:val="clear" w:color="auto" w:fill="FFFFFF"/>
        </w:rPr>
        <w:t xml:space="preserve"> trillion, even with a higher discount rate of 5%. In a less favourable scenario with lower energy prices and slower rates of technological learning, this bundle of measures would still have an NPV of $</w:t>
      </w:r>
      <w:r w:rsidR="00EB0372" w:rsidRPr="00914BAB">
        <w:rPr>
          <w:sz w:val="24"/>
          <w:shd w:val="clear" w:color="auto" w:fill="FFFFFF"/>
        </w:rPr>
        <w:t>13</w:t>
      </w:r>
      <w:r w:rsidRPr="00914BAB">
        <w:rPr>
          <w:sz w:val="24"/>
          <w:shd w:val="clear" w:color="auto" w:fill="FFFFFF"/>
        </w:rPr>
        <w:t>.</w:t>
      </w:r>
      <w:r w:rsidR="00EB0372" w:rsidRPr="00914BAB">
        <w:rPr>
          <w:sz w:val="24"/>
          <w:shd w:val="clear" w:color="auto" w:fill="FFFFFF"/>
        </w:rPr>
        <w:t>1</w:t>
      </w:r>
      <w:r w:rsidRPr="00914BAB">
        <w:rPr>
          <w:sz w:val="24"/>
          <w:shd w:val="clear" w:color="auto" w:fill="FFFFFF"/>
        </w:rPr>
        <w:t xml:space="preserve"> trillion with a discount interest rate of 1.4%.  </w:t>
      </w:r>
    </w:p>
    <w:p w14:paraId="2AA40B48" w14:textId="77777777" w:rsidR="007B3FFB" w:rsidRPr="00914BAB" w:rsidRDefault="007B3FFB" w:rsidP="007B3FFB">
      <w:pPr>
        <w:jc w:val="center"/>
        <w:rPr>
          <w:sz w:val="24"/>
          <w:shd w:val="clear" w:color="auto" w:fill="FFFFFF"/>
        </w:rPr>
      </w:pPr>
      <w:r w:rsidRPr="00914BAB">
        <w:rPr>
          <w:noProof/>
          <w:sz w:val="24"/>
          <w:lang w:val="en-US" w:eastAsia="en-US"/>
        </w:rPr>
        <w:drawing>
          <wp:inline distT="0" distB="0" distL="0" distR="0" wp14:anchorId="3D0FCE8A" wp14:editId="3C6E712F">
            <wp:extent cx="4004983" cy="3634433"/>
            <wp:effectExtent l="0" t="0" r="14605"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51895E" w14:textId="198CB252" w:rsidR="007B3FFB" w:rsidRPr="00914BAB" w:rsidRDefault="007B3FFB" w:rsidP="007B3FFB">
      <w:pPr>
        <w:rPr>
          <w:b/>
          <w:bCs/>
          <w:sz w:val="24"/>
          <w:shd w:val="clear" w:color="auto" w:fill="FFFFFF"/>
        </w:rPr>
      </w:pPr>
      <w:r w:rsidRPr="00914BAB">
        <w:rPr>
          <w:b/>
          <w:bCs/>
          <w:sz w:val="24"/>
          <w:shd w:val="clear" w:color="auto" w:fill="FFFFFF"/>
        </w:rPr>
        <w:t xml:space="preserve">Figure </w:t>
      </w:r>
      <w:r w:rsidRPr="00914BAB">
        <w:rPr>
          <w:b/>
          <w:bCs/>
          <w:sz w:val="24"/>
          <w:shd w:val="clear" w:color="auto" w:fill="FFFFFF"/>
        </w:rPr>
        <w:fldChar w:fldCharType="begin"/>
      </w:r>
      <w:r w:rsidRPr="00914BAB">
        <w:rPr>
          <w:b/>
          <w:bCs/>
          <w:sz w:val="24"/>
          <w:shd w:val="clear" w:color="auto" w:fill="FFFFFF"/>
        </w:rPr>
        <w:instrText xml:space="preserve"> SEQ Figure \* ARABIC </w:instrText>
      </w:r>
      <w:r w:rsidRPr="00914BAB">
        <w:rPr>
          <w:b/>
          <w:bCs/>
          <w:sz w:val="24"/>
          <w:shd w:val="clear" w:color="auto" w:fill="FFFFFF"/>
        </w:rPr>
        <w:fldChar w:fldCharType="separate"/>
      </w:r>
      <w:r w:rsidRPr="00914BAB">
        <w:rPr>
          <w:b/>
          <w:bCs/>
          <w:noProof/>
          <w:sz w:val="24"/>
          <w:shd w:val="clear" w:color="auto" w:fill="FFFFFF"/>
        </w:rPr>
        <w:t>1</w:t>
      </w:r>
      <w:r w:rsidRPr="00914BAB">
        <w:rPr>
          <w:sz w:val="24"/>
          <w:shd w:val="clear" w:color="auto" w:fill="FFFFFF"/>
        </w:rPr>
        <w:fldChar w:fldCharType="end"/>
      </w:r>
      <w:r w:rsidRPr="00914BAB">
        <w:rPr>
          <w:b/>
          <w:bCs/>
          <w:sz w:val="24"/>
          <w:shd w:val="clear" w:color="auto" w:fill="FFFFFF"/>
        </w:rPr>
        <w:t>. The net present value (NPV) of the urban mitigation scenario in the transport, buildings and waste sectors between 2015 and 2050. Under the ‘low’, ‘medium’ and ‘high’ scenarios, the real discount rates used are 1.4%, 3% and 5%, and the increases in real energy prices are 1%, 2.5% and 4%. Learning rates are sector- and technology- specific. These are conservative estimates that exclude significant economic savings from infrastructure not built and energy savings beyond 20</w:t>
      </w:r>
      <w:r w:rsidR="007721A6" w:rsidRPr="00914BAB">
        <w:rPr>
          <w:b/>
          <w:bCs/>
          <w:sz w:val="24"/>
          <w:shd w:val="clear" w:color="auto" w:fill="FFFFFF"/>
        </w:rPr>
        <w:t>5</w:t>
      </w:r>
      <w:r w:rsidRPr="00914BAB">
        <w:rPr>
          <w:b/>
          <w:bCs/>
          <w:sz w:val="24"/>
          <w:shd w:val="clear" w:color="auto" w:fill="FFFFFF"/>
        </w:rPr>
        <w:t>0.</w:t>
      </w:r>
    </w:p>
    <w:p w14:paraId="0B11F886" w14:textId="77777777" w:rsidR="007B3FFB" w:rsidRPr="00914BAB" w:rsidRDefault="007B3FFB" w:rsidP="009973AB">
      <w:pPr>
        <w:rPr>
          <w:sz w:val="24"/>
          <w:shd w:val="clear" w:color="auto" w:fill="FFFFFF"/>
        </w:rPr>
      </w:pPr>
    </w:p>
    <w:p w14:paraId="249AF5A8" w14:textId="3305E11B" w:rsidR="002F5615" w:rsidRPr="00914BAB" w:rsidRDefault="004679F0" w:rsidP="002F5615">
      <w:pPr>
        <w:pStyle w:val="Heading2"/>
        <w:rPr>
          <w:szCs w:val="24"/>
        </w:rPr>
      </w:pPr>
      <w:bookmarkStart w:id="20" w:name="_Toc292953286"/>
      <w:r>
        <w:rPr>
          <w:szCs w:val="24"/>
        </w:rPr>
        <w:t>Comparisons with other a</w:t>
      </w:r>
      <w:r w:rsidR="002F5615" w:rsidRPr="00914BAB">
        <w:rPr>
          <w:szCs w:val="24"/>
        </w:rPr>
        <w:t>ssessments</w:t>
      </w:r>
      <w:bookmarkEnd w:id="20"/>
    </w:p>
    <w:p w14:paraId="02B5A568" w14:textId="62C4A0C1" w:rsidR="00981AEF" w:rsidRPr="00914BAB" w:rsidRDefault="00981AEF" w:rsidP="003010D7">
      <w:pPr>
        <w:rPr>
          <w:sz w:val="24"/>
          <w:shd w:val="clear" w:color="auto" w:fill="FFFFFF"/>
        </w:rPr>
      </w:pPr>
      <w:r w:rsidRPr="00914BAB">
        <w:rPr>
          <w:sz w:val="24"/>
          <w:shd w:val="clear" w:color="auto" w:fill="FFFFFF"/>
        </w:rPr>
        <w:t xml:space="preserve">These investment numbers provide more detail to the values provided in the first New Climate Report, where it was estimated that USD $93 trillion will need to be spent to achieve a low carbon transition by 2030. In </w:t>
      </w:r>
      <w:r w:rsidR="003010D7" w:rsidRPr="00914BAB">
        <w:rPr>
          <w:sz w:val="24"/>
          <w:shd w:val="clear" w:color="auto" w:fill="FFFFFF"/>
        </w:rPr>
        <w:t>NCE</w:t>
      </w:r>
      <w:r w:rsidRPr="00914BAB">
        <w:rPr>
          <w:sz w:val="24"/>
          <w:shd w:val="clear" w:color="auto" w:fill="FFFFFF"/>
        </w:rPr>
        <w:t xml:space="preserve"> (2014) total additional investment costs of $4.1 trillion are estimated to be required between 2015 and 2030 ‒ an increase of less than 5% on baseline levels ‒ with USD $4.73, $3.46, and $0.61 trillion required in the buildings, transport, and industry sectors, respectively. Additionally, savings of USD $3 trillion are generated from more compact, connected urban development. These figures are based on a </w:t>
      </w:r>
      <w:r w:rsidRPr="00914BAB">
        <w:rPr>
          <w:sz w:val="24"/>
          <w:shd w:val="clear" w:color="auto" w:fill="FFFFFF"/>
        </w:rPr>
        <w:lastRenderedPageBreak/>
        <w:t>transition from the 6DS to 2DS scenario of the IEA's Energy Technology Perspectives. It should be noted that these estimates are intended to provide a broad indication of the approximate magnitude of investment. </w:t>
      </w:r>
    </w:p>
    <w:p w14:paraId="0D9742CD" w14:textId="4C879F2F" w:rsidR="00981AEF" w:rsidRPr="00914BAB" w:rsidRDefault="00981AEF" w:rsidP="00110D69">
      <w:pPr>
        <w:rPr>
          <w:sz w:val="24"/>
          <w:shd w:val="clear" w:color="auto" w:fill="FFFFFF"/>
        </w:rPr>
      </w:pPr>
      <w:r w:rsidRPr="00914BAB">
        <w:rPr>
          <w:sz w:val="24"/>
          <w:shd w:val="clear" w:color="auto" w:fill="FFFFFF"/>
        </w:rPr>
        <w:t xml:space="preserve">Investment numbers provided in this work are significantly larger, but well within the expected range of uncertainty. On an annual basis additional investment rises </w:t>
      </w:r>
      <w:r w:rsidR="00110D69" w:rsidRPr="00914BAB">
        <w:rPr>
          <w:sz w:val="24"/>
          <w:shd w:val="clear" w:color="auto" w:fill="FFFFFF"/>
        </w:rPr>
        <w:t>to USD $0.97 trillion overall – up from the USD $0.27 trillion e</w:t>
      </w:r>
      <w:r w:rsidR="00264401" w:rsidRPr="00914BAB">
        <w:rPr>
          <w:sz w:val="24"/>
          <w:shd w:val="clear" w:color="auto" w:fill="FFFFFF"/>
        </w:rPr>
        <w:t>stimated in the previous report,</w:t>
      </w:r>
      <w:r w:rsidRPr="00914BAB">
        <w:rPr>
          <w:sz w:val="24"/>
          <w:shd w:val="clear" w:color="auto" w:fill="FFFFFF"/>
        </w:rPr>
        <w:t xml:space="preserve"> even though industry investment is not included in this analysis and a baseline of 4DS scenario, rather than the 6DS scenario, from the IEA's Energy Technology Perspectives (2012), is used. Within sectors, incremental annual investment rises from USD $0.32 trillion to USD $0.68 trillion in the buildings sector and from USD $0.23 trillion to $0.30 trillion in the transport sector. Investments in the waste sector are not included in the original NCE analysis and are relatively small in this analysis. </w:t>
      </w:r>
    </w:p>
    <w:p w14:paraId="275F00FD" w14:textId="042D433D" w:rsidR="00981AEF" w:rsidRPr="00914BAB" w:rsidRDefault="00981AEF" w:rsidP="007B3FFB">
      <w:pPr>
        <w:rPr>
          <w:iCs/>
          <w:sz w:val="24"/>
          <w:shd w:val="clear" w:color="auto" w:fill="FFFFFF"/>
        </w:rPr>
      </w:pPr>
      <w:r w:rsidRPr="00914BAB">
        <w:rPr>
          <w:sz w:val="24"/>
          <w:shd w:val="clear" w:color="auto" w:fill="FFFFFF"/>
        </w:rPr>
        <w:t>These differences reflect a more conservative approach to the total investment requirements employed to provide a clear link between investments in low carbon measures and savings in energy. For example, in the transport sector, investment saved from vehicles not purchased was included in the first NCE analysis but not in this this analysis, and costs for the 'urban planning' measure were not estimated in contrast to a net investment savings of USD $3 trillion in the first analysis. In the buildings sector, investments in heating retrofits were included even though this measure is relatively costly and generates relatively small carbon savings.</w:t>
      </w:r>
    </w:p>
    <w:p w14:paraId="50BD33B2" w14:textId="79D7BD87" w:rsidR="009973AB" w:rsidRPr="00914BAB" w:rsidRDefault="00981AEF" w:rsidP="007B3FFB">
      <w:pPr>
        <w:rPr>
          <w:iCs/>
          <w:sz w:val="24"/>
          <w:shd w:val="clear" w:color="auto" w:fill="FFFFFF"/>
        </w:rPr>
      </w:pPr>
      <w:r w:rsidRPr="00914BAB">
        <w:rPr>
          <w:iCs/>
          <w:sz w:val="24"/>
          <w:shd w:val="clear" w:color="auto" w:fill="FFFFFF"/>
        </w:rPr>
        <w:t xml:space="preserve">Similar results are found on a sector basis. </w:t>
      </w:r>
      <w:r w:rsidR="009973AB" w:rsidRPr="00914BAB">
        <w:rPr>
          <w:sz w:val="24"/>
          <w:shd w:val="clear" w:color="auto" w:fill="FFFFFF"/>
        </w:rPr>
        <w:t>Our estimate of the additional costs of low carbon options in the transport sector is broadly similar to estimates that have been developed by other instituti</w:t>
      </w:r>
      <w:r w:rsidR="00B26608" w:rsidRPr="00914BAB">
        <w:rPr>
          <w:sz w:val="24"/>
          <w:shd w:val="clear" w:color="auto" w:fill="FFFFFF"/>
        </w:rPr>
        <w:t xml:space="preserve">ons (see </w:t>
      </w:r>
      <w:proofErr w:type="spellStart"/>
      <w:r w:rsidR="00B26608" w:rsidRPr="00914BAB">
        <w:rPr>
          <w:sz w:val="24"/>
          <w:shd w:val="clear" w:color="auto" w:fill="FFFFFF"/>
        </w:rPr>
        <w:t>Dulac</w:t>
      </w:r>
      <w:proofErr w:type="spellEnd"/>
      <w:r w:rsidR="00B26608" w:rsidRPr="00914BAB">
        <w:rPr>
          <w:sz w:val="24"/>
          <w:shd w:val="clear" w:color="auto" w:fill="FFFFFF"/>
        </w:rPr>
        <w:t xml:space="preserve"> 2012; IEA 2012; IEA 2014; </w:t>
      </w:r>
      <w:proofErr w:type="spellStart"/>
      <w:r w:rsidR="00B26608" w:rsidRPr="00914BAB">
        <w:rPr>
          <w:sz w:val="24"/>
          <w:shd w:val="clear" w:color="auto" w:fill="FFFFFF"/>
        </w:rPr>
        <w:t>Replogle</w:t>
      </w:r>
      <w:proofErr w:type="spellEnd"/>
      <w:r w:rsidR="00B26608" w:rsidRPr="00914BAB">
        <w:rPr>
          <w:sz w:val="24"/>
          <w:shd w:val="clear" w:color="auto" w:fill="FFFFFF"/>
        </w:rPr>
        <w:t xml:space="preserve"> and Fulton</w:t>
      </w:r>
      <w:r w:rsidR="009973AB" w:rsidRPr="00914BAB">
        <w:rPr>
          <w:sz w:val="24"/>
          <w:shd w:val="clear" w:color="auto" w:fill="FFFFFF"/>
        </w:rPr>
        <w:t xml:space="preserve"> 2014)</w:t>
      </w:r>
      <w:r w:rsidRPr="00914BAB">
        <w:rPr>
          <w:sz w:val="24"/>
          <w:shd w:val="clear" w:color="auto" w:fill="FFFFFF"/>
        </w:rPr>
        <w:t xml:space="preserve">. </w:t>
      </w:r>
      <w:r w:rsidR="009973AB" w:rsidRPr="00914BAB">
        <w:rPr>
          <w:sz w:val="24"/>
          <w:shd w:val="clear" w:color="auto" w:fill="FFFFFF"/>
        </w:rPr>
        <w:t xml:space="preserve">IEA </w:t>
      </w:r>
      <w:r w:rsidRPr="00914BAB">
        <w:rPr>
          <w:sz w:val="24"/>
          <w:shd w:val="clear" w:color="auto" w:fill="FFFFFF"/>
        </w:rPr>
        <w:t xml:space="preserve">(2014) </w:t>
      </w:r>
      <w:r w:rsidR="009973AB" w:rsidRPr="00914BAB">
        <w:rPr>
          <w:sz w:val="24"/>
          <w:shd w:val="clear" w:color="auto" w:fill="FFFFFF"/>
        </w:rPr>
        <w:t>estimate</w:t>
      </w:r>
      <w:r w:rsidRPr="00914BAB">
        <w:rPr>
          <w:sz w:val="24"/>
          <w:shd w:val="clear" w:color="auto" w:fill="FFFFFF"/>
        </w:rPr>
        <w:t>s</w:t>
      </w:r>
      <w:r w:rsidR="009973AB" w:rsidRPr="00914BAB">
        <w:rPr>
          <w:sz w:val="24"/>
          <w:shd w:val="clear" w:color="auto" w:fill="FFFFFF"/>
        </w:rPr>
        <w:t xml:space="preserve"> that the 2DS pathway will cost 2 trillion USD per year </w:t>
      </w:r>
      <w:r w:rsidR="007B3FFB" w:rsidRPr="00914BAB">
        <w:rPr>
          <w:sz w:val="24"/>
          <w:shd w:val="clear" w:color="auto" w:fill="FFFFFF"/>
        </w:rPr>
        <w:t xml:space="preserve">from </w:t>
      </w:r>
      <w:r w:rsidR="009973AB" w:rsidRPr="00914BAB">
        <w:rPr>
          <w:sz w:val="24"/>
          <w:shd w:val="clear" w:color="auto" w:fill="FFFFFF"/>
        </w:rPr>
        <w:t>2011-2050, or an additional cost of 0.5 trillion USD</w:t>
      </w:r>
      <w:r w:rsidR="007B3FFB" w:rsidRPr="00914BAB">
        <w:rPr>
          <w:sz w:val="24"/>
          <w:shd w:val="clear" w:color="auto" w:fill="FFFFFF"/>
        </w:rPr>
        <w:t xml:space="preserve"> per year relative to the 6DS scenario (IEA 2014a)</w:t>
      </w:r>
      <w:r w:rsidR="009973AB" w:rsidRPr="00914BAB">
        <w:rPr>
          <w:sz w:val="24"/>
          <w:shd w:val="clear" w:color="auto" w:fill="FFFFFF"/>
        </w:rPr>
        <w:t>. These estimates include production cost</w:t>
      </w:r>
      <w:r w:rsidR="007B3FFB" w:rsidRPr="00914BAB">
        <w:rPr>
          <w:sz w:val="24"/>
          <w:shd w:val="clear" w:color="auto" w:fill="FFFFFF"/>
        </w:rPr>
        <w:t>s</w:t>
      </w:r>
      <w:r w:rsidR="009973AB" w:rsidRPr="00914BAB">
        <w:rPr>
          <w:sz w:val="24"/>
          <w:shd w:val="clear" w:color="auto" w:fill="FFFFFF"/>
        </w:rPr>
        <w:t xml:space="preserve"> for light- and heavy-duty vehicles, bus and rail networks, aircraft, and ships. Our estimate, which follows the IEA 2DS scenario but does not include aircraft or ships, applies only to cities, and looks at the cost of a shift from the 4DS, rather than 6DS scenario, requires an average of 0.3 trillion USD in investment. Notably, in both cases the value</w:t>
      </w:r>
      <w:r w:rsidR="007B3FFB" w:rsidRPr="00914BAB">
        <w:rPr>
          <w:sz w:val="24"/>
          <w:shd w:val="clear" w:color="auto" w:fill="FFFFFF"/>
        </w:rPr>
        <w:t>s</w:t>
      </w:r>
      <w:r w:rsidR="009973AB" w:rsidRPr="00914BAB">
        <w:rPr>
          <w:sz w:val="24"/>
          <w:shd w:val="clear" w:color="auto" w:fill="FFFFFF"/>
        </w:rPr>
        <w:t xml:space="preserve"> of</w:t>
      </w:r>
      <w:r w:rsidR="007B3FFB" w:rsidRPr="00914BAB">
        <w:rPr>
          <w:sz w:val="24"/>
          <w:shd w:val="clear" w:color="auto" w:fill="FFFFFF"/>
        </w:rPr>
        <w:t xml:space="preserve"> avoided</w:t>
      </w:r>
      <w:r w:rsidR="009973AB" w:rsidRPr="00914BAB">
        <w:rPr>
          <w:sz w:val="24"/>
          <w:shd w:val="clear" w:color="auto" w:fill="FFFFFF"/>
        </w:rPr>
        <w:t xml:space="preserve"> investments are not included in </w:t>
      </w:r>
      <w:r w:rsidR="007B3FFB" w:rsidRPr="00914BAB">
        <w:rPr>
          <w:sz w:val="24"/>
          <w:shd w:val="clear" w:color="auto" w:fill="FFFFFF"/>
        </w:rPr>
        <w:t>the estimates</w:t>
      </w:r>
      <w:r w:rsidR="009973AB" w:rsidRPr="00914BAB">
        <w:rPr>
          <w:sz w:val="24"/>
          <w:shd w:val="clear" w:color="auto" w:fill="FFFFFF"/>
        </w:rPr>
        <w:t xml:space="preserve">. Estimates </w:t>
      </w:r>
      <w:r w:rsidR="007B3FFB" w:rsidRPr="00914BAB">
        <w:rPr>
          <w:sz w:val="24"/>
          <w:shd w:val="clear" w:color="auto" w:fill="FFFFFF"/>
        </w:rPr>
        <w:t xml:space="preserve">that do </w:t>
      </w:r>
      <w:r w:rsidR="009973AB" w:rsidRPr="00914BAB">
        <w:rPr>
          <w:sz w:val="24"/>
          <w:shd w:val="clear" w:color="auto" w:fill="FFFFFF"/>
        </w:rPr>
        <w:t>value these</w:t>
      </w:r>
      <w:r w:rsidR="007B3FFB" w:rsidRPr="00914BAB">
        <w:rPr>
          <w:sz w:val="24"/>
          <w:shd w:val="clear" w:color="auto" w:fill="FFFFFF"/>
        </w:rPr>
        <w:t xml:space="preserve"> </w:t>
      </w:r>
      <w:r w:rsidR="009973AB" w:rsidRPr="00914BAB">
        <w:rPr>
          <w:sz w:val="24"/>
          <w:shd w:val="clear" w:color="auto" w:fill="FFFFFF"/>
        </w:rPr>
        <w:t>investment</w:t>
      </w:r>
      <w:r w:rsidR="007B3FFB" w:rsidRPr="00914BAB">
        <w:rPr>
          <w:sz w:val="24"/>
          <w:shd w:val="clear" w:color="auto" w:fill="FFFFFF"/>
        </w:rPr>
        <w:t>s</w:t>
      </w:r>
      <w:r w:rsidR="009973AB" w:rsidRPr="00914BAB">
        <w:rPr>
          <w:sz w:val="24"/>
          <w:shd w:val="clear" w:color="auto" w:fill="FFFFFF"/>
        </w:rPr>
        <w:t xml:space="preserve"> have found the net capital cost of transport mitigation scenarios to be negative. </w:t>
      </w:r>
      <w:proofErr w:type="spellStart"/>
      <w:r w:rsidR="009973AB" w:rsidRPr="00914BAB">
        <w:rPr>
          <w:sz w:val="24"/>
          <w:shd w:val="clear" w:color="auto" w:fill="FFFFFF"/>
        </w:rPr>
        <w:t>Dulac</w:t>
      </w:r>
      <w:proofErr w:type="spellEnd"/>
      <w:r w:rsidR="009973AB" w:rsidRPr="00914BAB">
        <w:rPr>
          <w:sz w:val="24"/>
          <w:shd w:val="clear" w:color="auto" w:fill="FFFFFF"/>
        </w:rPr>
        <w:t xml:space="preserve"> (2014), for example, finds that the 2012 IEA 2DS scenario, when </w:t>
      </w:r>
      <w:r w:rsidR="007B3FFB" w:rsidRPr="00914BAB">
        <w:rPr>
          <w:sz w:val="24"/>
          <w:shd w:val="clear" w:color="auto" w:fill="FFFFFF"/>
        </w:rPr>
        <w:t>avoided</w:t>
      </w:r>
      <w:r w:rsidR="009973AB" w:rsidRPr="00914BAB">
        <w:rPr>
          <w:sz w:val="24"/>
          <w:shd w:val="clear" w:color="auto" w:fill="FFFFFF"/>
        </w:rPr>
        <w:t xml:space="preserve"> parking and road infrastructure investments are included, amounts to a savings of 20 trillion USD through</w:t>
      </w:r>
      <w:r w:rsidR="007B3FFB" w:rsidRPr="00914BAB">
        <w:rPr>
          <w:sz w:val="24"/>
          <w:shd w:val="clear" w:color="auto" w:fill="FFFFFF"/>
        </w:rPr>
        <w:t xml:space="preserve"> to</w:t>
      </w:r>
      <w:r w:rsidR="009973AB" w:rsidRPr="00914BAB">
        <w:rPr>
          <w:sz w:val="24"/>
          <w:shd w:val="clear" w:color="auto" w:fill="FFFFFF"/>
        </w:rPr>
        <w:t xml:space="preserve"> 2050. Similarly, </w:t>
      </w:r>
      <w:proofErr w:type="spellStart"/>
      <w:r w:rsidR="009973AB" w:rsidRPr="00914BAB">
        <w:rPr>
          <w:sz w:val="24"/>
          <w:shd w:val="clear" w:color="auto" w:fill="FFFFFF"/>
        </w:rPr>
        <w:t>Repogle</w:t>
      </w:r>
      <w:proofErr w:type="spellEnd"/>
      <w:r w:rsidR="009973AB" w:rsidRPr="00914BAB">
        <w:rPr>
          <w:sz w:val="24"/>
          <w:shd w:val="clear" w:color="auto" w:fill="FFFFFF"/>
        </w:rPr>
        <w:t xml:space="preserve"> and Fulton (2014), modelling a high-shift scenario for the transport sector, find that 110 trillion USD, or 22% of transport investment costs, could be saved between 2010 and 2050. Our estimates of the costs of transport mitigation at the city level are therefore somewhat higher as a result of conservative estimates around the cost of individual investments, and by way of not including </w:t>
      </w:r>
      <w:r w:rsidR="007B3FFB" w:rsidRPr="00914BAB">
        <w:rPr>
          <w:sz w:val="24"/>
          <w:shd w:val="clear" w:color="auto" w:fill="FFFFFF"/>
        </w:rPr>
        <w:t xml:space="preserve">avoided </w:t>
      </w:r>
      <w:r w:rsidR="009973AB" w:rsidRPr="00914BAB">
        <w:rPr>
          <w:sz w:val="24"/>
          <w:shd w:val="clear" w:color="auto" w:fill="FFFFFF"/>
        </w:rPr>
        <w:t>infrastructure investment savings.</w:t>
      </w:r>
    </w:p>
    <w:p w14:paraId="7D8DBD01" w14:textId="3ADA1883" w:rsidR="00B26608" w:rsidRPr="00914BAB" w:rsidRDefault="009973AB" w:rsidP="008B5D63">
      <w:pPr>
        <w:rPr>
          <w:sz w:val="24"/>
          <w:shd w:val="clear" w:color="auto" w:fill="FFFFFF"/>
        </w:rPr>
      </w:pPr>
      <w:r w:rsidRPr="00914BAB">
        <w:rPr>
          <w:sz w:val="24"/>
          <w:shd w:val="clear" w:color="auto" w:fill="FFFFFF"/>
        </w:rPr>
        <w:lastRenderedPageBreak/>
        <w:t>In the buildings sector the IEA Energy Technology Perspectives estimates the total cost of the 2DS pathway to be USD $</w:t>
      </w:r>
      <w:r w:rsidR="007B3FFB" w:rsidRPr="00914BAB">
        <w:rPr>
          <w:sz w:val="24"/>
          <w:shd w:val="clear" w:color="auto" w:fill="FFFFFF"/>
        </w:rPr>
        <w:t>0</w:t>
      </w:r>
      <w:r w:rsidRPr="00914BAB">
        <w:rPr>
          <w:sz w:val="24"/>
          <w:shd w:val="clear" w:color="auto" w:fill="FFFFFF"/>
        </w:rPr>
        <w:t>.7 trillion per year and the incremental cost above the 6DS pathway to be USD $</w:t>
      </w:r>
      <w:r w:rsidR="007B3FFB" w:rsidRPr="00914BAB">
        <w:rPr>
          <w:sz w:val="24"/>
          <w:shd w:val="clear" w:color="auto" w:fill="FFFFFF"/>
        </w:rPr>
        <w:t>0</w:t>
      </w:r>
      <w:r w:rsidRPr="00914BAB">
        <w:rPr>
          <w:sz w:val="24"/>
          <w:shd w:val="clear" w:color="auto" w:fill="FFFFFF"/>
        </w:rPr>
        <w:t xml:space="preserve">.3 trillion per year. </w:t>
      </w:r>
      <w:r w:rsidR="00CD43F7" w:rsidRPr="00914BAB">
        <w:rPr>
          <w:sz w:val="24"/>
          <w:shd w:val="clear" w:color="auto" w:fill="FFFFFF"/>
        </w:rPr>
        <w:t>Our e</w:t>
      </w:r>
      <w:r w:rsidRPr="00914BAB">
        <w:rPr>
          <w:sz w:val="24"/>
          <w:shd w:val="clear" w:color="auto" w:fill="FFFFFF"/>
        </w:rPr>
        <w:t>stimates find the incremental cost of the 2DS pathway, using the 4DS pathway as a baseline, to be USD $</w:t>
      </w:r>
      <w:r w:rsidR="007B3FFB" w:rsidRPr="00914BAB">
        <w:rPr>
          <w:sz w:val="24"/>
          <w:shd w:val="clear" w:color="auto" w:fill="FFFFFF"/>
        </w:rPr>
        <w:t>0</w:t>
      </w:r>
      <w:r w:rsidRPr="00914BAB">
        <w:rPr>
          <w:sz w:val="24"/>
          <w:shd w:val="clear" w:color="auto" w:fill="FFFFFF"/>
        </w:rPr>
        <w:t>.7 trillion per year. This value is significantly larger, especially considering our work focuses only on cities</w:t>
      </w:r>
      <w:r w:rsidR="005511E7" w:rsidRPr="00914BAB">
        <w:rPr>
          <w:sz w:val="24"/>
          <w:shd w:val="clear" w:color="auto" w:fill="FFFFFF"/>
        </w:rPr>
        <w:t xml:space="preserve">. In contrast, GBPN estimate the </w:t>
      </w:r>
      <w:r w:rsidR="00B51AA3" w:rsidRPr="00914BAB">
        <w:rPr>
          <w:sz w:val="24"/>
          <w:shd w:val="clear" w:color="auto" w:fill="FFFFFF"/>
        </w:rPr>
        <w:t>additional</w:t>
      </w:r>
      <w:r w:rsidR="005511E7" w:rsidRPr="00914BAB">
        <w:rPr>
          <w:sz w:val="24"/>
          <w:shd w:val="clear" w:color="auto" w:fill="FFFFFF"/>
        </w:rPr>
        <w:t xml:space="preserve"> investment costs</w:t>
      </w:r>
      <w:r w:rsidR="00B51AA3" w:rsidRPr="00914BAB">
        <w:rPr>
          <w:sz w:val="24"/>
          <w:shd w:val="clear" w:color="auto" w:fill="FFFFFF"/>
        </w:rPr>
        <w:t xml:space="preserve"> required to</w:t>
      </w:r>
      <w:r w:rsidR="005511E7" w:rsidRPr="00914BAB">
        <w:rPr>
          <w:sz w:val="24"/>
          <w:shd w:val="clear" w:color="auto" w:fill="FFFFFF"/>
        </w:rPr>
        <w:t xml:space="preserve"> </w:t>
      </w:r>
      <w:r w:rsidR="00B51AA3" w:rsidRPr="00914BAB">
        <w:rPr>
          <w:sz w:val="24"/>
          <w:shd w:val="clear" w:color="auto" w:fill="FFFFFF"/>
        </w:rPr>
        <w:t xml:space="preserve">accelerate the deployment of best practice new builds and retrofits (i.e. technologies of a standard equalling those considered in the </w:t>
      </w:r>
      <w:r w:rsidR="00B51AA3" w:rsidRPr="00914BAB">
        <w:rPr>
          <w:i/>
          <w:iCs/>
          <w:sz w:val="24"/>
          <w:shd w:val="clear" w:color="auto" w:fill="FFFFFF"/>
        </w:rPr>
        <w:t>urban action scenario</w:t>
      </w:r>
      <w:r w:rsidR="00B51AA3" w:rsidRPr="00914BAB">
        <w:rPr>
          <w:sz w:val="24"/>
          <w:shd w:val="clear" w:color="auto" w:fill="FFFFFF"/>
        </w:rPr>
        <w:t xml:space="preserve">), relative to a baseline reflecting current policies, to be USD </w:t>
      </w:r>
      <w:r w:rsidR="00D41E8B" w:rsidRPr="00914BAB">
        <w:rPr>
          <w:sz w:val="24"/>
          <w:shd w:val="clear" w:color="auto" w:fill="FFFFFF"/>
        </w:rPr>
        <w:t>$</w:t>
      </w:r>
      <w:r w:rsidR="00B51AA3" w:rsidRPr="00914BAB">
        <w:rPr>
          <w:sz w:val="24"/>
          <w:shd w:val="clear" w:color="auto" w:fill="FFFFFF"/>
        </w:rPr>
        <w:t>1.25 t</w:t>
      </w:r>
      <w:r w:rsidR="00D41E8B" w:rsidRPr="00914BAB">
        <w:rPr>
          <w:sz w:val="24"/>
          <w:shd w:val="clear" w:color="auto" w:fill="FFFFFF"/>
        </w:rPr>
        <w:t>ril</w:t>
      </w:r>
      <w:r w:rsidR="00B51AA3" w:rsidRPr="00914BAB">
        <w:rPr>
          <w:sz w:val="24"/>
          <w:shd w:val="clear" w:color="auto" w:fill="FFFFFF"/>
        </w:rPr>
        <w:t>l</w:t>
      </w:r>
      <w:r w:rsidR="00D41E8B" w:rsidRPr="00914BAB">
        <w:rPr>
          <w:sz w:val="24"/>
          <w:shd w:val="clear" w:color="auto" w:fill="FFFFFF"/>
        </w:rPr>
        <w:t>io</w:t>
      </w:r>
      <w:r w:rsidR="00B51AA3" w:rsidRPr="00914BAB">
        <w:rPr>
          <w:sz w:val="24"/>
          <w:shd w:val="clear" w:color="auto" w:fill="FFFFFF"/>
        </w:rPr>
        <w:t>n</w:t>
      </w:r>
      <w:r w:rsidR="00D41E8B" w:rsidRPr="00914BAB">
        <w:rPr>
          <w:sz w:val="24"/>
          <w:shd w:val="clear" w:color="auto" w:fill="FFFFFF"/>
        </w:rPr>
        <w:t xml:space="preserve"> per year</w:t>
      </w:r>
      <w:r w:rsidR="00B51AA3" w:rsidRPr="00914BAB">
        <w:rPr>
          <w:sz w:val="24"/>
          <w:shd w:val="clear" w:color="auto" w:fill="FFFFFF"/>
        </w:rPr>
        <w:t xml:space="preserve">, at a global level. </w:t>
      </w:r>
      <w:r w:rsidR="00D41E8B" w:rsidRPr="00914BAB">
        <w:rPr>
          <w:sz w:val="24"/>
          <w:shd w:val="clear" w:color="auto" w:fill="FFFFFF"/>
        </w:rPr>
        <w:t>T</w:t>
      </w:r>
      <w:r w:rsidR="00B51AA3" w:rsidRPr="00914BAB">
        <w:rPr>
          <w:sz w:val="24"/>
          <w:shd w:val="clear" w:color="auto" w:fill="FFFFFF"/>
        </w:rPr>
        <w:t>his</w:t>
      </w:r>
      <w:r w:rsidR="00D41E8B" w:rsidRPr="00914BAB">
        <w:rPr>
          <w:sz w:val="24"/>
          <w:shd w:val="clear" w:color="auto" w:fill="FFFFFF"/>
        </w:rPr>
        <w:t xml:space="preserve"> result</w:t>
      </w:r>
      <w:r w:rsidR="00B51AA3" w:rsidRPr="00914BAB">
        <w:rPr>
          <w:sz w:val="24"/>
          <w:shd w:val="clear" w:color="auto" w:fill="FFFFFF"/>
        </w:rPr>
        <w:t xml:space="preserve"> is not directly comparable to our estimates due to the exclusion of appliances, lighting, and so</w:t>
      </w:r>
      <w:r w:rsidR="00D41E8B" w:rsidRPr="00914BAB">
        <w:rPr>
          <w:sz w:val="24"/>
          <w:shd w:val="clear" w:color="auto" w:fill="FFFFFF"/>
        </w:rPr>
        <w:t>lar PV and the inclusion of</w:t>
      </w:r>
      <w:r w:rsidR="00B51AA3" w:rsidRPr="00914BAB">
        <w:rPr>
          <w:sz w:val="24"/>
          <w:shd w:val="clear" w:color="auto" w:fill="FFFFFF"/>
        </w:rPr>
        <w:t xml:space="preserve"> non-urban areas – which leads to</w:t>
      </w:r>
      <w:r w:rsidR="00D41E8B" w:rsidRPr="00914BAB">
        <w:rPr>
          <w:sz w:val="24"/>
          <w:shd w:val="clear" w:color="auto" w:fill="FFFFFF"/>
        </w:rPr>
        <w:t xml:space="preserve"> their scenario considering a third more floor area than the</w:t>
      </w:r>
      <w:r w:rsidR="00D41E8B" w:rsidRPr="00914BAB">
        <w:rPr>
          <w:i/>
          <w:iCs/>
          <w:sz w:val="24"/>
          <w:shd w:val="clear" w:color="auto" w:fill="FFFFFF"/>
        </w:rPr>
        <w:t xml:space="preserve"> urban action scenario</w:t>
      </w:r>
      <w:r w:rsidR="00D41E8B" w:rsidRPr="00914BAB">
        <w:rPr>
          <w:sz w:val="24"/>
          <w:shd w:val="clear" w:color="auto" w:fill="FFFFFF"/>
        </w:rPr>
        <w:t xml:space="preserve"> by 2050. However, </w:t>
      </w:r>
      <w:r w:rsidR="00981AEF" w:rsidRPr="00914BAB">
        <w:rPr>
          <w:sz w:val="24"/>
          <w:shd w:val="clear" w:color="auto" w:fill="FFFFFF"/>
        </w:rPr>
        <w:t xml:space="preserve">even </w:t>
      </w:r>
      <w:r w:rsidR="00D41E8B" w:rsidRPr="00914BAB">
        <w:rPr>
          <w:sz w:val="24"/>
          <w:shd w:val="clear" w:color="auto" w:fill="FFFFFF"/>
        </w:rPr>
        <w:t xml:space="preserve">taking into account these differences, </w:t>
      </w:r>
      <w:r w:rsidR="00981AEF" w:rsidRPr="00914BAB">
        <w:rPr>
          <w:sz w:val="24"/>
          <w:shd w:val="clear" w:color="auto" w:fill="FFFFFF"/>
        </w:rPr>
        <w:t xml:space="preserve">the GBPN estimate is substantially (80%) larger than our estimate. </w:t>
      </w:r>
      <w:r w:rsidR="00D41E8B" w:rsidRPr="00914BAB">
        <w:rPr>
          <w:sz w:val="24"/>
          <w:shd w:val="clear" w:color="auto" w:fill="FFFFFF"/>
        </w:rPr>
        <w:t>We can conclude, therefore, that our estimates lie within the wide range of estimates offered by these similar assessments.</w:t>
      </w:r>
    </w:p>
    <w:p w14:paraId="1D3C4578" w14:textId="77777777" w:rsidR="009405B2" w:rsidRPr="00914BAB" w:rsidRDefault="009405B2" w:rsidP="008B5D63">
      <w:pPr>
        <w:rPr>
          <w:sz w:val="24"/>
          <w:shd w:val="clear" w:color="auto" w:fill="FFFFFF"/>
        </w:rPr>
      </w:pPr>
    </w:p>
    <w:p w14:paraId="691638E9" w14:textId="35CB750E" w:rsidR="000616F0" w:rsidRPr="00914BAB" w:rsidRDefault="001718EB" w:rsidP="00CC50B1">
      <w:pPr>
        <w:pStyle w:val="Heading1"/>
        <w:rPr>
          <w:sz w:val="24"/>
          <w:szCs w:val="24"/>
        </w:rPr>
      </w:pPr>
      <w:bookmarkStart w:id="21" w:name="_Toc292953287"/>
      <w:r w:rsidRPr="00914BAB">
        <w:rPr>
          <w:sz w:val="24"/>
          <w:szCs w:val="24"/>
        </w:rPr>
        <w:t>Conclusion</w:t>
      </w:r>
      <w:bookmarkEnd w:id="21"/>
    </w:p>
    <w:p w14:paraId="4ED54415" w14:textId="3632C0CD" w:rsidR="005C6C5B" w:rsidRPr="00914BAB" w:rsidRDefault="00981AEF" w:rsidP="00022B6A">
      <w:pPr>
        <w:rPr>
          <w:sz w:val="24"/>
          <w:shd w:val="clear" w:color="auto" w:fill="FFFFFF"/>
        </w:rPr>
      </w:pPr>
      <w:r w:rsidRPr="00914BAB">
        <w:rPr>
          <w:sz w:val="24"/>
          <w:shd w:val="clear" w:color="auto" w:fill="FFFFFF"/>
        </w:rPr>
        <w:t>This</w:t>
      </w:r>
      <w:r w:rsidR="005C6C5B" w:rsidRPr="00914BAB">
        <w:rPr>
          <w:sz w:val="24"/>
          <w:shd w:val="clear" w:color="auto" w:fill="FFFFFF"/>
        </w:rPr>
        <w:t xml:space="preserve"> economic analysis of the urban action mitigation scenario developed by Erickson and Tempest (2014) suggests there is a strong economic case for ambitious low carbon investment in cities. Although each of the measures we have considered in the buildings, transport, and waste sectors would require significant upfront investments, these investments would easily be repaid and the measures would continue to make significant cost-savings into the future. As emphasised in the introduction, these estimat</w:t>
      </w:r>
      <w:r w:rsidR="004679F0">
        <w:rPr>
          <w:sz w:val="24"/>
          <w:shd w:val="clear" w:color="auto" w:fill="FFFFFF"/>
        </w:rPr>
        <w:t>es should be considered as high-</w:t>
      </w:r>
      <w:r w:rsidR="005C6C5B" w:rsidRPr="00914BAB">
        <w:rPr>
          <w:sz w:val="24"/>
          <w:shd w:val="clear" w:color="auto" w:fill="FFFFFF"/>
        </w:rPr>
        <w:t>level estimates, due to the large uncertainties in the inputs and modelling assumptions. However, a sensitivity analysis – which involved varying discount rates, future energy prices, and the impacts of technological learning upon future investments costs – indicated that, under the vast majority of these economic conditions, it would remain cost-effective to deploy the full array of measures in the urban action scenario.</w:t>
      </w:r>
    </w:p>
    <w:p w14:paraId="664BFECC" w14:textId="07FFAE60" w:rsidR="005C6C5B" w:rsidRPr="00914BAB" w:rsidRDefault="005C6C5B" w:rsidP="00022B6A">
      <w:pPr>
        <w:rPr>
          <w:sz w:val="24"/>
          <w:shd w:val="clear" w:color="auto" w:fill="FFFFFF"/>
        </w:rPr>
      </w:pPr>
      <w:r w:rsidRPr="00914BAB">
        <w:rPr>
          <w:sz w:val="24"/>
          <w:shd w:val="clear" w:color="auto" w:fill="FFFFFF"/>
        </w:rPr>
        <w:t>The analysis suggests that the most-cost effective investment opportunities lie within the transport sector, or involve the deployment of high efficiency appliances and lighting in buildings. However, the analysis only considered bundles of measures ‒ for example, deep building retrofits ‒ rather than specific technologies in specific contexts – such as basic insulation in dated housing stocks, or BRT schemes in cities suffering high levels of road congestion. Therefore, many opportunities for low carbon investments will exist t</w:t>
      </w:r>
      <w:r w:rsidR="00981AEF" w:rsidRPr="00914BAB">
        <w:rPr>
          <w:sz w:val="24"/>
          <w:shd w:val="clear" w:color="auto" w:fill="FFFFFF"/>
        </w:rPr>
        <w:t>hat are even more favourable tha</w:t>
      </w:r>
      <w:r w:rsidRPr="00914BAB">
        <w:rPr>
          <w:sz w:val="24"/>
          <w:shd w:val="clear" w:color="auto" w:fill="FFFFFF"/>
        </w:rPr>
        <w:t>n the cases we present here.</w:t>
      </w:r>
    </w:p>
    <w:p w14:paraId="7F923ABB" w14:textId="47ED3CEC" w:rsidR="005E05EB" w:rsidRPr="00914BAB" w:rsidRDefault="005E05EB" w:rsidP="00022B6A">
      <w:pPr>
        <w:rPr>
          <w:sz w:val="24"/>
          <w:shd w:val="clear" w:color="auto" w:fill="FFFFFF"/>
        </w:rPr>
      </w:pPr>
      <w:r w:rsidRPr="00914BAB">
        <w:rPr>
          <w:sz w:val="24"/>
          <w:shd w:val="clear" w:color="auto" w:fill="FFFFFF"/>
        </w:rPr>
        <w:t>Furthermore, our estimates make a</w:t>
      </w:r>
      <w:r w:rsidR="005C6C5B" w:rsidRPr="00914BAB">
        <w:rPr>
          <w:sz w:val="24"/>
          <w:shd w:val="clear" w:color="auto" w:fill="FFFFFF"/>
        </w:rPr>
        <w:t xml:space="preserve"> conservative </w:t>
      </w:r>
      <w:r w:rsidRPr="00914BAB">
        <w:rPr>
          <w:sz w:val="24"/>
          <w:shd w:val="clear" w:color="auto" w:fill="FFFFFF"/>
        </w:rPr>
        <w:t xml:space="preserve">case for investment in urban climate mitigation </w:t>
      </w:r>
      <w:r w:rsidR="005C6C5B" w:rsidRPr="00914BAB">
        <w:rPr>
          <w:sz w:val="24"/>
          <w:shd w:val="clear" w:color="auto" w:fill="FFFFFF"/>
        </w:rPr>
        <w:t xml:space="preserve">for a number of reasons, for example: energy savings beyond 2050 have not been included and avoided costs ‒ particularly in the transport sector (i.e. private vehicles not </w:t>
      </w:r>
      <w:r w:rsidR="005C6C5B" w:rsidRPr="00914BAB">
        <w:rPr>
          <w:sz w:val="24"/>
          <w:shd w:val="clear" w:color="auto" w:fill="FFFFFF"/>
        </w:rPr>
        <w:lastRenderedPageBreak/>
        <w:t>purchased) ‒ have not been estimated. Moreover, there are numerous benefits of such a mitigation scenario that remain absent from our</w:t>
      </w:r>
      <w:r w:rsidR="00B24FD1" w:rsidRPr="00914BAB">
        <w:rPr>
          <w:sz w:val="24"/>
          <w:shd w:val="clear" w:color="auto" w:fill="FFFFFF"/>
        </w:rPr>
        <w:t xml:space="preserve"> estimates</w:t>
      </w:r>
      <w:r w:rsidR="005C6C5B" w:rsidRPr="00914BAB">
        <w:rPr>
          <w:sz w:val="24"/>
          <w:shd w:val="clear" w:color="auto" w:fill="FFFFFF"/>
        </w:rPr>
        <w:t xml:space="preserve">. For example, co-benefits such as the health savings from reduced air pollution and increased mode share of cycling are </w:t>
      </w:r>
      <w:r w:rsidR="00F824D7" w:rsidRPr="00914BAB">
        <w:rPr>
          <w:sz w:val="24"/>
          <w:shd w:val="clear" w:color="auto" w:fill="FFFFFF"/>
        </w:rPr>
        <w:t>omitted from</w:t>
      </w:r>
      <w:r w:rsidR="005C6C5B" w:rsidRPr="00914BAB">
        <w:rPr>
          <w:sz w:val="24"/>
          <w:shd w:val="clear" w:color="auto" w:fill="FFFFFF"/>
        </w:rPr>
        <w:t xml:space="preserve"> the analysis, </w:t>
      </w:r>
      <w:r w:rsidR="00F824D7" w:rsidRPr="00914BAB">
        <w:rPr>
          <w:sz w:val="24"/>
          <w:shd w:val="clear" w:color="auto" w:fill="FFFFFF"/>
        </w:rPr>
        <w:t xml:space="preserve">as are </w:t>
      </w:r>
      <w:r w:rsidR="00981AEF" w:rsidRPr="00914BAB">
        <w:rPr>
          <w:sz w:val="24"/>
          <w:shd w:val="clear" w:color="auto" w:fill="FFFFFF"/>
        </w:rPr>
        <w:t>the</w:t>
      </w:r>
      <w:r w:rsidR="005C6C5B" w:rsidRPr="00914BAB">
        <w:rPr>
          <w:sz w:val="24"/>
          <w:shd w:val="clear" w:color="auto" w:fill="FFFFFF"/>
        </w:rPr>
        <w:t xml:space="preserve"> social and economic benefits of reducing risk exposure to dangerous levels of climate change.</w:t>
      </w:r>
      <w:r w:rsidRPr="00914BAB">
        <w:rPr>
          <w:sz w:val="24"/>
          <w:shd w:val="clear" w:color="auto" w:fill="FFFFFF"/>
        </w:rPr>
        <w:t xml:space="preserve"> </w:t>
      </w:r>
    </w:p>
    <w:p w14:paraId="4B2A98D1" w14:textId="329315E0" w:rsidR="00F44C02" w:rsidRPr="00914BAB" w:rsidRDefault="00981AEF" w:rsidP="00022B6A">
      <w:pPr>
        <w:rPr>
          <w:sz w:val="24"/>
          <w:shd w:val="clear" w:color="auto" w:fill="FFFFFF"/>
        </w:rPr>
      </w:pPr>
      <w:r w:rsidRPr="00914BAB">
        <w:rPr>
          <w:sz w:val="24"/>
          <w:shd w:val="clear" w:color="auto" w:fill="FFFFFF"/>
        </w:rPr>
        <w:t>B</w:t>
      </w:r>
      <w:r w:rsidR="005C6C5B" w:rsidRPr="00914BAB">
        <w:rPr>
          <w:sz w:val="24"/>
          <w:shd w:val="clear" w:color="auto" w:fill="FFFFFF"/>
        </w:rPr>
        <w:t xml:space="preserve">y </w:t>
      </w:r>
      <w:r w:rsidR="00F824D7" w:rsidRPr="00914BAB">
        <w:rPr>
          <w:sz w:val="24"/>
          <w:shd w:val="clear" w:color="auto" w:fill="FFFFFF"/>
        </w:rPr>
        <w:t xml:space="preserve">excluding </w:t>
      </w:r>
      <w:r w:rsidR="005C6C5B" w:rsidRPr="00914BAB">
        <w:rPr>
          <w:sz w:val="24"/>
          <w:shd w:val="clear" w:color="auto" w:fill="FFFFFF"/>
        </w:rPr>
        <w:t>these wider social</w:t>
      </w:r>
      <w:r w:rsidRPr="00914BAB">
        <w:rPr>
          <w:sz w:val="24"/>
          <w:shd w:val="clear" w:color="auto" w:fill="FFFFFF"/>
        </w:rPr>
        <w:t>, environmental and economic</w:t>
      </w:r>
      <w:r w:rsidR="005C6C5B" w:rsidRPr="00914BAB">
        <w:rPr>
          <w:sz w:val="24"/>
          <w:shd w:val="clear" w:color="auto" w:fill="FFFFFF"/>
        </w:rPr>
        <w:t xml:space="preserve"> factors </w:t>
      </w:r>
      <w:r w:rsidR="005E05EB" w:rsidRPr="00914BAB">
        <w:rPr>
          <w:sz w:val="24"/>
          <w:shd w:val="clear" w:color="auto" w:fill="FFFFFF"/>
        </w:rPr>
        <w:t xml:space="preserve">we seek to </w:t>
      </w:r>
      <w:r w:rsidR="00F44C02" w:rsidRPr="00914BAB">
        <w:rPr>
          <w:sz w:val="24"/>
          <w:shd w:val="clear" w:color="auto" w:fill="FFFFFF"/>
        </w:rPr>
        <w:t>underscore</w:t>
      </w:r>
      <w:r w:rsidR="005E05EB" w:rsidRPr="00914BAB">
        <w:rPr>
          <w:sz w:val="24"/>
          <w:shd w:val="clear" w:color="auto" w:fill="FFFFFF"/>
        </w:rPr>
        <w:t xml:space="preserve"> the direct economic case for climate action in cities</w:t>
      </w:r>
      <w:r w:rsidR="00B24FD1" w:rsidRPr="00914BAB">
        <w:rPr>
          <w:sz w:val="24"/>
          <w:shd w:val="clear" w:color="auto" w:fill="FFFFFF"/>
        </w:rPr>
        <w:t>,</w:t>
      </w:r>
      <w:r w:rsidR="005E05EB" w:rsidRPr="00914BAB">
        <w:rPr>
          <w:sz w:val="24"/>
          <w:shd w:val="clear" w:color="auto" w:fill="FFFFFF"/>
        </w:rPr>
        <w:t xml:space="preserve"> and acknowledge the current politi</w:t>
      </w:r>
      <w:r w:rsidR="00F44C02" w:rsidRPr="00914BAB">
        <w:rPr>
          <w:sz w:val="24"/>
          <w:shd w:val="clear" w:color="auto" w:fill="FFFFFF"/>
        </w:rPr>
        <w:t xml:space="preserve">cal reality that the economic case for mitigation is the first, and most significant, barrier to action.  </w:t>
      </w:r>
      <w:r w:rsidR="00F824D7" w:rsidRPr="00914BAB">
        <w:rPr>
          <w:sz w:val="24"/>
          <w:shd w:val="clear" w:color="auto" w:fill="FFFFFF"/>
        </w:rPr>
        <w:t xml:space="preserve">Therefore, in many respects </w:t>
      </w:r>
      <w:r w:rsidR="00F44C02" w:rsidRPr="00914BAB">
        <w:rPr>
          <w:sz w:val="24"/>
          <w:shd w:val="clear" w:color="auto" w:fill="FFFFFF"/>
        </w:rPr>
        <w:t xml:space="preserve">we are substantially </w:t>
      </w:r>
      <w:r w:rsidR="005E05EB" w:rsidRPr="00914BAB">
        <w:rPr>
          <w:sz w:val="24"/>
          <w:shd w:val="clear" w:color="auto" w:fill="FFFFFF"/>
        </w:rPr>
        <w:t xml:space="preserve">understating the case </w:t>
      </w:r>
      <w:r w:rsidRPr="00914BAB">
        <w:rPr>
          <w:sz w:val="24"/>
          <w:shd w:val="clear" w:color="auto" w:fill="FFFFFF"/>
        </w:rPr>
        <w:t xml:space="preserve">for </w:t>
      </w:r>
      <w:r w:rsidR="00F44C02" w:rsidRPr="00914BAB">
        <w:rPr>
          <w:sz w:val="24"/>
          <w:shd w:val="clear" w:color="auto" w:fill="FFFFFF"/>
        </w:rPr>
        <w:t>low carbon investment</w:t>
      </w:r>
      <w:r w:rsidR="00F824D7" w:rsidRPr="00914BAB">
        <w:rPr>
          <w:sz w:val="24"/>
          <w:shd w:val="clear" w:color="auto" w:fill="FFFFFF"/>
        </w:rPr>
        <w:t>, but at the same time we are</w:t>
      </w:r>
      <w:r w:rsidR="005C6C5B" w:rsidRPr="00914BAB">
        <w:rPr>
          <w:sz w:val="24"/>
          <w:shd w:val="clear" w:color="auto" w:fill="FFFFFF"/>
        </w:rPr>
        <w:t xml:space="preserve"> overlook</w:t>
      </w:r>
      <w:r w:rsidR="00F44C02" w:rsidRPr="00914BAB">
        <w:rPr>
          <w:sz w:val="24"/>
          <w:shd w:val="clear" w:color="auto" w:fill="FFFFFF"/>
        </w:rPr>
        <w:t>ing</w:t>
      </w:r>
      <w:r w:rsidR="005C6C5B" w:rsidRPr="00914BAB">
        <w:rPr>
          <w:sz w:val="24"/>
          <w:shd w:val="clear" w:color="auto" w:fill="FFFFFF"/>
        </w:rPr>
        <w:t xml:space="preserve"> a number of dangers. </w:t>
      </w:r>
    </w:p>
    <w:p w14:paraId="06BA9D92" w14:textId="3D462BF6" w:rsidR="005C6C5B" w:rsidRPr="00914BAB" w:rsidRDefault="005C6C5B" w:rsidP="00022B6A">
      <w:pPr>
        <w:rPr>
          <w:sz w:val="24"/>
          <w:shd w:val="clear" w:color="auto" w:fill="FFFFFF"/>
        </w:rPr>
      </w:pPr>
      <w:r w:rsidRPr="00914BAB">
        <w:rPr>
          <w:sz w:val="24"/>
          <w:shd w:val="clear" w:color="auto" w:fill="FFFFFF"/>
        </w:rPr>
        <w:t>The past century has clearly shown that increasing the efficiency of our use of energy and resources does not lead inevitably to decreases in environmental impacts ‒ indeed, it may have precisely the opposite effect, particularly in cases where impacts manifest only at the global level, su</w:t>
      </w:r>
      <w:r w:rsidR="00F44C02" w:rsidRPr="00914BAB">
        <w:rPr>
          <w:sz w:val="24"/>
          <w:shd w:val="clear" w:color="auto" w:fill="FFFFFF"/>
        </w:rPr>
        <w:t xml:space="preserve">ch as with carbon emissions. Thus history reveals </w:t>
      </w:r>
      <w:r w:rsidRPr="00914BAB">
        <w:rPr>
          <w:sz w:val="24"/>
          <w:shd w:val="clear" w:color="auto" w:fill="FFFFFF"/>
        </w:rPr>
        <w:t xml:space="preserve">the avoidable fact that economic structures, along with cultural beliefs and social norms that govern how we use energy and resources, play a dominant role in determining the magnitude of anthropogenic environmental impacts – and this role will continue irrespective of the technological programmes that are implemented. In particular, while economic growth continues to be a fundamental political objective ‒ in the developed and developing world alike ‒ it is not enough to decrease the carbon intensity of this growth: absolute emissions reductions must be achieved under continued growth, and this must be achieved globally, not just in </w:t>
      </w:r>
      <w:r w:rsidR="00F824D7" w:rsidRPr="00914BAB">
        <w:rPr>
          <w:sz w:val="24"/>
          <w:shd w:val="clear" w:color="auto" w:fill="FFFFFF"/>
        </w:rPr>
        <w:t>deindustrialised regions with service- and knowledge-based economies</w:t>
      </w:r>
      <w:r w:rsidRPr="00914BAB">
        <w:rPr>
          <w:sz w:val="24"/>
          <w:shd w:val="clear" w:color="auto" w:fill="FFFFFF"/>
        </w:rPr>
        <w:t>. </w:t>
      </w:r>
    </w:p>
    <w:p w14:paraId="61A22B2E" w14:textId="4811511C" w:rsidR="00743642" w:rsidRPr="00914BAB" w:rsidRDefault="00A93156" w:rsidP="00022B6A">
      <w:pPr>
        <w:rPr>
          <w:sz w:val="24"/>
          <w:shd w:val="clear" w:color="auto" w:fill="FFFFFF"/>
        </w:rPr>
      </w:pPr>
      <w:r w:rsidRPr="00914BAB">
        <w:rPr>
          <w:sz w:val="24"/>
          <w:shd w:val="clear" w:color="auto" w:fill="FFFFFF"/>
        </w:rPr>
        <w:t xml:space="preserve">We therefore wish to emphasise that the economic case for climate action should be seen as an element of a wider dynamic of economic structures, cultural </w:t>
      </w:r>
      <w:r w:rsidR="00D6095E" w:rsidRPr="00914BAB">
        <w:rPr>
          <w:sz w:val="24"/>
          <w:shd w:val="clear" w:color="auto" w:fill="FFFFFF"/>
        </w:rPr>
        <w:t>and social practices</w:t>
      </w:r>
      <w:r w:rsidRPr="00914BAB">
        <w:rPr>
          <w:sz w:val="24"/>
          <w:shd w:val="clear" w:color="auto" w:fill="FFFFFF"/>
        </w:rPr>
        <w:t>, and politi</w:t>
      </w:r>
      <w:r w:rsidR="00417315" w:rsidRPr="00914BAB">
        <w:rPr>
          <w:sz w:val="24"/>
          <w:shd w:val="clear" w:color="auto" w:fill="FFFFFF"/>
        </w:rPr>
        <w:t xml:space="preserve">cal forces that ultimately </w:t>
      </w:r>
      <w:r w:rsidRPr="00914BAB">
        <w:rPr>
          <w:sz w:val="24"/>
          <w:shd w:val="clear" w:color="auto" w:fill="FFFFFF"/>
        </w:rPr>
        <w:t>determine how</w:t>
      </w:r>
      <w:r w:rsidR="00417315" w:rsidRPr="00914BAB">
        <w:rPr>
          <w:sz w:val="24"/>
          <w:shd w:val="clear" w:color="auto" w:fill="FFFFFF"/>
        </w:rPr>
        <w:t>, and whether,</w:t>
      </w:r>
      <w:r w:rsidRPr="00914BAB">
        <w:rPr>
          <w:sz w:val="24"/>
          <w:shd w:val="clear" w:color="auto" w:fill="FFFFFF"/>
        </w:rPr>
        <w:t xml:space="preserve"> we act against climate change. </w:t>
      </w:r>
      <w:r w:rsidR="005C6C5B" w:rsidRPr="00914BAB">
        <w:rPr>
          <w:sz w:val="24"/>
          <w:shd w:val="clear" w:color="auto" w:fill="FFFFFF"/>
        </w:rPr>
        <w:t>While an investigation into these dynamics clearly lies outside the scope of the current work, it is important to bear in mind that their role will be critical in determining the extent to which the substantial mitigation potential of the scenario explored here could be realised in practice.  </w:t>
      </w:r>
    </w:p>
    <w:p w14:paraId="1CA8BC68" w14:textId="77777777" w:rsidR="00AD1056" w:rsidRPr="00914BAB" w:rsidRDefault="00AD1056" w:rsidP="00110D69">
      <w:pPr>
        <w:rPr>
          <w:sz w:val="24"/>
          <w:shd w:val="clear" w:color="auto" w:fill="FFFFFF"/>
        </w:rPr>
      </w:pPr>
    </w:p>
    <w:p w14:paraId="10509C74" w14:textId="77777777" w:rsidR="00AD1056" w:rsidRPr="00914BAB" w:rsidRDefault="00AD1056" w:rsidP="00743642">
      <w:pPr>
        <w:rPr>
          <w:sz w:val="24"/>
          <w:shd w:val="clear" w:color="auto" w:fill="FFFFFF"/>
        </w:rPr>
      </w:pPr>
    </w:p>
    <w:p w14:paraId="76F32B84" w14:textId="77777777" w:rsidR="00CC50B1" w:rsidRPr="00914BAB" w:rsidRDefault="00CC50B1">
      <w:pPr>
        <w:spacing w:before="0" w:after="200"/>
        <w:rPr>
          <w:rFonts w:eastAsiaTheme="majorEastAsia"/>
          <w:b/>
          <w:bCs/>
          <w:sz w:val="24"/>
        </w:rPr>
      </w:pPr>
      <w:r w:rsidRPr="00914BAB">
        <w:rPr>
          <w:sz w:val="24"/>
        </w:rPr>
        <w:br w:type="page"/>
      </w:r>
    </w:p>
    <w:p w14:paraId="255F80C5" w14:textId="5BAF80F5" w:rsidR="00743642" w:rsidRPr="00914BAB" w:rsidRDefault="00743642" w:rsidP="00CC50B1">
      <w:pPr>
        <w:pStyle w:val="Heading1"/>
        <w:rPr>
          <w:sz w:val="24"/>
          <w:szCs w:val="24"/>
        </w:rPr>
      </w:pPr>
      <w:bookmarkStart w:id="22" w:name="_Toc292953288"/>
      <w:r w:rsidRPr="00914BAB">
        <w:rPr>
          <w:sz w:val="24"/>
          <w:szCs w:val="24"/>
        </w:rPr>
        <w:lastRenderedPageBreak/>
        <w:t>References</w:t>
      </w:r>
      <w:bookmarkEnd w:id="22"/>
    </w:p>
    <w:p w14:paraId="183F8232" w14:textId="308D5CC0" w:rsidR="00743642" w:rsidRDefault="00743642" w:rsidP="001B6637">
      <w:pPr>
        <w:spacing w:before="80" w:line="240" w:lineRule="auto"/>
        <w:ind w:left="170" w:hanging="170"/>
        <w:rPr>
          <w:sz w:val="24"/>
        </w:rPr>
      </w:pPr>
      <w:proofErr w:type="spellStart"/>
      <w:r w:rsidRPr="00914BAB">
        <w:rPr>
          <w:sz w:val="24"/>
        </w:rPr>
        <w:t>Colenbrander</w:t>
      </w:r>
      <w:proofErr w:type="spellEnd"/>
      <w:r w:rsidRPr="00914BAB">
        <w:rPr>
          <w:sz w:val="24"/>
        </w:rPr>
        <w:t>, S. et al. "The economic case for low-carbon development in rapidly growing developing world cities: A cas</w:t>
      </w:r>
      <w:r w:rsidR="004679F0">
        <w:rPr>
          <w:sz w:val="24"/>
        </w:rPr>
        <w:t>e study of Palembang, Indonesia</w:t>
      </w:r>
      <w:r w:rsidRPr="00914BAB">
        <w:rPr>
          <w:sz w:val="24"/>
        </w:rPr>
        <w:t>"</w:t>
      </w:r>
      <w:r w:rsidR="004679F0">
        <w:rPr>
          <w:sz w:val="24"/>
        </w:rPr>
        <w:t xml:space="preserve"> </w:t>
      </w:r>
      <w:r w:rsidRPr="00914BAB">
        <w:rPr>
          <w:i/>
          <w:iCs/>
          <w:sz w:val="24"/>
        </w:rPr>
        <w:t>Energy Policy</w:t>
      </w:r>
      <w:r w:rsidRPr="00914BAB">
        <w:rPr>
          <w:sz w:val="24"/>
        </w:rPr>
        <w:t> 80 (2015): 24-35.</w:t>
      </w:r>
    </w:p>
    <w:p w14:paraId="4A3E700E" w14:textId="75470B67" w:rsidR="00484767" w:rsidRPr="00914BAB" w:rsidRDefault="00484767" w:rsidP="001B6637">
      <w:pPr>
        <w:spacing w:before="80" w:line="240" w:lineRule="auto"/>
        <w:ind w:left="170" w:hanging="170"/>
        <w:rPr>
          <w:sz w:val="24"/>
        </w:rPr>
      </w:pPr>
      <w:r>
        <w:rPr>
          <w:sz w:val="24"/>
        </w:rPr>
        <w:t>Davies, A;</w:t>
      </w:r>
      <w:r w:rsidRPr="00484767">
        <w:rPr>
          <w:sz w:val="24"/>
        </w:rPr>
        <w:t xml:space="preserve"> (2016). </w:t>
      </w:r>
      <w:r w:rsidRPr="00484767">
        <w:rPr>
          <w:i/>
          <w:iCs/>
          <w:sz w:val="24"/>
        </w:rPr>
        <w:t xml:space="preserve">How GM Beat Tesla to the First True Mass-Market Electric </w:t>
      </w:r>
      <w:proofErr w:type="spellStart"/>
      <w:r w:rsidRPr="00484767">
        <w:rPr>
          <w:i/>
          <w:iCs/>
          <w:sz w:val="24"/>
        </w:rPr>
        <w:t>Car</w:t>
      </w:r>
      <w:r w:rsidRPr="00484767">
        <w:rPr>
          <w:sz w:val="24"/>
        </w:rPr>
        <w:t>.</w:t>
      </w:r>
      <w:r w:rsidRPr="00484767">
        <w:rPr>
          <w:i/>
          <w:iCs/>
          <w:sz w:val="24"/>
        </w:rPr>
        <w:t>WIRED</w:t>
      </w:r>
      <w:proofErr w:type="spellEnd"/>
      <w:r w:rsidRPr="00484767">
        <w:rPr>
          <w:sz w:val="24"/>
        </w:rPr>
        <w:t>. Retrieved 4 July 2016, from https://www.wired.com/2016/01/gm-electric-car-chevy-bolt-mary-barra/</w:t>
      </w:r>
    </w:p>
    <w:p w14:paraId="5D3ED13D" w14:textId="77777777" w:rsidR="00743642" w:rsidRPr="00914BAB" w:rsidRDefault="00743642" w:rsidP="001B6637">
      <w:pPr>
        <w:spacing w:before="80" w:line="240" w:lineRule="auto"/>
        <w:ind w:left="170" w:hanging="170"/>
        <w:rPr>
          <w:sz w:val="24"/>
        </w:rPr>
      </w:pPr>
      <w:r w:rsidRPr="00914BAB">
        <w:rPr>
          <w:sz w:val="24"/>
        </w:rPr>
        <w:t>Davis, A., and Miguel F. "A methodology to evaluate the competitiveness of electric delivery trucks." Transportation Research Part E: Logistics and Transportation Review 49.1 (2013): 8-23.</w:t>
      </w:r>
    </w:p>
    <w:p w14:paraId="3C7F839C" w14:textId="62FF76C1" w:rsidR="00743642" w:rsidRPr="00914BAB" w:rsidRDefault="00743642" w:rsidP="001B6637">
      <w:pPr>
        <w:spacing w:before="80" w:line="240" w:lineRule="auto"/>
        <w:ind w:left="170" w:hanging="170"/>
        <w:rPr>
          <w:sz w:val="24"/>
        </w:rPr>
      </w:pPr>
      <w:proofErr w:type="spellStart"/>
      <w:r w:rsidRPr="00914BAB">
        <w:rPr>
          <w:sz w:val="24"/>
        </w:rPr>
        <w:t>Desroches</w:t>
      </w:r>
      <w:proofErr w:type="spellEnd"/>
      <w:r w:rsidRPr="00914BAB">
        <w:rPr>
          <w:sz w:val="24"/>
        </w:rPr>
        <w:t xml:space="preserve">, L.-B., </w:t>
      </w:r>
      <w:proofErr w:type="spellStart"/>
      <w:r w:rsidRPr="00914BAB">
        <w:rPr>
          <w:sz w:val="24"/>
        </w:rPr>
        <w:t>Garbesi</w:t>
      </w:r>
      <w:proofErr w:type="spellEnd"/>
      <w:r w:rsidRPr="00914BAB">
        <w:rPr>
          <w:sz w:val="24"/>
        </w:rPr>
        <w:t xml:space="preserve">, K., </w:t>
      </w:r>
      <w:proofErr w:type="spellStart"/>
      <w:r w:rsidRPr="00914BAB">
        <w:rPr>
          <w:sz w:val="24"/>
        </w:rPr>
        <w:t>Kantner</w:t>
      </w:r>
      <w:proofErr w:type="spellEnd"/>
      <w:r w:rsidRPr="00914BAB">
        <w:rPr>
          <w:sz w:val="24"/>
        </w:rPr>
        <w:t xml:space="preserve">, C., Van </w:t>
      </w:r>
      <w:proofErr w:type="spellStart"/>
      <w:r w:rsidRPr="00914BAB">
        <w:rPr>
          <w:sz w:val="24"/>
        </w:rPr>
        <w:t>Buskirk</w:t>
      </w:r>
      <w:proofErr w:type="spellEnd"/>
      <w:r w:rsidRPr="00914BAB">
        <w:rPr>
          <w:sz w:val="24"/>
        </w:rPr>
        <w:t xml:space="preserve">, R., &amp; Yang, H.-C. (2013). Incorporating experience curves in appliance standards analysis. Energy Policy, 52(0), 402-416. </w:t>
      </w:r>
      <w:proofErr w:type="spellStart"/>
      <w:r w:rsidRPr="00914BAB">
        <w:rPr>
          <w:sz w:val="24"/>
        </w:rPr>
        <w:t>doi</w:t>
      </w:r>
      <w:proofErr w:type="spellEnd"/>
      <w:r w:rsidRPr="00914BAB">
        <w:rPr>
          <w:sz w:val="24"/>
        </w:rPr>
        <w:t xml:space="preserve">: </w:t>
      </w:r>
      <w:hyperlink r:id="rId10" w:history="1">
        <w:r w:rsidR="00033FE3" w:rsidRPr="00914BAB">
          <w:rPr>
            <w:rStyle w:val="Hyperlink"/>
            <w:sz w:val="24"/>
          </w:rPr>
          <w:t>http://dx.doi.org/10.1016/j.enpol.2012.09.066</w:t>
        </w:r>
      </w:hyperlink>
      <w:r w:rsidR="00033FE3" w:rsidRPr="00914BAB">
        <w:rPr>
          <w:sz w:val="24"/>
        </w:rPr>
        <w:t xml:space="preserve"> </w:t>
      </w:r>
    </w:p>
    <w:p w14:paraId="39867715" w14:textId="3428BAD0" w:rsidR="00743642" w:rsidRPr="00914BAB" w:rsidRDefault="00743642" w:rsidP="001961F2">
      <w:pPr>
        <w:spacing w:before="80" w:line="240" w:lineRule="auto"/>
        <w:ind w:left="170" w:hanging="170"/>
        <w:rPr>
          <w:sz w:val="24"/>
        </w:rPr>
      </w:pPr>
      <w:proofErr w:type="spellStart"/>
      <w:r w:rsidRPr="00914BAB">
        <w:rPr>
          <w:sz w:val="24"/>
        </w:rPr>
        <w:t>Dulac</w:t>
      </w:r>
      <w:proofErr w:type="spellEnd"/>
      <w:r w:rsidRPr="00914BAB">
        <w:rPr>
          <w:sz w:val="24"/>
        </w:rPr>
        <w:t>, John. "Global land transport infrastructure requirements." </w:t>
      </w:r>
      <w:hyperlink r:id="rId11" w:history="1">
        <w:r w:rsidR="001961F2" w:rsidRPr="00914BAB">
          <w:rPr>
            <w:rStyle w:val="Hyperlink"/>
            <w:i/>
            <w:iCs/>
            <w:sz w:val="24"/>
          </w:rPr>
          <w:t>http://www.iea.org/publications/freepublications/publication/TransportInfrastructureInsights_FINAL_WEB.pdf</w:t>
        </w:r>
      </w:hyperlink>
      <w:r w:rsidRPr="00914BAB">
        <w:rPr>
          <w:i/>
          <w:iCs/>
          <w:sz w:val="24"/>
        </w:rPr>
        <w:t xml:space="preserve"> Accessed</w:t>
      </w:r>
      <w:r w:rsidRPr="00914BAB">
        <w:rPr>
          <w:sz w:val="24"/>
        </w:rPr>
        <w:t> 20 March, 2015.</w:t>
      </w:r>
    </w:p>
    <w:p w14:paraId="769321F7" w14:textId="7100FE43" w:rsidR="00743642" w:rsidRPr="00914BAB" w:rsidRDefault="00EB0372" w:rsidP="001B6637">
      <w:pPr>
        <w:spacing w:before="80" w:line="240" w:lineRule="auto"/>
        <w:ind w:left="170" w:hanging="170"/>
        <w:rPr>
          <w:sz w:val="24"/>
        </w:rPr>
      </w:pPr>
      <w:r w:rsidRPr="00914BAB">
        <w:rPr>
          <w:sz w:val="24"/>
        </w:rPr>
        <w:t xml:space="preserve">EC (2015).  Eurostat statistical database. Available from: </w:t>
      </w:r>
      <w:hyperlink r:id="rId12" w:history="1">
        <w:r w:rsidR="001961F2" w:rsidRPr="00914BAB">
          <w:rPr>
            <w:rStyle w:val="Hyperlink"/>
            <w:sz w:val="24"/>
          </w:rPr>
          <w:t>http://ec.europa.eu/eurostat/help/first-visit/database</w:t>
        </w:r>
      </w:hyperlink>
      <w:r w:rsidR="001961F2" w:rsidRPr="00914BAB">
        <w:rPr>
          <w:sz w:val="24"/>
        </w:rPr>
        <w:t xml:space="preserve"> </w:t>
      </w:r>
    </w:p>
    <w:p w14:paraId="50E01726" w14:textId="3F260F55" w:rsidR="001D53BA" w:rsidRPr="00914BAB" w:rsidRDefault="001D53BA" w:rsidP="007E097A">
      <w:pPr>
        <w:pStyle w:val="EndNoteBibliography"/>
        <w:ind w:left="170" w:hanging="170"/>
        <w:rPr>
          <w:rFonts w:asciiTheme="minorHAnsi" w:hAnsiTheme="minorHAnsi"/>
          <w:sz w:val="24"/>
        </w:rPr>
      </w:pPr>
      <w:r w:rsidRPr="00914BAB">
        <w:rPr>
          <w:rFonts w:asciiTheme="minorHAnsi" w:hAnsiTheme="minorHAnsi"/>
          <w:sz w:val="24"/>
        </w:rPr>
        <w:t xml:space="preserve">Edenhofer et al. 2014. Technical Summary. In: Climate Change 2014: Mitigation of Climate Change. Contribution of Working Group III to the Fifth Assessment Report of the Intergovernmental Panel on Climate Change. </w:t>
      </w:r>
      <w:r w:rsidRPr="00914BAB">
        <w:rPr>
          <w:rFonts w:asciiTheme="minorHAnsi" w:hAnsiTheme="minorHAnsi"/>
          <w:i/>
          <w:sz w:val="24"/>
        </w:rPr>
        <w:t>In:</w:t>
      </w:r>
      <w:r w:rsidRPr="00914BAB">
        <w:rPr>
          <w:rFonts w:asciiTheme="minorHAnsi" w:hAnsiTheme="minorHAnsi"/>
          <w:sz w:val="24"/>
        </w:rPr>
        <w:t xml:space="preserve"> PRESS, C. U. (ed.). Cambridge United Kingdom and New York, NY, USA.</w:t>
      </w:r>
    </w:p>
    <w:p w14:paraId="058B0090" w14:textId="20DCECFC" w:rsidR="00743642" w:rsidRPr="00914BAB" w:rsidRDefault="00743642" w:rsidP="001961F2">
      <w:pPr>
        <w:spacing w:before="80" w:line="240" w:lineRule="auto"/>
        <w:ind w:left="170" w:hanging="170"/>
        <w:rPr>
          <w:rFonts w:eastAsia="Times New Roman"/>
          <w:sz w:val="24"/>
        </w:rPr>
      </w:pPr>
      <w:proofErr w:type="spellStart"/>
      <w:r w:rsidRPr="00914BAB">
        <w:rPr>
          <w:rFonts w:eastAsia="Times New Roman"/>
          <w:sz w:val="24"/>
        </w:rPr>
        <w:t>Façanha</w:t>
      </w:r>
      <w:proofErr w:type="spellEnd"/>
      <w:r w:rsidRPr="00914BAB">
        <w:rPr>
          <w:rFonts w:eastAsia="Times New Roman"/>
          <w:sz w:val="24"/>
        </w:rPr>
        <w:t xml:space="preserve">, C., Blumberg, K. and Miller, J. (2012). Global Transportation Energy and Climate Roadmap: The Impact of Transportation Policies and Their Potential to Reduce Oil Consumption and Greenhouse Gas Emissions. International Council on Clean Transportation, Washington, DC. </w:t>
      </w:r>
      <w:hyperlink r:id="rId13" w:history="1">
        <w:r w:rsidR="001961F2" w:rsidRPr="00914BAB">
          <w:rPr>
            <w:rStyle w:val="Hyperlink"/>
            <w:rFonts w:eastAsia="Times New Roman"/>
            <w:sz w:val="24"/>
          </w:rPr>
          <w:t>http://www.theicct.org/global-transportation-energy-and-climate-roadmap</w:t>
        </w:r>
      </w:hyperlink>
      <w:r w:rsidR="001961F2" w:rsidRPr="00914BAB">
        <w:rPr>
          <w:rFonts w:eastAsia="Times New Roman"/>
          <w:sz w:val="24"/>
        </w:rPr>
        <w:t xml:space="preserve"> </w:t>
      </w:r>
    </w:p>
    <w:p w14:paraId="059F69D1" w14:textId="42E2DE46" w:rsidR="00743642" w:rsidRPr="00914BAB" w:rsidRDefault="00743642" w:rsidP="001B6637">
      <w:pPr>
        <w:spacing w:before="80" w:line="240" w:lineRule="auto"/>
        <w:ind w:left="170" w:hanging="170"/>
        <w:rPr>
          <w:rFonts w:eastAsia="Times New Roman"/>
          <w:sz w:val="24"/>
        </w:rPr>
      </w:pPr>
      <w:r w:rsidRPr="00914BAB">
        <w:rPr>
          <w:rFonts w:eastAsia="Times New Roman"/>
          <w:sz w:val="24"/>
        </w:rPr>
        <w:t xml:space="preserve">Floater, G., Rode, P., Robert, A., Kennedy, C., </w:t>
      </w:r>
      <w:proofErr w:type="spellStart"/>
      <w:r w:rsidRPr="00914BAB">
        <w:rPr>
          <w:rFonts w:eastAsia="Times New Roman"/>
          <w:sz w:val="24"/>
        </w:rPr>
        <w:t>Hoornweg</w:t>
      </w:r>
      <w:proofErr w:type="spellEnd"/>
      <w:r w:rsidRPr="00914BAB">
        <w:rPr>
          <w:rFonts w:eastAsia="Times New Roman"/>
          <w:sz w:val="24"/>
        </w:rPr>
        <w:t xml:space="preserve">, D., </w:t>
      </w:r>
      <w:proofErr w:type="spellStart"/>
      <w:r w:rsidRPr="00914BAB">
        <w:rPr>
          <w:rFonts w:eastAsia="Times New Roman"/>
          <w:sz w:val="24"/>
        </w:rPr>
        <w:t>Slavcheva</w:t>
      </w:r>
      <w:proofErr w:type="spellEnd"/>
      <w:r w:rsidRPr="00914BAB">
        <w:rPr>
          <w:rFonts w:eastAsia="Times New Roman"/>
          <w:sz w:val="24"/>
        </w:rPr>
        <w:t>, R. and Godfrey, N., 2014. Cities and the New Climate Economy: the transformative role of global urban growth. New Climate Economy contributing paper. LSE Cities, London School of Economic</w:t>
      </w:r>
      <w:r w:rsidR="004679F0">
        <w:rPr>
          <w:rFonts w:eastAsia="Times New Roman"/>
          <w:sz w:val="24"/>
        </w:rPr>
        <w:t>s and Political Science. A</w:t>
      </w:r>
      <w:r w:rsidRPr="00914BAB">
        <w:rPr>
          <w:rFonts w:eastAsia="Times New Roman"/>
          <w:sz w:val="24"/>
        </w:rPr>
        <w:t xml:space="preserve">vailable at: </w:t>
      </w:r>
      <w:hyperlink r:id="rId14" w:history="1">
        <w:r w:rsidR="001961F2" w:rsidRPr="00914BAB">
          <w:rPr>
            <w:rStyle w:val="Hyperlink"/>
            <w:rFonts w:eastAsia="Times New Roman"/>
            <w:sz w:val="24"/>
          </w:rPr>
          <w:t>http://newclimateeconomy.report</w:t>
        </w:r>
      </w:hyperlink>
      <w:r w:rsidR="001961F2" w:rsidRPr="00914BAB">
        <w:rPr>
          <w:rFonts w:eastAsia="Times New Roman"/>
          <w:sz w:val="24"/>
        </w:rPr>
        <w:t xml:space="preserve"> </w:t>
      </w:r>
    </w:p>
    <w:p w14:paraId="7704A660" w14:textId="77777777" w:rsidR="00743642" w:rsidRPr="00914BAB" w:rsidRDefault="00743642" w:rsidP="001B6637">
      <w:pPr>
        <w:spacing w:before="80" w:line="240" w:lineRule="auto"/>
        <w:ind w:left="170" w:hanging="170"/>
        <w:rPr>
          <w:sz w:val="24"/>
        </w:rPr>
      </w:pPr>
      <w:proofErr w:type="spellStart"/>
      <w:r w:rsidRPr="00914BAB">
        <w:rPr>
          <w:sz w:val="24"/>
        </w:rPr>
        <w:t>Graedel</w:t>
      </w:r>
      <w:proofErr w:type="spellEnd"/>
      <w:r w:rsidRPr="00914BAB">
        <w:rPr>
          <w:sz w:val="24"/>
        </w:rPr>
        <w:t>, T. E., et al. "What do we know about metal recycling rates</w:t>
      </w:r>
      <w:proofErr w:type="gramStart"/>
      <w:r w:rsidRPr="00914BAB">
        <w:rPr>
          <w:sz w:val="24"/>
        </w:rPr>
        <w:t>?.</w:t>
      </w:r>
      <w:proofErr w:type="gramEnd"/>
      <w:r w:rsidRPr="00914BAB">
        <w:rPr>
          <w:sz w:val="24"/>
        </w:rPr>
        <w:t>" </w:t>
      </w:r>
      <w:r w:rsidRPr="00914BAB">
        <w:rPr>
          <w:i/>
          <w:iCs/>
          <w:sz w:val="24"/>
        </w:rPr>
        <w:t>Journal of Industrial Ecology</w:t>
      </w:r>
      <w:r w:rsidRPr="00914BAB">
        <w:rPr>
          <w:sz w:val="24"/>
        </w:rPr>
        <w:t> 15.3 (2011): 355-366.</w:t>
      </w:r>
    </w:p>
    <w:p w14:paraId="40B814B4" w14:textId="77777777" w:rsidR="00743642" w:rsidRPr="00914BAB" w:rsidRDefault="00743642" w:rsidP="001B6637">
      <w:pPr>
        <w:spacing w:before="80" w:line="240" w:lineRule="auto"/>
        <w:ind w:left="170" w:hanging="170"/>
        <w:rPr>
          <w:sz w:val="24"/>
        </w:rPr>
      </w:pPr>
      <w:proofErr w:type="spellStart"/>
      <w:r w:rsidRPr="00914BAB">
        <w:rPr>
          <w:sz w:val="24"/>
        </w:rPr>
        <w:t>Goe</w:t>
      </w:r>
      <w:proofErr w:type="spellEnd"/>
      <w:r w:rsidRPr="00914BAB">
        <w:rPr>
          <w:sz w:val="24"/>
        </w:rPr>
        <w:t>, M, and Gabrielle G. "Strengthening the case for recycling photovoltaics: An energy payback analysis." </w:t>
      </w:r>
      <w:r w:rsidRPr="00914BAB">
        <w:rPr>
          <w:i/>
          <w:iCs/>
          <w:sz w:val="24"/>
        </w:rPr>
        <w:t>Applied Energy</w:t>
      </w:r>
      <w:r w:rsidRPr="00914BAB">
        <w:rPr>
          <w:sz w:val="24"/>
        </w:rPr>
        <w:t> 120 (2014): 41-48.</w:t>
      </w:r>
    </w:p>
    <w:p w14:paraId="01EC497C" w14:textId="44766E1B" w:rsidR="00743642" w:rsidRPr="00914BAB" w:rsidRDefault="00743642" w:rsidP="001B6637">
      <w:pPr>
        <w:spacing w:before="80" w:line="240" w:lineRule="auto"/>
        <w:ind w:left="170" w:hanging="170"/>
        <w:rPr>
          <w:rFonts w:eastAsia="Times New Roman"/>
          <w:sz w:val="24"/>
        </w:rPr>
      </w:pPr>
      <w:proofErr w:type="spellStart"/>
      <w:r w:rsidRPr="00914BAB">
        <w:rPr>
          <w:rFonts w:eastAsia="Times New Roman"/>
          <w:sz w:val="24"/>
        </w:rPr>
        <w:t>Hoornweg</w:t>
      </w:r>
      <w:proofErr w:type="spellEnd"/>
      <w:r w:rsidRPr="00914BAB">
        <w:rPr>
          <w:rFonts w:eastAsia="Times New Roman"/>
          <w:sz w:val="24"/>
        </w:rPr>
        <w:t xml:space="preserve">, D. and </w:t>
      </w:r>
      <w:proofErr w:type="spellStart"/>
      <w:r w:rsidRPr="00914BAB">
        <w:rPr>
          <w:rFonts w:eastAsia="Times New Roman"/>
          <w:sz w:val="24"/>
        </w:rPr>
        <w:t>Bhada</w:t>
      </w:r>
      <w:proofErr w:type="spellEnd"/>
      <w:r w:rsidRPr="00914BAB">
        <w:rPr>
          <w:rFonts w:eastAsia="Times New Roman"/>
          <w:sz w:val="24"/>
        </w:rPr>
        <w:t xml:space="preserve">-Tata, P. (2012). What a Waste: A Global Review of Solid Waste Management. Urban Development Series - Knowledge Papers. The World Bank, Washington, DC. </w:t>
      </w:r>
      <w:hyperlink r:id="rId15" w:history="1">
        <w:r w:rsidR="001961F2" w:rsidRPr="00914BAB">
          <w:rPr>
            <w:rStyle w:val="Hyperlink"/>
            <w:rFonts w:eastAsia="Times New Roman"/>
            <w:sz w:val="24"/>
          </w:rPr>
          <w:t>http://go.worldbank.org/BCQEP0TMO0</w:t>
        </w:r>
      </w:hyperlink>
      <w:r w:rsidR="001961F2" w:rsidRPr="00914BAB">
        <w:rPr>
          <w:rFonts w:eastAsia="Times New Roman"/>
          <w:sz w:val="24"/>
        </w:rPr>
        <w:t xml:space="preserve"> </w:t>
      </w:r>
    </w:p>
    <w:p w14:paraId="6D2674D5" w14:textId="34248809" w:rsidR="001961F2" w:rsidRPr="00914BAB" w:rsidRDefault="00743642" w:rsidP="001961F2">
      <w:pPr>
        <w:spacing w:before="80" w:line="240" w:lineRule="auto"/>
        <w:ind w:left="170" w:hanging="170"/>
        <w:rPr>
          <w:rFonts w:eastAsia="Times New Roman"/>
          <w:sz w:val="24"/>
        </w:rPr>
      </w:pPr>
      <w:r w:rsidRPr="00914BAB">
        <w:rPr>
          <w:rFonts w:eastAsia="Times New Roman"/>
          <w:sz w:val="24"/>
        </w:rPr>
        <w:t>IEA (2009). Transport, Energy and CO2: Moving toward Sustainability. International Energy Agenc</w:t>
      </w:r>
      <w:r w:rsidR="001961F2" w:rsidRPr="00914BAB">
        <w:rPr>
          <w:rFonts w:eastAsia="Times New Roman"/>
          <w:sz w:val="24"/>
        </w:rPr>
        <w:t xml:space="preserve">y, Paris, 414 pp. Available at: </w:t>
      </w:r>
      <w:hyperlink r:id="rId16" w:history="1">
        <w:r w:rsidR="001961F2" w:rsidRPr="00914BAB">
          <w:rPr>
            <w:rStyle w:val="Hyperlink"/>
            <w:rFonts w:eastAsia="Times New Roman"/>
            <w:sz w:val="24"/>
          </w:rPr>
          <w:t>http://www.iea.org/publications/freepublications/publication/transport2009.pdf</w:t>
        </w:r>
      </w:hyperlink>
      <w:r w:rsidR="001961F2" w:rsidRPr="00914BAB">
        <w:rPr>
          <w:rFonts w:eastAsia="Times New Roman"/>
          <w:sz w:val="24"/>
        </w:rPr>
        <w:t xml:space="preserve"> </w:t>
      </w:r>
    </w:p>
    <w:p w14:paraId="5FE8242C" w14:textId="775D0610" w:rsidR="00743642" w:rsidRPr="00914BAB" w:rsidRDefault="001961F2" w:rsidP="001961F2">
      <w:pPr>
        <w:spacing w:before="80" w:line="240" w:lineRule="auto"/>
        <w:ind w:left="170" w:hanging="170"/>
        <w:rPr>
          <w:sz w:val="24"/>
        </w:rPr>
      </w:pPr>
      <w:r w:rsidRPr="00914BAB">
        <w:rPr>
          <w:rFonts w:eastAsia="Times New Roman"/>
          <w:sz w:val="24"/>
        </w:rPr>
        <w:t>I</w:t>
      </w:r>
      <w:r w:rsidR="00743642" w:rsidRPr="00914BAB">
        <w:rPr>
          <w:sz w:val="24"/>
        </w:rPr>
        <w:t>EA (2010). World Energy Outlook 2010. International Energy Agency, Paris.</w:t>
      </w:r>
      <w:r w:rsidRPr="00914BAB">
        <w:rPr>
          <w:sz w:val="24"/>
        </w:rPr>
        <w:t xml:space="preserve"> </w:t>
      </w:r>
      <w:hyperlink r:id="rId17" w:history="1">
        <w:r w:rsidRPr="00914BAB">
          <w:rPr>
            <w:rStyle w:val="Hyperlink"/>
            <w:sz w:val="24"/>
          </w:rPr>
          <w:t>http://www.worldenergyoutlook.org/2010.asp</w:t>
        </w:r>
      </w:hyperlink>
      <w:r w:rsidRPr="00914BAB">
        <w:rPr>
          <w:sz w:val="24"/>
        </w:rPr>
        <w:t xml:space="preserve"> </w:t>
      </w:r>
    </w:p>
    <w:p w14:paraId="4041C4BA" w14:textId="1374B977" w:rsidR="00743642" w:rsidRPr="00914BAB" w:rsidRDefault="00743642" w:rsidP="00033FE3">
      <w:pPr>
        <w:spacing w:before="80" w:line="240" w:lineRule="auto"/>
        <w:ind w:left="170" w:hanging="170"/>
        <w:rPr>
          <w:sz w:val="24"/>
        </w:rPr>
      </w:pPr>
      <w:r w:rsidRPr="00914BAB">
        <w:rPr>
          <w:sz w:val="24"/>
        </w:rPr>
        <w:lastRenderedPageBreak/>
        <w:t>IEA (2012). Energy Technology Perspectives 2012: Pathways to a Clean Energy System.</w:t>
      </w:r>
      <w:r w:rsidR="00033FE3" w:rsidRPr="00914BAB">
        <w:rPr>
          <w:sz w:val="24"/>
        </w:rPr>
        <w:t xml:space="preserve"> </w:t>
      </w:r>
      <w:r w:rsidRPr="00914BAB">
        <w:rPr>
          <w:sz w:val="24"/>
        </w:rPr>
        <w:t xml:space="preserve">International Energy Agency, Paris. </w:t>
      </w:r>
      <w:hyperlink r:id="rId18" w:history="1">
        <w:r w:rsidR="001961F2" w:rsidRPr="00914BAB">
          <w:rPr>
            <w:rStyle w:val="Hyperlink"/>
            <w:sz w:val="24"/>
          </w:rPr>
          <w:t>http://www.iea.org/etp/publications/etp2012/</w:t>
        </w:r>
      </w:hyperlink>
      <w:r w:rsidR="001961F2" w:rsidRPr="00914BAB">
        <w:rPr>
          <w:sz w:val="24"/>
        </w:rPr>
        <w:t xml:space="preserve"> </w:t>
      </w:r>
    </w:p>
    <w:p w14:paraId="2186DB1F" w14:textId="498A34A3" w:rsidR="00743642" w:rsidRPr="00914BAB" w:rsidRDefault="00743642" w:rsidP="00033FE3">
      <w:pPr>
        <w:spacing w:before="80" w:line="240" w:lineRule="auto"/>
        <w:ind w:left="170" w:hanging="170"/>
        <w:rPr>
          <w:sz w:val="24"/>
        </w:rPr>
      </w:pPr>
      <w:r w:rsidRPr="00914BAB">
        <w:rPr>
          <w:sz w:val="24"/>
        </w:rPr>
        <w:t>IEA (2013). World Energy Outlook 2013. International Energy Agency, Paris.</w:t>
      </w:r>
      <w:r w:rsidR="00033FE3" w:rsidRPr="00914BAB">
        <w:rPr>
          <w:sz w:val="24"/>
        </w:rPr>
        <w:t xml:space="preserve"> </w:t>
      </w:r>
      <w:hyperlink r:id="rId19" w:history="1">
        <w:r w:rsidR="001961F2" w:rsidRPr="00914BAB">
          <w:rPr>
            <w:rStyle w:val="Hyperlink"/>
            <w:sz w:val="24"/>
          </w:rPr>
          <w:t>http://www.worldenergyoutlook.org/publications/weo-2013/</w:t>
        </w:r>
      </w:hyperlink>
      <w:r w:rsidR="001961F2" w:rsidRPr="00914BAB">
        <w:rPr>
          <w:sz w:val="24"/>
        </w:rPr>
        <w:t xml:space="preserve"> </w:t>
      </w:r>
    </w:p>
    <w:p w14:paraId="63FD2D4A" w14:textId="0B9855F4" w:rsidR="00743642" w:rsidRPr="00914BAB" w:rsidRDefault="00743642" w:rsidP="00033FE3">
      <w:pPr>
        <w:spacing w:before="80" w:line="240" w:lineRule="auto"/>
        <w:ind w:left="170" w:hanging="170"/>
        <w:rPr>
          <w:sz w:val="24"/>
        </w:rPr>
      </w:pPr>
      <w:r w:rsidRPr="00914BAB">
        <w:rPr>
          <w:sz w:val="24"/>
        </w:rPr>
        <w:t>IEA (2014a). Energy Technology Perspectives 2014: Harnessing Electricity’s Potential.</w:t>
      </w:r>
      <w:r w:rsidR="00033FE3" w:rsidRPr="00914BAB">
        <w:rPr>
          <w:sz w:val="24"/>
        </w:rPr>
        <w:t xml:space="preserve"> </w:t>
      </w:r>
      <w:r w:rsidRPr="00914BAB">
        <w:rPr>
          <w:sz w:val="24"/>
        </w:rPr>
        <w:t xml:space="preserve">International Energy Agency, Paris. </w:t>
      </w:r>
      <w:hyperlink r:id="rId20" w:history="1">
        <w:r w:rsidR="001961F2" w:rsidRPr="00914BAB">
          <w:rPr>
            <w:rStyle w:val="Hyperlink"/>
            <w:sz w:val="24"/>
          </w:rPr>
          <w:t>http://www.iea.org/etp/</w:t>
        </w:r>
      </w:hyperlink>
      <w:r w:rsidR="001961F2" w:rsidRPr="00914BAB">
        <w:rPr>
          <w:sz w:val="24"/>
        </w:rPr>
        <w:t xml:space="preserve"> </w:t>
      </w:r>
    </w:p>
    <w:p w14:paraId="6E71D32C" w14:textId="7A447C6B" w:rsidR="00743642" w:rsidRPr="00914BAB" w:rsidRDefault="00743642" w:rsidP="00033FE3">
      <w:pPr>
        <w:spacing w:before="80" w:line="240" w:lineRule="auto"/>
        <w:ind w:left="170" w:hanging="170"/>
        <w:rPr>
          <w:sz w:val="24"/>
        </w:rPr>
      </w:pPr>
      <w:r w:rsidRPr="00914BAB">
        <w:rPr>
          <w:sz w:val="24"/>
        </w:rPr>
        <w:t>IEA (2014b). World Energy Outlook 2014. International Energy Agency, Paris.</w:t>
      </w:r>
      <w:r w:rsidR="00033FE3" w:rsidRPr="00914BAB">
        <w:rPr>
          <w:sz w:val="24"/>
        </w:rPr>
        <w:t xml:space="preserve"> </w:t>
      </w:r>
      <w:hyperlink r:id="rId21" w:history="1">
        <w:r w:rsidR="001961F2" w:rsidRPr="00914BAB">
          <w:rPr>
            <w:rStyle w:val="Hyperlink"/>
            <w:sz w:val="24"/>
          </w:rPr>
          <w:t>http://www.worldenergyoutlook.org/publications/weo-2014/</w:t>
        </w:r>
      </w:hyperlink>
      <w:r w:rsidR="001961F2" w:rsidRPr="00914BAB">
        <w:rPr>
          <w:sz w:val="24"/>
        </w:rPr>
        <w:t xml:space="preserve"> </w:t>
      </w:r>
    </w:p>
    <w:p w14:paraId="049792D3" w14:textId="235C4A89" w:rsidR="00743642" w:rsidRPr="00914BAB" w:rsidRDefault="00743642" w:rsidP="001B6637">
      <w:pPr>
        <w:spacing w:before="80" w:line="240" w:lineRule="auto"/>
        <w:ind w:left="170" w:hanging="170"/>
        <w:rPr>
          <w:rFonts w:eastAsia="Times New Roman"/>
          <w:sz w:val="24"/>
        </w:rPr>
      </w:pPr>
      <w:r w:rsidRPr="00914BAB">
        <w:rPr>
          <w:sz w:val="24"/>
        </w:rPr>
        <w:t xml:space="preserve">IEA (2014c). World Energy Investment Outlook 2014. International Energy Agency, Paris. </w:t>
      </w:r>
      <w:hyperlink r:id="rId22" w:history="1">
        <w:r w:rsidR="001961F2" w:rsidRPr="00914BAB">
          <w:rPr>
            <w:rStyle w:val="Hyperlink"/>
            <w:sz w:val="24"/>
          </w:rPr>
          <w:t>https://www.iea.org/publications/freepublications/publication/world-energy-investment-outlook---special-report---.html</w:t>
        </w:r>
      </w:hyperlink>
      <w:r w:rsidR="001961F2" w:rsidRPr="00914BAB">
        <w:rPr>
          <w:sz w:val="24"/>
        </w:rPr>
        <w:t xml:space="preserve"> </w:t>
      </w:r>
    </w:p>
    <w:p w14:paraId="7CD2DECA" w14:textId="1B7BE83A" w:rsidR="00743642" w:rsidRPr="00914BAB" w:rsidRDefault="00743642" w:rsidP="001961F2">
      <w:pPr>
        <w:spacing w:before="80" w:line="240" w:lineRule="auto"/>
        <w:ind w:left="170" w:hanging="170"/>
        <w:rPr>
          <w:rFonts w:eastAsia="Times New Roman"/>
          <w:sz w:val="24"/>
        </w:rPr>
      </w:pPr>
      <w:r w:rsidRPr="00914BAB">
        <w:rPr>
          <w:rFonts w:eastAsia="Times New Roman"/>
          <w:sz w:val="24"/>
        </w:rPr>
        <w:t xml:space="preserve">IPCC (2006). 2006 IPCC Guidelines for National Greenhouse Gas Inventories. IGES, </w:t>
      </w:r>
      <w:proofErr w:type="spellStart"/>
      <w:r w:rsidRPr="00914BAB">
        <w:rPr>
          <w:rFonts w:eastAsia="Times New Roman"/>
          <w:sz w:val="24"/>
        </w:rPr>
        <w:t>Hayama</w:t>
      </w:r>
      <w:proofErr w:type="spellEnd"/>
      <w:r w:rsidRPr="00914BAB">
        <w:rPr>
          <w:rFonts w:eastAsia="Times New Roman"/>
          <w:sz w:val="24"/>
        </w:rPr>
        <w:t xml:space="preserve">, Japan. </w:t>
      </w:r>
      <w:hyperlink r:id="rId23" w:history="1">
        <w:r w:rsidR="001961F2" w:rsidRPr="00914BAB">
          <w:rPr>
            <w:rStyle w:val="Hyperlink"/>
            <w:rFonts w:eastAsia="Times New Roman"/>
            <w:sz w:val="24"/>
          </w:rPr>
          <w:t>http://www.ipcc-nggip.iges.or.jp/public/2006gl/index.html</w:t>
        </w:r>
      </w:hyperlink>
      <w:r w:rsidR="001961F2" w:rsidRPr="00914BAB">
        <w:rPr>
          <w:rFonts w:eastAsia="Times New Roman"/>
          <w:sz w:val="24"/>
        </w:rPr>
        <w:t xml:space="preserve"> </w:t>
      </w:r>
    </w:p>
    <w:p w14:paraId="102A0087" w14:textId="77777777" w:rsidR="001961F2" w:rsidRPr="00914BAB" w:rsidRDefault="00743642" w:rsidP="001961F2">
      <w:pPr>
        <w:spacing w:before="80" w:line="240" w:lineRule="auto"/>
        <w:ind w:left="170" w:hanging="170"/>
        <w:rPr>
          <w:rFonts w:eastAsia="Times New Roman"/>
          <w:sz w:val="24"/>
        </w:rPr>
      </w:pPr>
      <w:r w:rsidRPr="00914BAB">
        <w:rPr>
          <w:rFonts w:eastAsia="Times New Roman"/>
          <w:sz w:val="24"/>
        </w:rPr>
        <w:t xml:space="preserve">Mock, P., &amp; Yang, Z. (2014). Driving electrification: A global comparison of fiscal policy for electric vehicles. The International Council on Clean Transportation. Retrieved from </w:t>
      </w:r>
      <w:hyperlink r:id="rId24" w:history="1">
        <w:r w:rsidR="001961F2" w:rsidRPr="00914BAB">
          <w:rPr>
            <w:rStyle w:val="Hyperlink"/>
            <w:rFonts w:eastAsia="Times New Roman"/>
            <w:sz w:val="24"/>
          </w:rPr>
          <w:t>http://www.theicct.org/driving-electrification-global-comparison-fiscal-policyelectric-vehicles</w:t>
        </w:r>
      </w:hyperlink>
      <w:r w:rsidR="001961F2" w:rsidRPr="00914BAB">
        <w:rPr>
          <w:rFonts w:eastAsia="Times New Roman"/>
          <w:sz w:val="24"/>
        </w:rPr>
        <w:t xml:space="preserve"> </w:t>
      </w:r>
    </w:p>
    <w:p w14:paraId="6E29EBA6" w14:textId="0313F442" w:rsidR="00C27B3D" w:rsidRDefault="00C27B3D" w:rsidP="003010D7">
      <w:pPr>
        <w:spacing w:before="80" w:line="240" w:lineRule="auto"/>
        <w:ind w:left="170" w:hanging="170"/>
        <w:rPr>
          <w:sz w:val="24"/>
        </w:rPr>
      </w:pPr>
      <w:proofErr w:type="spellStart"/>
      <w:r w:rsidRPr="00C27B3D">
        <w:rPr>
          <w:sz w:val="24"/>
        </w:rPr>
        <w:t>Mundada</w:t>
      </w:r>
      <w:proofErr w:type="spellEnd"/>
      <w:r w:rsidRPr="00C27B3D">
        <w:rPr>
          <w:sz w:val="24"/>
        </w:rPr>
        <w:t xml:space="preserve">, A. S., Shah, K. K., &amp; Pearce, J. M. (2016). </w:t>
      </w:r>
      <w:proofErr w:type="spellStart"/>
      <w:r w:rsidRPr="00C27B3D">
        <w:rPr>
          <w:sz w:val="24"/>
        </w:rPr>
        <w:t>Levelized</w:t>
      </w:r>
      <w:proofErr w:type="spellEnd"/>
      <w:r w:rsidRPr="00C27B3D">
        <w:rPr>
          <w:sz w:val="24"/>
        </w:rPr>
        <w:t xml:space="preserve"> cost of electricity for solar photovoltaic, battery and </w:t>
      </w:r>
      <w:proofErr w:type="spellStart"/>
      <w:r w:rsidRPr="00C27B3D">
        <w:rPr>
          <w:sz w:val="24"/>
        </w:rPr>
        <w:t>cogen</w:t>
      </w:r>
      <w:proofErr w:type="spellEnd"/>
      <w:r w:rsidRPr="00C27B3D">
        <w:rPr>
          <w:sz w:val="24"/>
        </w:rPr>
        <w:t xml:space="preserve"> hybrid </w:t>
      </w:r>
      <w:proofErr w:type="spellStart"/>
      <w:proofErr w:type="gramStart"/>
      <w:r w:rsidRPr="00C27B3D">
        <w:rPr>
          <w:sz w:val="24"/>
        </w:rPr>
        <w:t>systems.</w:t>
      </w:r>
      <w:r w:rsidRPr="00C27B3D">
        <w:rPr>
          <w:i/>
          <w:iCs/>
          <w:sz w:val="24"/>
        </w:rPr>
        <w:t>Renewable</w:t>
      </w:r>
      <w:proofErr w:type="spellEnd"/>
      <w:proofErr w:type="gramEnd"/>
      <w:r w:rsidRPr="00C27B3D">
        <w:rPr>
          <w:i/>
          <w:iCs/>
          <w:sz w:val="24"/>
        </w:rPr>
        <w:t xml:space="preserve"> and Sustainable Energy Reviews</w:t>
      </w:r>
      <w:r w:rsidRPr="00C27B3D">
        <w:rPr>
          <w:sz w:val="24"/>
        </w:rPr>
        <w:t>, </w:t>
      </w:r>
      <w:r w:rsidRPr="00C27B3D">
        <w:rPr>
          <w:i/>
          <w:iCs/>
          <w:sz w:val="24"/>
        </w:rPr>
        <w:t>57</w:t>
      </w:r>
      <w:r w:rsidRPr="00C27B3D">
        <w:rPr>
          <w:sz w:val="24"/>
        </w:rPr>
        <w:t>, 692-703.</w:t>
      </w:r>
    </w:p>
    <w:p w14:paraId="62CFDC1B" w14:textId="77777777" w:rsidR="003010D7" w:rsidRPr="00914BAB" w:rsidRDefault="003010D7" w:rsidP="003010D7">
      <w:pPr>
        <w:spacing w:before="80" w:line="240" w:lineRule="auto"/>
        <w:ind w:left="170" w:hanging="170"/>
        <w:rPr>
          <w:sz w:val="24"/>
        </w:rPr>
      </w:pPr>
      <w:r w:rsidRPr="00914BAB">
        <w:rPr>
          <w:sz w:val="24"/>
        </w:rPr>
        <w:t>NCE (2014). Global Commission on the Economy and Climate. New Climate Economy Technical Note: Infrastructure investment needs of a low-carbon scenario. November 2014.</w:t>
      </w:r>
    </w:p>
    <w:p w14:paraId="21D2E781" w14:textId="63AEF975" w:rsidR="00743642" w:rsidRPr="00914BAB" w:rsidRDefault="004679F0" w:rsidP="001961F2">
      <w:pPr>
        <w:spacing w:before="80" w:line="240" w:lineRule="auto"/>
        <w:ind w:left="170" w:hanging="170"/>
        <w:rPr>
          <w:rFonts w:eastAsia="Times New Roman"/>
          <w:sz w:val="24"/>
        </w:rPr>
      </w:pPr>
      <w:proofErr w:type="spellStart"/>
      <w:r>
        <w:rPr>
          <w:rFonts w:eastAsia="Times New Roman"/>
          <w:sz w:val="24"/>
        </w:rPr>
        <w:t>Nemry</w:t>
      </w:r>
      <w:proofErr w:type="spellEnd"/>
      <w:r>
        <w:rPr>
          <w:rFonts w:eastAsia="Times New Roman"/>
          <w:sz w:val="24"/>
        </w:rPr>
        <w:t xml:space="preserve">, F. </w:t>
      </w:r>
      <w:r w:rsidR="00743642" w:rsidRPr="00914BAB">
        <w:rPr>
          <w:rFonts w:eastAsia="Times New Roman"/>
          <w:sz w:val="24"/>
        </w:rPr>
        <w:t>Leduc</w:t>
      </w:r>
      <w:r>
        <w:rPr>
          <w:rFonts w:eastAsia="Times New Roman"/>
          <w:sz w:val="24"/>
        </w:rPr>
        <w:t>, G.</w:t>
      </w:r>
      <w:r w:rsidR="00743642" w:rsidRPr="00914BAB">
        <w:rPr>
          <w:rFonts w:eastAsia="Times New Roman"/>
          <w:sz w:val="24"/>
        </w:rPr>
        <w:t xml:space="preserve"> and Muñoz</w:t>
      </w:r>
      <w:r>
        <w:rPr>
          <w:rFonts w:eastAsia="Times New Roman"/>
          <w:sz w:val="24"/>
        </w:rPr>
        <w:t>, A. (2009)</w:t>
      </w:r>
      <w:r w:rsidR="00743642" w:rsidRPr="00914BAB">
        <w:rPr>
          <w:rFonts w:eastAsia="Times New Roman"/>
          <w:sz w:val="24"/>
        </w:rPr>
        <w:t>. Plug-in Hybrid and Battery-Electric Vehicles: State of the research and development and comparative analysis of energy and cost efficiency. No. JRC54699. Institute for Prospective and Technological</w:t>
      </w:r>
      <w:r>
        <w:rPr>
          <w:rFonts w:eastAsia="Times New Roman"/>
          <w:sz w:val="24"/>
        </w:rPr>
        <w:t xml:space="preserve"> Studies, Joint Research Centre</w:t>
      </w:r>
      <w:r w:rsidR="00743642" w:rsidRPr="00914BAB">
        <w:rPr>
          <w:rFonts w:eastAsia="Times New Roman"/>
          <w:sz w:val="24"/>
        </w:rPr>
        <w:t>.</w:t>
      </w:r>
    </w:p>
    <w:p w14:paraId="55C3E31C" w14:textId="77777777" w:rsidR="00743642" w:rsidRPr="00914BAB" w:rsidRDefault="00743642" w:rsidP="001B6637">
      <w:pPr>
        <w:spacing w:before="80" w:line="240" w:lineRule="auto"/>
        <w:ind w:left="170" w:hanging="170"/>
        <w:rPr>
          <w:rFonts w:eastAsia="Times New Roman"/>
          <w:sz w:val="24"/>
        </w:rPr>
      </w:pPr>
      <w:r w:rsidRPr="00914BAB">
        <w:rPr>
          <w:rFonts w:eastAsia="Times New Roman"/>
          <w:sz w:val="24"/>
        </w:rPr>
        <w:t>NRC (2010). Technologies and Approaches to Reducing the Fuel Consumption of Medium- and Heavy-Duty Vehicles. US National Research Council, Washington, D.C., pp 250</w:t>
      </w:r>
    </w:p>
    <w:p w14:paraId="4AFD752A" w14:textId="77777777" w:rsidR="00743642" w:rsidRPr="00914BAB" w:rsidRDefault="00743642" w:rsidP="001B6637">
      <w:pPr>
        <w:spacing w:before="80" w:line="240" w:lineRule="auto"/>
        <w:ind w:left="170" w:hanging="170"/>
        <w:rPr>
          <w:b/>
          <w:sz w:val="24"/>
        </w:rPr>
      </w:pPr>
      <w:r w:rsidRPr="00914BAB">
        <w:rPr>
          <w:rFonts w:eastAsia="Times New Roman"/>
          <w:sz w:val="24"/>
        </w:rPr>
        <w:t>NRC (2013). Transitions to Alternative Vehicles and Fuels. National Academies Press, Washington, D.C, 170 pp. ISBN: 9780309268523</w:t>
      </w:r>
    </w:p>
    <w:p w14:paraId="16D31D01" w14:textId="245222B6" w:rsidR="00743642" w:rsidRPr="00914BAB" w:rsidRDefault="00743642" w:rsidP="001B6637">
      <w:pPr>
        <w:spacing w:before="80" w:line="240" w:lineRule="auto"/>
        <w:ind w:left="170" w:hanging="170"/>
        <w:rPr>
          <w:rFonts w:eastAsia="Times New Roman"/>
          <w:sz w:val="24"/>
        </w:rPr>
      </w:pPr>
      <w:proofErr w:type="spellStart"/>
      <w:r w:rsidRPr="00914BAB">
        <w:rPr>
          <w:rFonts w:eastAsia="Times New Roman"/>
          <w:sz w:val="24"/>
        </w:rPr>
        <w:t>Replogle</w:t>
      </w:r>
      <w:proofErr w:type="spellEnd"/>
      <w:r w:rsidRPr="00914BAB">
        <w:rPr>
          <w:rFonts w:eastAsia="Times New Roman"/>
          <w:sz w:val="24"/>
        </w:rPr>
        <w:t xml:space="preserve">, M, and Fulton. L (2014) "A Global High Shift Scenario: Impacts and Potential for More Public Transport, Walking, and Cycling with Lower Car Use." Institute for Transport and Development Policy and UC Davis. Available from </w:t>
      </w:r>
      <w:hyperlink r:id="rId25" w:history="1">
        <w:r w:rsidR="001961F2" w:rsidRPr="00914BAB">
          <w:rPr>
            <w:rStyle w:val="Hyperlink"/>
            <w:rFonts w:eastAsia="Times New Roman"/>
            <w:sz w:val="24"/>
          </w:rPr>
          <w:t>https://www.itdp.org/wp-content/uploads/2014/09/A-Global-High-Shift-Scenario_V2_WEB.pdf</w:t>
        </w:r>
      </w:hyperlink>
      <w:r w:rsidR="001961F2" w:rsidRPr="00914BAB">
        <w:rPr>
          <w:rFonts w:eastAsia="Times New Roman"/>
          <w:sz w:val="24"/>
        </w:rPr>
        <w:t xml:space="preserve"> </w:t>
      </w:r>
    </w:p>
    <w:p w14:paraId="4EFDAECA" w14:textId="02D22159" w:rsidR="0085771A" w:rsidRPr="00914BAB" w:rsidRDefault="0085771A" w:rsidP="001B6637">
      <w:pPr>
        <w:spacing w:before="80" w:line="240" w:lineRule="auto"/>
        <w:ind w:left="170" w:hanging="170"/>
        <w:rPr>
          <w:sz w:val="24"/>
        </w:rPr>
      </w:pPr>
      <w:proofErr w:type="spellStart"/>
      <w:r w:rsidRPr="00914BAB">
        <w:rPr>
          <w:sz w:val="24"/>
        </w:rPr>
        <w:t>Schlömer</w:t>
      </w:r>
      <w:proofErr w:type="spellEnd"/>
      <w:r w:rsidRPr="00914BAB">
        <w:rPr>
          <w:sz w:val="24"/>
        </w:rPr>
        <w:t xml:space="preserve"> S., T. Bruckner, L. Fulton, E. </w:t>
      </w:r>
      <w:proofErr w:type="spellStart"/>
      <w:r w:rsidRPr="00914BAB">
        <w:rPr>
          <w:sz w:val="24"/>
        </w:rPr>
        <w:t>Hertwich</w:t>
      </w:r>
      <w:proofErr w:type="spellEnd"/>
      <w:r w:rsidRPr="00914BAB">
        <w:rPr>
          <w:sz w:val="24"/>
        </w:rPr>
        <w:t xml:space="preserve">, A. McKinnon, D. </w:t>
      </w:r>
      <w:proofErr w:type="spellStart"/>
      <w:r w:rsidRPr="00914BAB">
        <w:rPr>
          <w:sz w:val="24"/>
        </w:rPr>
        <w:t>Perczyk</w:t>
      </w:r>
      <w:proofErr w:type="spellEnd"/>
      <w:r w:rsidRPr="00914BAB">
        <w:rPr>
          <w:sz w:val="24"/>
        </w:rPr>
        <w:t>, J. Roy, R. Schaeffer, R. Sims, P. Smith, and R. Wiser, 2014: Annex III: Technology-specific cost and performance parameters. In: Climate Change 2014: Mitigation of Climate Change. Contribution of Working Group III to the Fifth Assessment Report of the Intergovernmental Panel on Climate Change [</w:t>
      </w:r>
      <w:proofErr w:type="spellStart"/>
      <w:r w:rsidRPr="00914BAB">
        <w:rPr>
          <w:sz w:val="24"/>
        </w:rPr>
        <w:t>Edenhofer</w:t>
      </w:r>
      <w:proofErr w:type="spellEnd"/>
      <w:r w:rsidRPr="00914BAB">
        <w:rPr>
          <w:sz w:val="24"/>
        </w:rPr>
        <w:t xml:space="preserve">, O., R. </w:t>
      </w:r>
      <w:proofErr w:type="spellStart"/>
      <w:r w:rsidRPr="00914BAB">
        <w:rPr>
          <w:sz w:val="24"/>
        </w:rPr>
        <w:t>Pichs-Madruga</w:t>
      </w:r>
      <w:proofErr w:type="spellEnd"/>
      <w:r w:rsidRPr="00914BAB">
        <w:rPr>
          <w:sz w:val="24"/>
        </w:rPr>
        <w:t xml:space="preserve">, Y. </w:t>
      </w:r>
      <w:proofErr w:type="spellStart"/>
      <w:r w:rsidRPr="00914BAB">
        <w:rPr>
          <w:sz w:val="24"/>
        </w:rPr>
        <w:t>Sokona</w:t>
      </w:r>
      <w:proofErr w:type="spellEnd"/>
      <w:r w:rsidRPr="00914BAB">
        <w:rPr>
          <w:sz w:val="24"/>
        </w:rPr>
        <w:t xml:space="preserve">, E. </w:t>
      </w:r>
      <w:proofErr w:type="spellStart"/>
      <w:r w:rsidRPr="00914BAB">
        <w:rPr>
          <w:sz w:val="24"/>
        </w:rPr>
        <w:t>Farahani</w:t>
      </w:r>
      <w:proofErr w:type="spellEnd"/>
      <w:r w:rsidRPr="00914BAB">
        <w:rPr>
          <w:sz w:val="24"/>
        </w:rPr>
        <w:t xml:space="preserve">, S. </w:t>
      </w:r>
      <w:proofErr w:type="spellStart"/>
      <w:r w:rsidRPr="00914BAB">
        <w:rPr>
          <w:sz w:val="24"/>
        </w:rPr>
        <w:t>Kadner</w:t>
      </w:r>
      <w:proofErr w:type="spellEnd"/>
      <w:r w:rsidRPr="00914BAB">
        <w:rPr>
          <w:sz w:val="24"/>
        </w:rPr>
        <w:t xml:space="preserve">, K. </w:t>
      </w:r>
      <w:proofErr w:type="spellStart"/>
      <w:r w:rsidRPr="00914BAB">
        <w:rPr>
          <w:sz w:val="24"/>
        </w:rPr>
        <w:t>Seyboth</w:t>
      </w:r>
      <w:proofErr w:type="spellEnd"/>
      <w:r w:rsidRPr="00914BAB">
        <w:rPr>
          <w:sz w:val="24"/>
        </w:rPr>
        <w:t xml:space="preserve">, A. Adler, I. Baum, S. Brunner, P. </w:t>
      </w:r>
      <w:proofErr w:type="spellStart"/>
      <w:r w:rsidRPr="00914BAB">
        <w:rPr>
          <w:sz w:val="24"/>
        </w:rPr>
        <w:t>Eickemeier</w:t>
      </w:r>
      <w:proofErr w:type="spellEnd"/>
      <w:r w:rsidRPr="00914BAB">
        <w:rPr>
          <w:sz w:val="24"/>
        </w:rPr>
        <w:t xml:space="preserve">, B. </w:t>
      </w:r>
      <w:proofErr w:type="spellStart"/>
      <w:r w:rsidRPr="00914BAB">
        <w:rPr>
          <w:sz w:val="24"/>
        </w:rPr>
        <w:t>Kriemann</w:t>
      </w:r>
      <w:proofErr w:type="spellEnd"/>
      <w:r w:rsidRPr="00914BAB">
        <w:rPr>
          <w:sz w:val="24"/>
        </w:rPr>
        <w:t xml:space="preserve">, J. </w:t>
      </w:r>
      <w:proofErr w:type="spellStart"/>
      <w:r w:rsidRPr="00914BAB">
        <w:rPr>
          <w:sz w:val="24"/>
        </w:rPr>
        <w:t>Savolainen</w:t>
      </w:r>
      <w:proofErr w:type="spellEnd"/>
      <w:r w:rsidRPr="00914BAB">
        <w:rPr>
          <w:sz w:val="24"/>
        </w:rPr>
        <w:t xml:space="preserve">, S. </w:t>
      </w:r>
      <w:proofErr w:type="spellStart"/>
      <w:r w:rsidRPr="00914BAB">
        <w:rPr>
          <w:sz w:val="24"/>
        </w:rPr>
        <w:t>Schlömer</w:t>
      </w:r>
      <w:proofErr w:type="spellEnd"/>
      <w:r w:rsidRPr="00914BAB">
        <w:rPr>
          <w:sz w:val="24"/>
        </w:rPr>
        <w:t xml:space="preserve">, C. von </w:t>
      </w:r>
      <w:proofErr w:type="spellStart"/>
      <w:r w:rsidRPr="00914BAB">
        <w:rPr>
          <w:sz w:val="24"/>
        </w:rPr>
        <w:t>Stechow</w:t>
      </w:r>
      <w:proofErr w:type="spellEnd"/>
      <w:r w:rsidRPr="00914BAB">
        <w:rPr>
          <w:sz w:val="24"/>
        </w:rPr>
        <w:t xml:space="preserve">, T. </w:t>
      </w:r>
      <w:proofErr w:type="spellStart"/>
      <w:r w:rsidRPr="00914BAB">
        <w:rPr>
          <w:sz w:val="24"/>
        </w:rPr>
        <w:t>Zwickel</w:t>
      </w:r>
      <w:proofErr w:type="spellEnd"/>
      <w:r w:rsidRPr="00914BAB">
        <w:rPr>
          <w:sz w:val="24"/>
        </w:rPr>
        <w:t xml:space="preserve"> and J.C. Minx (eds.)]. Cambridge University Press, Cambridge, United Kingdom and New York, NY, USA.</w:t>
      </w:r>
    </w:p>
    <w:p w14:paraId="41F3A6E2" w14:textId="77777777" w:rsidR="00743642" w:rsidRPr="00914BAB" w:rsidRDefault="00743642" w:rsidP="001B6637">
      <w:pPr>
        <w:spacing w:before="80" w:line="240" w:lineRule="auto"/>
        <w:ind w:left="170" w:hanging="170"/>
        <w:rPr>
          <w:sz w:val="24"/>
        </w:rPr>
      </w:pPr>
      <w:proofErr w:type="spellStart"/>
      <w:r w:rsidRPr="00914BAB">
        <w:rPr>
          <w:sz w:val="24"/>
        </w:rPr>
        <w:lastRenderedPageBreak/>
        <w:t>Taefi</w:t>
      </w:r>
      <w:proofErr w:type="spellEnd"/>
      <w:r w:rsidRPr="00914BAB">
        <w:rPr>
          <w:sz w:val="24"/>
        </w:rPr>
        <w:t xml:space="preserve">, Tessa T., et al. (2013) "A framework to enhance the productivity of electric commercial vehicles in urban freight transport." Hamburg University of Applied Sciences and Helmut Schmidt University Hamburg. URL </w:t>
      </w:r>
      <w:proofErr w:type="spellStart"/>
      <w:r w:rsidRPr="00914BAB">
        <w:rPr>
          <w:sz w:val="24"/>
        </w:rPr>
        <w:t>hmmu</w:t>
      </w:r>
      <w:proofErr w:type="spellEnd"/>
      <w:r w:rsidRPr="00914BAB">
        <w:rPr>
          <w:sz w:val="24"/>
        </w:rPr>
        <w:t>. ac. uk/media/mmuacuk/content/documents/carpe/2013-conference/papers/creative-engineering/Tessa% 20T.% 20Taefi. pdf. Vol. 22. No. 7. 2013.</w:t>
      </w:r>
    </w:p>
    <w:p w14:paraId="6BB09CEE" w14:textId="77777777" w:rsidR="00743642" w:rsidRPr="00914BAB" w:rsidRDefault="00743642" w:rsidP="001B6637">
      <w:pPr>
        <w:spacing w:before="80" w:line="240" w:lineRule="auto"/>
        <w:ind w:left="170" w:hanging="170"/>
        <w:rPr>
          <w:sz w:val="24"/>
        </w:rPr>
      </w:pPr>
      <w:proofErr w:type="spellStart"/>
      <w:r w:rsidRPr="00914BAB">
        <w:rPr>
          <w:sz w:val="24"/>
        </w:rPr>
        <w:t>Taefi</w:t>
      </w:r>
      <w:proofErr w:type="spellEnd"/>
      <w:r w:rsidRPr="00914BAB">
        <w:rPr>
          <w:sz w:val="24"/>
        </w:rPr>
        <w:t xml:space="preserve">, T., et al. (2014) "Comparative analysis of </w:t>
      </w:r>
      <w:proofErr w:type="spellStart"/>
      <w:r w:rsidRPr="00914BAB">
        <w:rPr>
          <w:sz w:val="24"/>
        </w:rPr>
        <w:t>european</w:t>
      </w:r>
      <w:proofErr w:type="spellEnd"/>
      <w:r w:rsidRPr="00914BAB">
        <w:rPr>
          <w:sz w:val="24"/>
        </w:rPr>
        <w:t xml:space="preserve"> examples of freight electric vehicles schemes. A systematic case study approach with examples from Denmark, Germany, the Netherlands, Sweden and the UK." 4th International Conference on Dynamics in Logistics (LDIC 2014). Bremen, German. Vol. 10. No. 7. 2014.</w:t>
      </w:r>
    </w:p>
    <w:p w14:paraId="08F5145F" w14:textId="27FF464B" w:rsidR="00743642" w:rsidRPr="00914BAB" w:rsidRDefault="00743642" w:rsidP="001B6637">
      <w:pPr>
        <w:spacing w:before="80" w:line="240" w:lineRule="auto"/>
        <w:ind w:left="170" w:hanging="170"/>
        <w:rPr>
          <w:sz w:val="24"/>
        </w:rPr>
      </w:pPr>
      <w:proofErr w:type="spellStart"/>
      <w:r w:rsidRPr="00914BAB">
        <w:rPr>
          <w:sz w:val="24"/>
        </w:rPr>
        <w:t>Ürge-Vorsatz</w:t>
      </w:r>
      <w:proofErr w:type="spellEnd"/>
      <w:r w:rsidRPr="00914BAB">
        <w:rPr>
          <w:sz w:val="24"/>
        </w:rPr>
        <w:t xml:space="preserve">, D., </w:t>
      </w:r>
      <w:proofErr w:type="spellStart"/>
      <w:r w:rsidRPr="00914BAB">
        <w:rPr>
          <w:sz w:val="24"/>
        </w:rPr>
        <w:t>Petrichenko</w:t>
      </w:r>
      <w:proofErr w:type="spellEnd"/>
      <w:r w:rsidRPr="00914BAB">
        <w:rPr>
          <w:sz w:val="24"/>
        </w:rPr>
        <w:t xml:space="preserve">, K., </w:t>
      </w:r>
      <w:proofErr w:type="spellStart"/>
      <w:r w:rsidRPr="00914BAB">
        <w:rPr>
          <w:sz w:val="24"/>
        </w:rPr>
        <w:t>Antal</w:t>
      </w:r>
      <w:proofErr w:type="spellEnd"/>
      <w:r w:rsidRPr="00914BAB">
        <w:rPr>
          <w:sz w:val="24"/>
        </w:rPr>
        <w:t xml:space="preserve">, M., </w:t>
      </w:r>
      <w:proofErr w:type="spellStart"/>
      <w:r w:rsidRPr="00914BAB">
        <w:rPr>
          <w:sz w:val="24"/>
        </w:rPr>
        <w:t>Staniec</w:t>
      </w:r>
      <w:proofErr w:type="spellEnd"/>
      <w:r w:rsidRPr="00914BAB">
        <w:rPr>
          <w:sz w:val="24"/>
        </w:rPr>
        <w:t xml:space="preserve">, M., </w:t>
      </w:r>
      <w:proofErr w:type="spellStart"/>
      <w:r w:rsidRPr="00914BAB">
        <w:rPr>
          <w:sz w:val="24"/>
        </w:rPr>
        <w:t>Ozden</w:t>
      </w:r>
      <w:proofErr w:type="spellEnd"/>
      <w:r w:rsidRPr="00914BAB">
        <w:rPr>
          <w:sz w:val="24"/>
        </w:rPr>
        <w:t xml:space="preserve">, E. and </w:t>
      </w:r>
      <w:proofErr w:type="spellStart"/>
      <w:r w:rsidRPr="00914BAB">
        <w:rPr>
          <w:sz w:val="24"/>
        </w:rPr>
        <w:t>Labzina</w:t>
      </w:r>
      <w:proofErr w:type="spellEnd"/>
      <w:r w:rsidRPr="00914BAB">
        <w:rPr>
          <w:sz w:val="24"/>
        </w:rPr>
        <w:t xml:space="preserve">, E. (2012). Best Practice Policies for Low Carbon &amp; Energy Buildings: A Scenario Analysis. Research report prepared by the </w:t>
      </w:r>
      <w:proofErr w:type="spellStart"/>
      <w:r w:rsidRPr="00914BAB">
        <w:rPr>
          <w:sz w:val="24"/>
        </w:rPr>
        <w:t>Center</w:t>
      </w:r>
      <w:proofErr w:type="spellEnd"/>
      <w:r w:rsidRPr="00914BAB">
        <w:rPr>
          <w:sz w:val="24"/>
        </w:rPr>
        <w:t xml:space="preserve"> for Climate Change and Sustainable Policy (3CSEP) for the Global Buildings Performance Network (GBPN). Paris. </w:t>
      </w:r>
      <w:hyperlink r:id="rId26" w:history="1">
        <w:r w:rsidR="001961F2" w:rsidRPr="00914BAB">
          <w:rPr>
            <w:rStyle w:val="Hyperlink"/>
            <w:sz w:val="24"/>
          </w:rPr>
          <w:t>http://www.gbpn.org/sites/default/files/08.CEU%20Technical%20Report%20copy_0.pdf</w:t>
        </w:r>
      </w:hyperlink>
      <w:r w:rsidR="001961F2" w:rsidRPr="00914BAB">
        <w:rPr>
          <w:sz w:val="24"/>
        </w:rPr>
        <w:t xml:space="preserve"> </w:t>
      </w:r>
    </w:p>
    <w:p w14:paraId="33D68496" w14:textId="6715EB3C" w:rsidR="00743642" w:rsidRPr="00914BAB" w:rsidRDefault="00743642" w:rsidP="00033FE3">
      <w:pPr>
        <w:spacing w:before="80" w:line="240" w:lineRule="auto"/>
        <w:ind w:left="170" w:hanging="170"/>
        <w:rPr>
          <w:sz w:val="24"/>
        </w:rPr>
      </w:pPr>
      <w:r w:rsidRPr="00914BAB">
        <w:rPr>
          <w:sz w:val="24"/>
        </w:rPr>
        <w:t>Urge-</w:t>
      </w:r>
      <w:proofErr w:type="spellStart"/>
      <w:r w:rsidRPr="00914BAB">
        <w:rPr>
          <w:sz w:val="24"/>
        </w:rPr>
        <w:t>Vorsatz</w:t>
      </w:r>
      <w:proofErr w:type="spellEnd"/>
      <w:r w:rsidRPr="00914BAB">
        <w:rPr>
          <w:sz w:val="24"/>
        </w:rPr>
        <w:t xml:space="preserve"> D., Reith A., </w:t>
      </w:r>
      <w:proofErr w:type="spellStart"/>
      <w:r w:rsidRPr="00914BAB">
        <w:rPr>
          <w:sz w:val="24"/>
        </w:rPr>
        <w:t>Korytárová</w:t>
      </w:r>
      <w:proofErr w:type="spellEnd"/>
      <w:r w:rsidRPr="00914BAB">
        <w:rPr>
          <w:sz w:val="24"/>
        </w:rPr>
        <w:t xml:space="preserve"> K., </w:t>
      </w:r>
      <w:proofErr w:type="spellStart"/>
      <w:r w:rsidRPr="00914BAB">
        <w:rPr>
          <w:sz w:val="24"/>
        </w:rPr>
        <w:t>Egyed</w:t>
      </w:r>
      <w:proofErr w:type="spellEnd"/>
      <w:r w:rsidRPr="00914BAB">
        <w:rPr>
          <w:sz w:val="24"/>
        </w:rPr>
        <w:t xml:space="preserve"> M., </w:t>
      </w:r>
      <w:proofErr w:type="spellStart"/>
      <w:r w:rsidRPr="00914BAB">
        <w:rPr>
          <w:sz w:val="24"/>
        </w:rPr>
        <w:t>Dollenstein</w:t>
      </w:r>
      <w:proofErr w:type="spellEnd"/>
      <w:r w:rsidRPr="00914BAB">
        <w:rPr>
          <w:sz w:val="24"/>
        </w:rPr>
        <w:t xml:space="preserve"> J. (2015).</w:t>
      </w:r>
      <w:r w:rsidR="00033FE3" w:rsidRPr="00914BAB">
        <w:rPr>
          <w:sz w:val="24"/>
        </w:rPr>
        <w:t xml:space="preserve"> </w:t>
      </w:r>
      <w:r w:rsidRPr="00914BAB">
        <w:rPr>
          <w:sz w:val="24"/>
        </w:rPr>
        <w:t>Monetary Benefits of Ambitious Building Energy Policies. Research report prepared by ABUD (Advanced Building and Urban Design) for the Global Building Performance Network (GBPN).</w:t>
      </w:r>
    </w:p>
    <w:p w14:paraId="7044BB65" w14:textId="2078C24A" w:rsidR="00743642" w:rsidRPr="00914BAB" w:rsidRDefault="00743642" w:rsidP="001961F2">
      <w:pPr>
        <w:spacing w:before="80" w:line="240" w:lineRule="auto"/>
        <w:ind w:left="170" w:hanging="170"/>
        <w:rPr>
          <w:sz w:val="24"/>
        </w:rPr>
      </w:pPr>
      <w:r w:rsidRPr="00914BAB">
        <w:rPr>
          <w:sz w:val="24"/>
        </w:rPr>
        <w:t>WEC/BNEF (2013). “</w:t>
      </w:r>
      <w:r w:rsidRPr="00914BAB">
        <w:rPr>
          <w:rFonts w:eastAsia="Times New Roman"/>
          <w:sz w:val="24"/>
        </w:rPr>
        <w:t xml:space="preserve">World Energy Perspective: Cost of Energy Technologies”. World Energy Council and Bloomberg New Energy Finance. </w:t>
      </w:r>
      <w:hyperlink r:id="rId27" w:history="1">
        <w:r w:rsidR="001961F2" w:rsidRPr="00914BAB">
          <w:rPr>
            <w:rStyle w:val="Hyperlink"/>
            <w:rFonts w:eastAsia="Times New Roman"/>
            <w:sz w:val="24"/>
          </w:rPr>
          <w:t>http://www.worldenergy.org/wp-content/uploads/2013/09/WEC_J1143_CostofTECHNOLOGIES_021013_WEB_Final.pdf</w:t>
        </w:r>
      </w:hyperlink>
      <w:r w:rsidR="001961F2" w:rsidRPr="00914BAB">
        <w:rPr>
          <w:rFonts w:eastAsia="Times New Roman"/>
          <w:sz w:val="24"/>
        </w:rPr>
        <w:t xml:space="preserve"> </w:t>
      </w:r>
      <w:r w:rsidRPr="00914BAB">
        <w:rPr>
          <w:rFonts w:eastAsia="Times New Roman"/>
          <w:sz w:val="24"/>
        </w:rPr>
        <w:t>Accessed 21 March 2015</w:t>
      </w:r>
    </w:p>
    <w:sectPr w:rsidR="00743642" w:rsidRPr="00914BAB" w:rsidSect="00C4308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505DD4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394AD" w14:textId="77777777" w:rsidR="007079A3" w:rsidRDefault="007079A3" w:rsidP="00D038F0">
      <w:pPr>
        <w:spacing w:before="0" w:line="240" w:lineRule="auto"/>
      </w:pPr>
      <w:r>
        <w:separator/>
      </w:r>
    </w:p>
  </w:endnote>
  <w:endnote w:type="continuationSeparator" w:id="0">
    <w:p w14:paraId="2F7D2F49" w14:textId="77777777" w:rsidR="007079A3" w:rsidRDefault="007079A3" w:rsidP="00D038F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libri">
    <w:panose1 w:val="020F0502020204030204"/>
    <w:charset w:val="00"/>
    <w:family w:val="auto"/>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auto"/>
    <w:pitch w:val="variable"/>
    <w:sig w:usb0="00000003" w:usb1="00000000" w:usb2="00000000" w:usb3="00000000" w:csb0="00000001" w:csb1="00000000"/>
  </w:font>
  <w:font w:name="Lucida Grande">
    <w:altName w:val="Courier New"/>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FCEC1" w14:textId="77777777" w:rsidR="007079A3" w:rsidRDefault="007079A3" w:rsidP="00D038F0">
      <w:pPr>
        <w:spacing w:before="0" w:line="240" w:lineRule="auto"/>
      </w:pPr>
      <w:r>
        <w:separator/>
      </w:r>
    </w:p>
  </w:footnote>
  <w:footnote w:type="continuationSeparator" w:id="0">
    <w:p w14:paraId="607C11A4" w14:textId="77777777" w:rsidR="007079A3" w:rsidRDefault="007079A3" w:rsidP="00D038F0">
      <w:pPr>
        <w:spacing w:before="0" w:line="240" w:lineRule="auto"/>
      </w:pPr>
      <w:r>
        <w:continuationSeparator/>
      </w:r>
    </w:p>
  </w:footnote>
  <w:footnote w:id="1">
    <w:p w14:paraId="691E6BB4" w14:textId="77777777" w:rsidR="007079A3" w:rsidRDefault="007079A3" w:rsidP="00862B49">
      <w:pPr>
        <w:pStyle w:val="FootnoteText"/>
      </w:pPr>
      <w:r>
        <w:rPr>
          <w:rStyle w:val="FootnoteReference"/>
        </w:rPr>
        <w:footnoteRef/>
      </w:r>
      <w:r>
        <w:t xml:space="preserve"> In the IEA (2013), world GDP growth averages 3.4% per year over 2012-2040, while the population expands from 7.0 billion in 2012 to 9.0 billion in 2040, averaging 0.9% per year during the projection period.</w:t>
      </w:r>
    </w:p>
  </w:footnote>
  <w:footnote w:id="2">
    <w:p w14:paraId="59A479FB" w14:textId="40778E10" w:rsidR="007079A3" w:rsidRDefault="007079A3">
      <w:pPr>
        <w:pStyle w:val="FootnoteText"/>
      </w:pPr>
      <w:r>
        <w:rPr>
          <w:rStyle w:val="FootnoteReference"/>
        </w:rPr>
        <w:footnoteRef/>
      </w:r>
      <w:r>
        <w:t xml:space="preserve"> </w:t>
      </w:r>
      <w:r>
        <w:rPr>
          <w:shd w:val="clear" w:color="auto" w:fill="FFFFFF"/>
        </w:rPr>
        <w:t>Rates of energy price increases are highly uncertain, but the range we apply (1%, 2.5% and 4%) is guided by the range of projections in the World Energy Outlook (IEA, 2014b).</w:t>
      </w:r>
    </w:p>
  </w:footnote>
  <w:footnote w:id="3">
    <w:p w14:paraId="6351E265" w14:textId="2D1AC281" w:rsidR="007079A3" w:rsidRDefault="007079A3">
      <w:pPr>
        <w:pStyle w:val="FootnoteText"/>
      </w:pPr>
      <w:r>
        <w:rPr>
          <w:rStyle w:val="FootnoteReference"/>
        </w:rPr>
        <w:footnoteRef/>
      </w:r>
      <w:r>
        <w:t xml:space="preserve"> </w:t>
      </w:r>
      <w:r w:rsidRPr="00412E0D">
        <w:t>1.4%, is consistent with the Stern Review (2006), 3%, is a standard public discount rate in the developed world, and 5%, would be a re</w:t>
      </w:r>
      <w:r>
        <w:t>asonable private discount rate.</w:t>
      </w:r>
    </w:p>
  </w:footnote>
  <w:footnote w:id="4">
    <w:p w14:paraId="31296584" w14:textId="668E4BF2" w:rsidR="007079A3" w:rsidRDefault="007079A3" w:rsidP="00412E0D">
      <w:pPr>
        <w:pStyle w:val="FootnoteText"/>
      </w:pPr>
      <w:r>
        <w:rPr>
          <w:rStyle w:val="FootnoteReference"/>
        </w:rPr>
        <w:footnoteRef/>
      </w:r>
      <w:r>
        <w:t xml:space="preserve"> United States, Other OECD Americas, OECD Europe, Japan, Other OECD Asia Oceania, Russia, Eastern Europe and Eurasia, Developing Asia, China, India, Middle East, Africa, Other Latin America, Brazil and Other.</w:t>
      </w:r>
    </w:p>
  </w:footnote>
  <w:footnote w:id="5">
    <w:p w14:paraId="4903A41B" w14:textId="25388460" w:rsidR="007079A3" w:rsidRDefault="007079A3" w:rsidP="00B54122">
      <w:pPr>
        <w:pStyle w:val="FootnoteText"/>
      </w:pPr>
      <w:r>
        <w:rPr>
          <w:rStyle w:val="FootnoteReference"/>
        </w:rPr>
        <w:footnoteRef/>
      </w:r>
      <w:r>
        <w:t xml:space="preserve"> </w:t>
      </w:r>
      <w:r w:rsidRPr="0041799E">
        <w:t>Costs of various types of energy are required for the cost-savings calculations, including electricity, natural gas, coal, fuel oil, diesel and gasoline.</w:t>
      </w:r>
    </w:p>
  </w:footnote>
  <w:footnote w:id="6">
    <w:p w14:paraId="66B13539" w14:textId="77777777" w:rsidR="007079A3" w:rsidRDefault="007079A3" w:rsidP="00367D09">
      <w:pPr>
        <w:pStyle w:val="FootnoteText"/>
      </w:pPr>
      <w:r>
        <w:rPr>
          <w:rStyle w:val="FootnoteReference"/>
        </w:rPr>
        <w:footnoteRef/>
      </w:r>
      <w:r>
        <w:t xml:space="preserve"> We obtain data on compositions of fuel use in both the residential and commercial sectors – coal, oil products, natural gas, biomass, etc. – from IEA’s online statistics, for each region analysed.</w:t>
      </w:r>
    </w:p>
  </w:footnote>
  <w:footnote w:id="7">
    <w:p w14:paraId="24758857" w14:textId="54CE35F4" w:rsidR="007079A3" w:rsidRPr="00946551" w:rsidRDefault="007079A3" w:rsidP="000F0DEC">
      <w:pPr>
        <w:pStyle w:val="FootnoteText"/>
      </w:pPr>
      <w:r>
        <w:rPr>
          <w:rStyle w:val="FootnoteReference"/>
        </w:rPr>
        <w:footnoteRef/>
      </w:r>
      <w:r>
        <w:t xml:space="preserve"> Note that our economic analysis only considers the electricity-based appliances and lighting within the </w:t>
      </w:r>
      <w:r>
        <w:rPr>
          <w:i/>
          <w:iCs/>
        </w:rPr>
        <w:t>urban action scenario</w:t>
      </w:r>
      <w:r>
        <w:t>, due to a lack of data describing investment costs of fuel-based technologies. Fuel-based technologies are significant but not dominant within this measure, accounting for ≈ 1/3</w:t>
      </w:r>
      <w:r w:rsidRPr="004C486F">
        <w:rPr>
          <w:vertAlign w:val="superscript"/>
        </w:rPr>
        <w:t>rd</w:t>
      </w:r>
      <w:r>
        <w:t xml:space="preserve"> of energy savings.</w:t>
      </w:r>
    </w:p>
  </w:footnote>
  <w:footnote w:id="8">
    <w:p w14:paraId="3753CBFC" w14:textId="05F8AFFB" w:rsidR="007079A3" w:rsidRDefault="007079A3" w:rsidP="000F0DEC">
      <w:pPr>
        <w:pStyle w:val="FootnoteText"/>
        <w:spacing w:line="276" w:lineRule="auto"/>
      </w:pPr>
      <w:r>
        <w:rPr>
          <w:rStyle w:val="FootnoteReference"/>
        </w:rPr>
        <w:footnoteRef/>
      </w:r>
      <w:r>
        <w:t xml:space="preserve"> Note that Erickson and Tempest (2014) include cooling technologies within the lighting and appliances measure, while the new build and retrofit costs we use here from GBPN include costs of efficient cooling technologies. There is therefore a slight misalignment of their measures and our costs. However, cooling represents a relatively small proportion of building energy use, and, furthermore, this misalignment cancels out when considering the aggregate costs of the building sector.</w:t>
      </w:r>
    </w:p>
  </w:footnote>
  <w:footnote w:id="9">
    <w:p w14:paraId="7CACD1FF" w14:textId="77777777" w:rsidR="007079A3" w:rsidRDefault="007079A3" w:rsidP="000F0DEC">
      <w:pPr>
        <w:spacing w:before="0"/>
      </w:pPr>
      <w:r w:rsidRPr="00F317A5">
        <w:rPr>
          <w:rStyle w:val="FootnoteReference"/>
          <w:sz w:val="20"/>
          <w:szCs w:val="22"/>
        </w:rPr>
        <w:footnoteRef/>
      </w:r>
      <w:r w:rsidRPr="00F317A5">
        <w:rPr>
          <w:sz w:val="20"/>
          <w:szCs w:val="22"/>
        </w:rPr>
        <w:t xml:space="preserve"> These baseline lighting technologies are based upon </w:t>
      </w:r>
      <w:r>
        <w:rPr>
          <w:sz w:val="20"/>
          <w:szCs w:val="22"/>
        </w:rPr>
        <w:t>WEO surveys</w:t>
      </w:r>
      <w:r w:rsidRPr="00F317A5">
        <w:rPr>
          <w:sz w:val="20"/>
          <w:szCs w:val="22"/>
        </w:rPr>
        <w:t xml:space="preserve"> </w:t>
      </w:r>
      <w:r>
        <w:rPr>
          <w:sz w:val="20"/>
          <w:szCs w:val="22"/>
        </w:rPr>
        <w:t>that estimate</w:t>
      </w:r>
      <w:r w:rsidRPr="00F317A5">
        <w:rPr>
          <w:sz w:val="20"/>
          <w:szCs w:val="22"/>
        </w:rPr>
        <w:t xml:space="preserve"> the most common lighting technologies current used in each sector</w:t>
      </w:r>
      <w:r>
        <w:rPr>
          <w:sz w:val="20"/>
          <w:szCs w:val="22"/>
        </w:rPr>
        <w:t>, globally</w:t>
      </w:r>
      <w:r w:rsidRPr="00F317A5">
        <w:rPr>
          <w:sz w:val="20"/>
          <w:szCs w:val="22"/>
        </w:rPr>
        <w:t xml:space="preserve"> </w:t>
      </w:r>
      <w:r>
        <w:rPr>
          <w:sz w:val="20"/>
          <w:szCs w:val="22"/>
        </w:rPr>
        <w:t>(IEA, 2014b)</w:t>
      </w:r>
      <w:r w:rsidRPr="00F317A5">
        <w:rPr>
          <w:sz w:val="20"/>
          <w:szCs w:val="22"/>
        </w:rPr>
        <w:t>.</w:t>
      </w:r>
    </w:p>
  </w:footnote>
  <w:footnote w:id="10">
    <w:p w14:paraId="424815B5" w14:textId="77777777" w:rsidR="007079A3" w:rsidRDefault="007079A3" w:rsidP="00367D09">
      <w:pPr>
        <w:pStyle w:val="FootnoteText"/>
        <w:spacing w:line="276" w:lineRule="auto"/>
      </w:pPr>
      <w:r>
        <w:rPr>
          <w:rStyle w:val="FootnoteReference"/>
        </w:rPr>
        <w:footnoteRef/>
      </w:r>
      <w:r>
        <w:t xml:space="preserve"> L</w:t>
      </w:r>
      <w:r w:rsidRPr="003379F4">
        <w:t xml:space="preserve">ighting costs </w:t>
      </w:r>
      <w:r>
        <w:t>per kWh of electricity saved differ</w:t>
      </w:r>
      <w:r w:rsidRPr="003379F4">
        <w:t xml:space="preserve"> between the commercial and residential sectors</w:t>
      </w:r>
      <w:r>
        <w:t>,</w:t>
      </w:r>
      <w:r w:rsidRPr="003379F4">
        <w:t xml:space="preserve"> </w:t>
      </w:r>
      <w:r>
        <w:t xml:space="preserve">due </w:t>
      </w:r>
      <w:r w:rsidRPr="003379F4">
        <w:t>to the higher efficiency technologies currentl</w:t>
      </w:r>
      <w:r>
        <w:t>y deployed in the former sector.</w:t>
      </w:r>
    </w:p>
  </w:footnote>
  <w:footnote w:id="11">
    <w:p w14:paraId="17AE6532" w14:textId="10995559" w:rsidR="007079A3" w:rsidRDefault="007079A3" w:rsidP="000D45ED">
      <w:pPr>
        <w:pStyle w:val="FootnoteText"/>
      </w:pPr>
      <w:r>
        <w:rPr>
          <w:rStyle w:val="FootnoteReference"/>
        </w:rPr>
        <w:footnoteRef/>
      </w:r>
      <w:r>
        <w:t xml:space="preserve"> Note that Erickson and Tempest (2014) bundle fuel switching and solar PV into a single measure, while we only estimate the costs for solar PV, due to a lack of availability of robust cost-data for fuel switching.</w:t>
      </w:r>
    </w:p>
  </w:footnote>
  <w:footnote w:id="12">
    <w:p w14:paraId="5EEDC4B3" w14:textId="77777777" w:rsidR="007079A3" w:rsidRPr="00067CDF" w:rsidRDefault="007079A3" w:rsidP="003379F4">
      <w:pPr>
        <w:spacing w:before="0"/>
        <w:rPr>
          <w:sz w:val="20"/>
          <w:szCs w:val="20"/>
        </w:rPr>
      </w:pPr>
      <w:r w:rsidRPr="00067CDF">
        <w:rPr>
          <w:rStyle w:val="FootnoteReference"/>
          <w:sz w:val="20"/>
          <w:szCs w:val="20"/>
        </w:rPr>
        <w:footnoteRef/>
      </w:r>
      <w:r w:rsidRPr="00067CDF">
        <w:rPr>
          <w:sz w:val="20"/>
          <w:szCs w:val="20"/>
        </w:rPr>
        <w:t xml:space="preserve"> Assumptions relating to activity levels, energy intensities and GHG intensities of energy </w:t>
      </w:r>
      <w:r>
        <w:rPr>
          <w:sz w:val="20"/>
          <w:szCs w:val="20"/>
        </w:rPr>
        <w:t>are based</w:t>
      </w:r>
      <w:r w:rsidRPr="00067CDF">
        <w:rPr>
          <w:sz w:val="20"/>
          <w:szCs w:val="20"/>
        </w:rPr>
        <w:t xml:space="preserve"> </w:t>
      </w:r>
      <w:r>
        <w:rPr>
          <w:sz w:val="20"/>
          <w:szCs w:val="20"/>
        </w:rPr>
        <w:t>upon</w:t>
      </w:r>
      <w:r w:rsidRPr="00067CDF">
        <w:rPr>
          <w:sz w:val="20"/>
          <w:szCs w:val="20"/>
        </w:rPr>
        <w:t xml:space="preserve"> Erickson, Peter, and Kevin Tempest. "Advancing climate ambition: How city-scale actions can contribute to global climate goals." (2014).</w:t>
      </w:r>
    </w:p>
    <w:p w14:paraId="629FFB2A" w14:textId="77777777" w:rsidR="007079A3" w:rsidRDefault="007079A3" w:rsidP="000616F0">
      <w:pPr>
        <w:pStyle w:val="FootnoteText"/>
      </w:pPr>
    </w:p>
  </w:footnote>
  <w:footnote w:id="13">
    <w:p w14:paraId="2E7368EE" w14:textId="77777777" w:rsidR="007079A3" w:rsidRPr="00B8249F" w:rsidRDefault="007079A3" w:rsidP="000616F0">
      <w:r>
        <w:rPr>
          <w:rStyle w:val="FootnoteReference"/>
        </w:rPr>
        <w:footnoteRef/>
      </w:r>
      <w:r>
        <w:t xml:space="preserve"> </w:t>
      </w:r>
      <w:r w:rsidRPr="00F47B5A">
        <w:rPr>
          <w:sz w:val="20"/>
          <w:szCs w:val="20"/>
        </w:rPr>
        <w:t>Activity level, ene</w:t>
      </w:r>
      <w:r>
        <w:rPr>
          <w:sz w:val="20"/>
          <w:szCs w:val="20"/>
        </w:rPr>
        <w:t xml:space="preserve">rgy intensity and fuel type, </w:t>
      </w:r>
      <w:r w:rsidRPr="00F47B5A">
        <w:rPr>
          <w:sz w:val="20"/>
          <w:szCs w:val="20"/>
        </w:rPr>
        <w:t>GHG intensity assumptions adapted from, Erickson, Peter, and Kevin Tempest. "Advancing climate ambition: How city-scale actions can contribute to global climate goals." (2014).</w:t>
      </w:r>
    </w:p>
    <w:p w14:paraId="1C8D30CE" w14:textId="77777777" w:rsidR="007079A3" w:rsidRDefault="007079A3" w:rsidP="000616F0">
      <w:pPr>
        <w:pStyle w:val="FootnoteText"/>
      </w:pPr>
    </w:p>
  </w:footnote>
  <w:footnote w:id="14">
    <w:p w14:paraId="6F96071B" w14:textId="77777777" w:rsidR="007079A3" w:rsidRPr="00F47B5A" w:rsidRDefault="007079A3" w:rsidP="000616F0">
      <w:r>
        <w:rPr>
          <w:rStyle w:val="FootnoteReference"/>
        </w:rPr>
        <w:footnoteRef/>
      </w:r>
      <w:r>
        <w:t xml:space="preserve"> </w:t>
      </w:r>
      <w:r w:rsidRPr="00F47B5A">
        <w:rPr>
          <w:sz w:val="20"/>
          <w:szCs w:val="20"/>
        </w:rPr>
        <w:t>Activity level, ene</w:t>
      </w:r>
      <w:r>
        <w:rPr>
          <w:sz w:val="20"/>
          <w:szCs w:val="20"/>
        </w:rPr>
        <w:t xml:space="preserve">rgy intensity and fuel type, </w:t>
      </w:r>
      <w:r w:rsidRPr="00F47B5A">
        <w:rPr>
          <w:sz w:val="20"/>
          <w:szCs w:val="20"/>
        </w:rPr>
        <w:t>GHG intensity assumptions adapted from, Erickson, Peter, and Kevin Tempest. "Advancing climate ambition: How city-scale actions can contribute to global climate goals." (2014).</w:t>
      </w:r>
    </w:p>
    <w:p w14:paraId="699B8075" w14:textId="77777777" w:rsidR="007079A3" w:rsidRPr="00B8249F" w:rsidRDefault="007079A3" w:rsidP="000616F0">
      <w:r>
        <w:t xml:space="preserve"> </w:t>
      </w:r>
    </w:p>
    <w:p w14:paraId="0D9BE6D8" w14:textId="77777777" w:rsidR="007079A3" w:rsidRDefault="007079A3" w:rsidP="000616F0">
      <w:pPr>
        <w:pStyle w:val="FootnoteText"/>
      </w:pPr>
    </w:p>
  </w:footnote>
  <w:footnote w:id="15">
    <w:p w14:paraId="30F393E2" w14:textId="77777777" w:rsidR="007079A3" w:rsidRPr="00F47B5A" w:rsidRDefault="007079A3" w:rsidP="000616F0">
      <w:r>
        <w:rPr>
          <w:rStyle w:val="FootnoteReference"/>
        </w:rPr>
        <w:footnoteRef/>
      </w:r>
      <w:r>
        <w:t xml:space="preserve"> </w:t>
      </w:r>
      <w:r>
        <w:rPr>
          <w:sz w:val="20"/>
          <w:szCs w:val="20"/>
        </w:rPr>
        <w:t>Mitigation</w:t>
      </w:r>
      <w:r w:rsidRPr="00F47B5A">
        <w:rPr>
          <w:sz w:val="20"/>
          <w:szCs w:val="20"/>
        </w:rPr>
        <w:t xml:space="preserve"> assumptions adapted from, Erickson, Peter, and Kevin Tempest. "Advancing climate ambition: How city-scale actions can contribute to global climate goals." (2014).</w:t>
      </w:r>
    </w:p>
    <w:p w14:paraId="0B7D0D69" w14:textId="77777777" w:rsidR="007079A3" w:rsidRPr="00B8249F" w:rsidRDefault="007079A3" w:rsidP="000616F0">
      <w:r>
        <w:t xml:space="preserve"> </w:t>
      </w:r>
    </w:p>
    <w:p w14:paraId="5778337C" w14:textId="77777777" w:rsidR="007079A3" w:rsidRDefault="007079A3" w:rsidP="000616F0">
      <w:pPr>
        <w:pStyle w:val="FootnoteText"/>
      </w:pPr>
    </w:p>
  </w:footnote>
  <w:footnote w:id="16">
    <w:p w14:paraId="395BFAAF" w14:textId="77777777" w:rsidR="007079A3" w:rsidRPr="00F47B5A" w:rsidRDefault="007079A3" w:rsidP="000616F0">
      <w:r>
        <w:rPr>
          <w:rStyle w:val="FootnoteReference"/>
        </w:rPr>
        <w:footnoteRef/>
      </w:r>
      <w:r>
        <w:t xml:space="preserve"> </w:t>
      </w:r>
      <w:r>
        <w:rPr>
          <w:sz w:val="20"/>
          <w:szCs w:val="20"/>
        </w:rPr>
        <w:t>Mitigation</w:t>
      </w:r>
      <w:r w:rsidRPr="00F47B5A">
        <w:rPr>
          <w:sz w:val="20"/>
          <w:szCs w:val="20"/>
        </w:rPr>
        <w:t xml:space="preserve"> assumptions adapted from, Erickson, Peter, and Kevin Tempest. "Advancing climate ambition: How city-scale actions can contribute to global climate goals." (2014).</w:t>
      </w:r>
    </w:p>
    <w:p w14:paraId="18ACCEDD" w14:textId="77777777" w:rsidR="007079A3" w:rsidRPr="00B8249F" w:rsidRDefault="007079A3" w:rsidP="000616F0">
      <w:r>
        <w:t xml:space="preserve"> </w:t>
      </w:r>
    </w:p>
    <w:p w14:paraId="3888AC1C" w14:textId="77777777" w:rsidR="007079A3" w:rsidRDefault="007079A3" w:rsidP="000616F0">
      <w:pPr>
        <w:pStyle w:val="FootnoteText"/>
      </w:pPr>
    </w:p>
  </w:footnote>
  <w:footnote w:id="17">
    <w:p w14:paraId="6E3F6E02" w14:textId="77777777" w:rsidR="007079A3" w:rsidRPr="00F47B5A" w:rsidRDefault="007079A3" w:rsidP="000616F0">
      <w:r>
        <w:rPr>
          <w:rStyle w:val="FootnoteReference"/>
        </w:rPr>
        <w:footnoteRef/>
      </w:r>
      <w:r>
        <w:t xml:space="preserve"> </w:t>
      </w:r>
      <w:r>
        <w:rPr>
          <w:sz w:val="20"/>
          <w:szCs w:val="20"/>
        </w:rPr>
        <w:t>Mitigation</w:t>
      </w:r>
      <w:r w:rsidRPr="00F47B5A">
        <w:rPr>
          <w:sz w:val="20"/>
          <w:szCs w:val="20"/>
        </w:rPr>
        <w:t xml:space="preserve"> assumptions adapted from, Erickson, Peter, and Kevin Tempest. "Advancing climate ambition: How city-scale actions can contribute to global climate goals." (2014).</w:t>
      </w:r>
    </w:p>
    <w:p w14:paraId="126C39A4" w14:textId="77777777" w:rsidR="007079A3" w:rsidRPr="00B8249F" w:rsidRDefault="007079A3" w:rsidP="000616F0">
      <w:r>
        <w:t xml:space="preserve"> </w:t>
      </w:r>
    </w:p>
    <w:p w14:paraId="5CEC063E" w14:textId="77777777" w:rsidR="007079A3" w:rsidRDefault="007079A3" w:rsidP="000616F0">
      <w:pPr>
        <w:pStyle w:val="FootnoteText"/>
      </w:pPr>
    </w:p>
  </w:footnote>
  <w:footnote w:id="18">
    <w:p w14:paraId="4B3CC1C4" w14:textId="77777777" w:rsidR="007079A3" w:rsidRPr="0073194D" w:rsidRDefault="007079A3" w:rsidP="009973AB">
      <w:pPr>
        <w:pStyle w:val="FootnoteText"/>
        <w:rPr>
          <w:lang w:val="en-US"/>
        </w:rPr>
      </w:pPr>
      <w:r>
        <w:rPr>
          <w:rStyle w:val="FootnoteReference"/>
        </w:rPr>
        <w:footnoteRef/>
      </w:r>
      <w:r>
        <w:t xml:space="preserve"> </w:t>
      </w:r>
      <w:r>
        <w:rPr>
          <w:lang w:val="en-US"/>
        </w:rPr>
        <w:t>Measures where costs have not been estimated, ‘Urban planning – reduced travel demand’, ‘Logistics improvements’ and ‘Recycling’ are excluded from this calculation.</w:t>
      </w:r>
    </w:p>
  </w:footnote>
  <w:footnote w:id="19">
    <w:p w14:paraId="74E2482D" w14:textId="77777777" w:rsidR="007079A3" w:rsidRPr="00CA30EA" w:rsidRDefault="007079A3" w:rsidP="009973AB">
      <w:pPr>
        <w:pStyle w:val="FootnoteText"/>
        <w:rPr>
          <w:lang w:val="en-US"/>
        </w:rPr>
      </w:pPr>
      <w:r>
        <w:rPr>
          <w:rStyle w:val="FootnoteReference"/>
        </w:rPr>
        <w:footnoteRef/>
      </w:r>
      <w:r>
        <w:t xml:space="preserve"> </w:t>
      </w:r>
      <w:r>
        <w:rPr>
          <w:lang w:val="en-US"/>
        </w:rPr>
        <w:t>Savings after 2050 are not included in this analysis due to the uncertainty around post 2050 energy prices.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5E7816"/>
    <w:lvl w:ilvl="0">
      <w:start w:val="1"/>
      <w:numFmt w:val="decimal"/>
      <w:lvlText w:val="%1."/>
      <w:lvlJc w:val="left"/>
      <w:pPr>
        <w:tabs>
          <w:tab w:val="num" w:pos="1492"/>
        </w:tabs>
        <w:ind w:left="1492" w:hanging="360"/>
      </w:pPr>
    </w:lvl>
  </w:abstractNum>
  <w:abstractNum w:abstractNumId="1">
    <w:nsid w:val="FFFFFF7D"/>
    <w:multiLevelType w:val="singleLevel"/>
    <w:tmpl w:val="46964D34"/>
    <w:lvl w:ilvl="0">
      <w:start w:val="1"/>
      <w:numFmt w:val="decimal"/>
      <w:lvlText w:val="%1."/>
      <w:lvlJc w:val="left"/>
      <w:pPr>
        <w:tabs>
          <w:tab w:val="num" w:pos="1209"/>
        </w:tabs>
        <w:ind w:left="1209" w:hanging="360"/>
      </w:pPr>
    </w:lvl>
  </w:abstractNum>
  <w:abstractNum w:abstractNumId="2">
    <w:nsid w:val="FFFFFF7E"/>
    <w:multiLevelType w:val="singleLevel"/>
    <w:tmpl w:val="C0D2C580"/>
    <w:lvl w:ilvl="0">
      <w:start w:val="1"/>
      <w:numFmt w:val="decimal"/>
      <w:lvlText w:val="%1."/>
      <w:lvlJc w:val="left"/>
      <w:pPr>
        <w:tabs>
          <w:tab w:val="num" w:pos="926"/>
        </w:tabs>
        <w:ind w:left="926" w:hanging="360"/>
      </w:pPr>
    </w:lvl>
  </w:abstractNum>
  <w:abstractNum w:abstractNumId="3">
    <w:nsid w:val="FFFFFF7F"/>
    <w:multiLevelType w:val="singleLevel"/>
    <w:tmpl w:val="5FFE02AA"/>
    <w:lvl w:ilvl="0">
      <w:start w:val="1"/>
      <w:numFmt w:val="decimal"/>
      <w:lvlText w:val="%1."/>
      <w:lvlJc w:val="left"/>
      <w:pPr>
        <w:tabs>
          <w:tab w:val="num" w:pos="643"/>
        </w:tabs>
        <w:ind w:left="643" w:hanging="360"/>
      </w:pPr>
    </w:lvl>
  </w:abstractNum>
  <w:abstractNum w:abstractNumId="4">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D63C76"/>
    <w:multiLevelType w:val="hybridMultilevel"/>
    <w:tmpl w:val="D35AC4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E21B7A"/>
    <w:multiLevelType w:val="hybridMultilevel"/>
    <w:tmpl w:val="89A61D2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0FA4403B"/>
    <w:multiLevelType w:val="hybridMultilevel"/>
    <w:tmpl w:val="FA7E43CC"/>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7F4239E"/>
    <w:multiLevelType w:val="multilevel"/>
    <w:tmpl w:val="66B83AA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A5F6BD2"/>
    <w:multiLevelType w:val="hybridMultilevel"/>
    <w:tmpl w:val="61986FF0"/>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F3537DD"/>
    <w:multiLevelType w:val="hybridMultilevel"/>
    <w:tmpl w:val="A7142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00C0AD5"/>
    <w:multiLevelType w:val="hybridMultilevel"/>
    <w:tmpl w:val="9C0C14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46454F"/>
    <w:multiLevelType w:val="hybridMultilevel"/>
    <w:tmpl w:val="D35AC4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764D0A"/>
    <w:multiLevelType w:val="hybridMultilevel"/>
    <w:tmpl w:val="6C2094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4D5155"/>
    <w:multiLevelType w:val="hybridMultilevel"/>
    <w:tmpl w:val="FE8CF7CE"/>
    <w:lvl w:ilvl="0" w:tplc="0809001B">
      <w:start w:val="1"/>
      <w:numFmt w:val="lowerRoman"/>
      <w:lvlText w:val="%1."/>
      <w:lvlJc w:val="righ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27D4ED3"/>
    <w:multiLevelType w:val="hybridMultilevel"/>
    <w:tmpl w:val="73980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6E96651"/>
    <w:multiLevelType w:val="hybridMultilevel"/>
    <w:tmpl w:val="FA7E43CC"/>
    <w:lvl w:ilvl="0" w:tplc="08090011">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C992D2E"/>
    <w:multiLevelType w:val="hybridMultilevel"/>
    <w:tmpl w:val="D35AC4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FB7531"/>
    <w:multiLevelType w:val="hybridMultilevel"/>
    <w:tmpl w:val="24FC60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213766"/>
    <w:multiLevelType w:val="hybridMultilevel"/>
    <w:tmpl w:val="F9106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AC85338"/>
    <w:multiLevelType w:val="hybridMultilevel"/>
    <w:tmpl w:val="953A5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5"/>
  </w:num>
  <w:num w:numId="12">
    <w:abstractNumId w:val="25"/>
  </w:num>
  <w:num w:numId="13">
    <w:abstractNumId w:val="13"/>
  </w:num>
  <w:num w:numId="14">
    <w:abstractNumId w:val="24"/>
  </w:num>
  <w:num w:numId="15">
    <w:abstractNumId w:val="20"/>
  </w:num>
  <w:num w:numId="16">
    <w:abstractNumId w:val="14"/>
  </w:num>
  <w:num w:numId="17">
    <w:abstractNumId w:val="19"/>
  </w:num>
  <w:num w:numId="18">
    <w:abstractNumId w:val="21"/>
  </w:num>
  <w:num w:numId="19">
    <w:abstractNumId w:val="11"/>
  </w:num>
  <w:num w:numId="20">
    <w:abstractNumId w:val="12"/>
  </w:num>
  <w:num w:numId="21">
    <w:abstractNumId w:val="10"/>
  </w:num>
  <w:num w:numId="22">
    <w:abstractNumId w:val="17"/>
  </w:num>
  <w:num w:numId="23">
    <w:abstractNumId w:val="22"/>
  </w:num>
  <w:num w:numId="24">
    <w:abstractNumId w:val="16"/>
  </w:num>
  <w:num w:numId="25">
    <w:abstractNumId w:val="18"/>
  </w:num>
  <w:num w:numId="2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me">
    <w15:presenceInfo w15:providerId="None" w15:userId="Ho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4E1"/>
    <w:rsid w:val="00020D75"/>
    <w:rsid w:val="00022B6A"/>
    <w:rsid w:val="00033FE3"/>
    <w:rsid w:val="00061339"/>
    <w:rsid w:val="000616F0"/>
    <w:rsid w:val="000837E4"/>
    <w:rsid w:val="000965A2"/>
    <w:rsid w:val="000A083E"/>
    <w:rsid w:val="000A395C"/>
    <w:rsid w:val="000B47B6"/>
    <w:rsid w:val="000C274B"/>
    <w:rsid w:val="000C4145"/>
    <w:rsid w:val="000C719D"/>
    <w:rsid w:val="000D45ED"/>
    <w:rsid w:val="000E2D2D"/>
    <w:rsid w:val="000F0DEC"/>
    <w:rsid w:val="000F6C13"/>
    <w:rsid w:val="00110D69"/>
    <w:rsid w:val="00120B84"/>
    <w:rsid w:val="00126BAA"/>
    <w:rsid w:val="00134F43"/>
    <w:rsid w:val="0013654C"/>
    <w:rsid w:val="0015286F"/>
    <w:rsid w:val="00156F9E"/>
    <w:rsid w:val="001718EB"/>
    <w:rsid w:val="001961F2"/>
    <w:rsid w:val="001A47F3"/>
    <w:rsid w:val="001B5BA6"/>
    <w:rsid w:val="001B6637"/>
    <w:rsid w:val="001C2F45"/>
    <w:rsid w:val="001C5AEA"/>
    <w:rsid w:val="001D53BA"/>
    <w:rsid w:val="001F030E"/>
    <w:rsid w:val="001F668C"/>
    <w:rsid w:val="002013F7"/>
    <w:rsid w:val="002065FC"/>
    <w:rsid w:val="00212796"/>
    <w:rsid w:val="002150F1"/>
    <w:rsid w:val="00220E46"/>
    <w:rsid w:val="002370FC"/>
    <w:rsid w:val="002434E1"/>
    <w:rsid w:val="00250A34"/>
    <w:rsid w:val="00264401"/>
    <w:rsid w:val="0026735E"/>
    <w:rsid w:val="00273123"/>
    <w:rsid w:val="00283396"/>
    <w:rsid w:val="00285200"/>
    <w:rsid w:val="00285289"/>
    <w:rsid w:val="00292A9A"/>
    <w:rsid w:val="002A237B"/>
    <w:rsid w:val="002F5615"/>
    <w:rsid w:val="003010D7"/>
    <w:rsid w:val="00316954"/>
    <w:rsid w:val="00330467"/>
    <w:rsid w:val="003379F4"/>
    <w:rsid w:val="003400F1"/>
    <w:rsid w:val="003528A7"/>
    <w:rsid w:val="00367D09"/>
    <w:rsid w:val="00392EEB"/>
    <w:rsid w:val="003A1589"/>
    <w:rsid w:val="003A64B4"/>
    <w:rsid w:val="003B5FBE"/>
    <w:rsid w:val="003F5A32"/>
    <w:rsid w:val="00402843"/>
    <w:rsid w:val="0040530C"/>
    <w:rsid w:val="00412E0D"/>
    <w:rsid w:val="00416AA0"/>
    <w:rsid w:val="00417315"/>
    <w:rsid w:val="0041799E"/>
    <w:rsid w:val="00440195"/>
    <w:rsid w:val="00442712"/>
    <w:rsid w:val="00455FAB"/>
    <w:rsid w:val="004578B4"/>
    <w:rsid w:val="004653F9"/>
    <w:rsid w:val="004679F0"/>
    <w:rsid w:val="0048459E"/>
    <w:rsid w:val="00484767"/>
    <w:rsid w:val="004A7F5B"/>
    <w:rsid w:val="004B09DE"/>
    <w:rsid w:val="004C486F"/>
    <w:rsid w:val="004E529F"/>
    <w:rsid w:val="004E5DBB"/>
    <w:rsid w:val="004F2122"/>
    <w:rsid w:val="004F57D4"/>
    <w:rsid w:val="00500645"/>
    <w:rsid w:val="005043BA"/>
    <w:rsid w:val="00504C20"/>
    <w:rsid w:val="00511C6B"/>
    <w:rsid w:val="00535A52"/>
    <w:rsid w:val="00547A34"/>
    <w:rsid w:val="005511E7"/>
    <w:rsid w:val="0056264E"/>
    <w:rsid w:val="005648BC"/>
    <w:rsid w:val="005914B3"/>
    <w:rsid w:val="00597543"/>
    <w:rsid w:val="005B0D14"/>
    <w:rsid w:val="005C161B"/>
    <w:rsid w:val="005C1989"/>
    <w:rsid w:val="005C6C5B"/>
    <w:rsid w:val="005E05EB"/>
    <w:rsid w:val="005F4478"/>
    <w:rsid w:val="00612A22"/>
    <w:rsid w:val="00613377"/>
    <w:rsid w:val="00633DBE"/>
    <w:rsid w:val="006422C8"/>
    <w:rsid w:val="00642F39"/>
    <w:rsid w:val="00647745"/>
    <w:rsid w:val="006636EE"/>
    <w:rsid w:val="006B5EC8"/>
    <w:rsid w:val="006F163E"/>
    <w:rsid w:val="007079A3"/>
    <w:rsid w:val="00714E01"/>
    <w:rsid w:val="00743642"/>
    <w:rsid w:val="007517E6"/>
    <w:rsid w:val="00763B59"/>
    <w:rsid w:val="00763B5F"/>
    <w:rsid w:val="007721A6"/>
    <w:rsid w:val="0078185F"/>
    <w:rsid w:val="00796F6F"/>
    <w:rsid w:val="007B3FFB"/>
    <w:rsid w:val="007D2FF3"/>
    <w:rsid w:val="007D442D"/>
    <w:rsid w:val="007D5650"/>
    <w:rsid w:val="007E02D3"/>
    <w:rsid w:val="007E097A"/>
    <w:rsid w:val="007F4744"/>
    <w:rsid w:val="00812A3D"/>
    <w:rsid w:val="0082400B"/>
    <w:rsid w:val="00850D37"/>
    <w:rsid w:val="00856C46"/>
    <w:rsid w:val="0085771A"/>
    <w:rsid w:val="00862B49"/>
    <w:rsid w:val="00873D7B"/>
    <w:rsid w:val="00880119"/>
    <w:rsid w:val="0088366F"/>
    <w:rsid w:val="00890E90"/>
    <w:rsid w:val="008B07CF"/>
    <w:rsid w:val="008B5D63"/>
    <w:rsid w:val="008C66E1"/>
    <w:rsid w:val="008C6983"/>
    <w:rsid w:val="008E4D5F"/>
    <w:rsid w:val="008E7531"/>
    <w:rsid w:val="009015FE"/>
    <w:rsid w:val="0091059B"/>
    <w:rsid w:val="00911D69"/>
    <w:rsid w:val="00914BAB"/>
    <w:rsid w:val="00930117"/>
    <w:rsid w:val="009405B2"/>
    <w:rsid w:val="00946551"/>
    <w:rsid w:val="00947A94"/>
    <w:rsid w:val="00954D24"/>
    <w:rsid w:val="00957D4F"/>
    <w:rsid w:val="009753B9"/>
    <w:rsid w:val="00981AEF"/>
    <w:rsid w:val="0099158C"/>
    <w:rsid w:val="009973AB"/>
    <w:rsid w:val="009B4924"/>
    <w:rsid w:val="009E3CF7"/>
    <w:rsid w:val="00A05AA2"/>
    <w:rsid w:val="00A0792B"/>
    <w:rsid w:val="00A2383D"/>
    <w:rsid w:val="00A36CF5"/>
    <w:rsid w:val="00A62839"/>
    <w:rsid w:val="00A93156"/>
    <w:rsid w:val="00A95856"/>
    <w:rsid w:val="00AA7FC0"/>
    <w:rsid w:val="00AB2CC3"/>
    <w:rsid w:val="00AC43EB"/>
    <w:rsid w:val="00AC4D33"/>
    <w:rsid w:val="00AD1056"/>
    <w:rsid w:val="00AD1B4C"/>
    <w:rsid w:val="00AD3173"/>
    <w:rsid w:val="00AE6D23"/>
    <w:rsid w:val="00B00D1D"/>
    <w:rsid w:val="00B23E4E"/>
    <w:rsid w:val="00B24FD1"/>
    <w:rsid w:val="00B26608"/>
    <w:rsid w:val="00B32381"/>
    <w:rsid w:val="00B3772F"/>
    <w:rsid w:val="00B51AA3"/>
    <w:rsid w:val="00B54122"/>
    <w:rsid w:val="00B551FF"/>
    <w:rsid w:val="00B6058B"/>
    <w:rsid w:val="00B73992"/>
    <w:rsid w:val="00B7564E"/>
    <w:rsid w:val="00B910B7"/>
    <w:rsid w:val="00BC591E"/>
    <w:rsid w:val="00BC5B1D"/>
    <w:rsid w:val="00BD2B5F"/>
    <w:rsid w:val="00BF7C01"/>
    <w:rsid w:val="00C07145"/>
    <w:rsid w:val="00C20E82"/>
    <w:rsid w:val="00C234D1"/>
    <w:rsid w:val="00C27B3D"/>
    <w:rsid w:val="00C32930"/>
    <w:rsid w:val="00C43089"/>
    <w:rsid w:val="00C65987"/>
    <w:rsid w:val="00CA19CD"/>
    <w:rsid w:val="00CA6843"/>
    <w:rsid w:val="00CC50B1"/>
    <w:rsid w:val="00CD43F7"/>
    <w:rsid w:val="00CF5E3F"/>
    <w:rsid w:val="00CF7F2C"/>
    <w:rsid w:val="00D00D33"/>
    <w:rsid w:val="00D038F0"/>
    <w:rsid w:val="00D04147"/>
    <w:rsid w:val="00D07850"/>
    <w:rsid w:val="00D36168"/>
    <w:rsid w:val="00D37087"/>
    <w:rsid w:val="00D41E8B"/>
    <w:rsid w:val="00D45D3C"/>
    <w:rsid w:val="00D550BE"/>
    <w:rsid w:val="00D6095E"/>
    <w:rsid w:val="00D60D3B"/>
    <w:rsid w:val="00D64E50"/>
    <w:rsid w:val="00D859A8"/>
    <w:rsid w:val="00D9062F"/>
    <w:rsid w:val="00DA3515"/>
    <w:rsid w:val="00DB2456"/>
    <w:rsid w:val="00DB26CB"/>
    <w:rsid w:val="00DB5126"/>
    <w:rsid w:val="00DB7747"/>
    <w:rsid w:val="00DD60BB"/>
    <w:rsid w:val="00DF16EA"/>
    <w:rsid w:val="00DF52ED"/>
    <w:rsid w:val="00E057DF"/>
    <w:rsid w:val="00E209F2"/>
    <w:rsid w:val="00E22A22"/>
    <w:rsid w:val="00E26AB3"/>
    <w:rsid w:val="00E507A6"/>
    <w:rsid w:val="00E859FB"/>
    <w:rsid w:val="00E96461"/>
    <w:rsid w:val="00EA0679"/>
    <w:rsid w:val="00EA463D"/>
    <w:rsid w:val="00EB0372"/>
    <w:rsid w:val="00EB66B1"/>
    <w:rsid w:val="00EC20E3"/>
    <w:rsid w:val="00EC3E75"/>
    <w:rsid w:val="00EC7AF6"/>
    <w:rsid w:val="00EE60CA"/>
    <w:rsid w:val="00F056F9"/>
    <w:rsid w:val="00F05C37"/>
    <w:rsid w:val="00F317A5"/>
    <w:rsid w:val="00F367F1"/>
    <w:rsid w:val="00F419B2"/>
    <w:rsid w:val="00F44C02"/>
    <w:rsid w:val="00F62C45"/>
    <w:rsid w:val="00F73276"/>
    <w:rsid w:val="00F739EB"/>
    <w:rsid w:val="00F824D7"/>
    <w:rsid w:val="00F86C64"/>
    <w:rsid w:val="00FA68BB"/>
    <w:rsid w:val="00FA78D4"/>
    <w:rsid w:val="00FB3482"/>
    <w:rsid w:val="00FC462E"/>
    <w:rsid w:val="00FF07F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60A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850"/>
    <w:pPr>
      <w:spacing w:before="120" w:after="0"/>
    </w:pPr>
    <w:rPr>
      <w:rFonts w:asciiTheme="minorHAnsi" w:hAnsiTheme="minorHAnsi"/>
      <w:sz w:val="21"/>
    </w:rPr>
  </w:style>
  <w:style w:type="paragraph" w:styleId="Heading1">
    <w:name w:val="heading 1"/>
    <w:basedOn w:val="Normal"/>
    <w:next w:val="Normal"/>
    <w:link w:val="Heading1Char"/>
    <w:autoRedefine/>
    <w:uiPriority w:val="9"/>
    <w:qFormat/>
    <w:rsid w:val="005914B3"/>
    <w:pPr>
      <w:keepNext/>
      <w:keepLines/>
      <w:numPr>
        <w:numId w:val="13"/>
      </w:numPr>
      <w:ind w:left="0" w:firstLine="0"/>
      <w:outlineLvl w:val="0"/>
    </w:pPr>
    <w:rPr>
      <w:rFonts w:eastAsiaTheme="majorEastAsia"/>
      <w:b/>
      <w:bCs/>
      <w:sz w:val="28"/>
      <w:szCs w:val="28"/>
    </w:rPr>
  </w:style>
  <w:style w:type="paragraph" w:styleId="Heading2">
    <w:name w:val="heading 2"/>
    <w:basedOn w:val="Normal"/>
    <w:next w:val="Normal"/>
    <w:link w:val="Heading2Char"/>
    <w:autoRedefine/>
    <w:uiPriority w:val="9"/>
    <w:unhideWhenUsed/>
    <w:qFormat/>
    <w:rsid w:val="005914B3"/>
    <w:pPr>
      <w:keepNext/>
      <w:keepLines/>
      <w:numPr>
        <w:ilvl w:val="1"/>
        <w:numId w:val="13"/>
      </w:numPr>
      <w:spacing w:after="120"/>
      <w:ind w:left="0" w:firstLine="0"/>
      <w:outlineLvl w:val="1"/>
    </w:pPr>
    <w:rPr>
      <w:rFonts w:eastAsiaTheme="majorEastAsia"/>
      <w:b/>
      <w:bCs/>
      <w:sz w:val="24"/>
      <w:szCs w:val="26"/>
      <w:shd w:val="clear" w:color="auto" w:fill="FFFFFF"/>
    </w:rPr>
  </w:style>
  <w:style w:type="paragraph" w:styleId="Heading3">
    <w:name w:val="heading 3"/>
    <w:basedOn w:val="Normal"/>
    <w:next w:val="Normal"/>
    <w:link w:val="Heading3Char"/>
    <w:autoRedefine/>
    <w:uiPriority w:val="9"/>
    <w:unhideWhenUsed/>
    <w:qFormat/>
    <w:rsid w:val="005914B3"/>
    <w:pPr>
      <w:keepNext/>
      <w:keepLines/>
      <w:numPr>
        <w:ilvl w:val="2"/>
        <w:numId w:val="13"/>
      </w:numPr>
      <w:spacing w:before="240" w:after="120"/>
      <w:ind w:left="0" w:firstLine="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914BAB"/>
    <w:pPr>
      <w:keepNext/>
      <w:pBdr>
        <w:bottom w:val="single" w:sz="8" w:space="4" w:color="auto"/>
      </w:pBdr>
      <w:spacing w:before="240" w:after="120" w:line="240" w:lineRule="auto"/>
      <w:contextualSpacing/>
      <w:outlineLvl w:val="0"/>
    </w:pPr>
    <w:rPr>
      <w:rFonts w:eastAsiaTheme="majorEastAsia"/>
      <w:b/>
      <w:spacing w:val="5"/>
      <w:sz w:val="24"/>
    </w:rPr>
  </w:style>
  <w:style w:type="character" w:customStyle="1" w:styleId="TitleChar">
    <w:name w:val="Title Char"/>
    <w:basedOn w:val="DefaultParagraphFont"/>
    <w:link w:val="Title"/>
    <w:uiPriority w:val="10"/>
    <w:rsid w:val="00914BAB"/>
    <w:rPr>
      <w:rFonts w:asciiTheme="minorHAnsi" w:eastAsiaTheme="majorEastAsia" w:hAnsiTheme="minorHAnsi"/>
      <w:b/>
      <w:spacing w:val="5"/>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5914B3"/>
    <w:rPr>
      <w:rFonts w:asciiTheme="minorHAnsi" w:eastAsiaTheme="majorEastAsia" w:hAnsiTheme="minorHAnsi"/>
      <w:b/>
      <w:bCs/>
      <w:sz w:val="28"/>
      <w:szCs w:val="28"/>
    </w:rPr>
  </w:style>
  <w:style w:type="character" w:customStyle="1" w:styleId="Heading2Char">
    <w:name w:val="Heading 2 Char"/>
    <w:basedOn w:val="DefaultParagraphFont"/>
    <w:link w:val="Heading2"/>
    <w:uiPriority w:val="9"/>
    <w:rsid w:val="005914B3"/>
    <w:rPr>
      <w:rFonts w:asciiTheme="minorHAnsi" w:eastAsiaTheme="majorEastAsia" w:hAnsiTheme="minorHAnsi"/>
      <w:b/>
      <w:bCs/>
      <w:szCs w:val="26"/>
    </w:rPr>
  </w:style>
  <w:style w:type="character" w:customStyle="1" w:styleId="Heading3Char">
    <w:name w:val="Heading 3 Char"/>
    <w:basedOn w:val="DefaultParagraphFont"/>
    <w:link w:val="Heading3"/>
    <w:uiPriority w:val="9"/>
    <w:rsid w:val="005914B3"/>
    <w:rPr>
      <w:rFonts w:asciiTheme="minorHAnsi" w:eastAsiaTheme="majorEastAsia" w:hAnsiTheme="minorHAnsi"/>
      <w:b/>
      <w:bCs/>
      <w:sz w:val="21"/>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061339"/>
    <w:pPr>
      <w:spacing w:after="0" w:line="240" w:lineRule="auto"/>
    </w:pPr>
    <w:rPr>
      <w:rFonts w:asciiTheme="minorHAnsi" w:hAnsiTheme="minorHAnsi"/>
      <w:sz w:val="20"/>
    </w:r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paragraph" w:styleId="FootnoteText">
    <w:name w:val="footnote text"/>
    <w:basedOn w:val="Normal"/>
    <w:link w:val="FootnoteTextChar"/>
    <w:uiPriority w:val="99"/>
    <w:unhideWhenUsed/>
    <w:rsid w:val="00D038F0"/>
    <w:pPr>
      <w:spacing w:before="0" w:line="240" w:lineRule="auto"/>
    </w:pPr>
    <w:rPr>
      <w:sz w:val="20"/>
      <w:szCs w:val="20"/>
    </w:rPr>
  </w:style>
  <w:style w:type="character" w:customStyle="1" w:styleId="FootnoteTextChar">
    <w:name w:val="Footnote Text Char"/>
    <w:basedOn w:val="DefaultParagraphFont"/>
    <w:link w:val="FootnoteText"/>
    <w:uiPriority w:val="99"/>
    <w:rsid w:val="00D038F0"/>
    <w:rPr>
      <w:rFonts w:asciiTheme="minorHAnsi" w:hAnsiTheme="minorHAnsi"/>
      <w:sz w:val="20"/>
      <w:szCs w:val="20"/>
    </w:rPr>
  </w:style>
  <w:style w:type="character" w:styleId="FootnoteReference">
    <w:name w:val="footnote reference"/>
    <w:basedOn w:val="DefaultParagraphFont"/>
    <w:uiPriority w:val="99"/>
    <w:unhideWhenUsed/>
    <w:rsid w:val="00D038F0"/>
    <w:rPr>
      <w:vertAlign w:val="superscript"/>
    </w:rPr>
  </w:style>
  <w:style w:type="paragraph" w:styleId="TOC1">
    <w:name w:val="toc 1"/>
    <w:basedOn w:val="Normal"/>
    <w:next w:val="Normal"/>
    <w:autoRedefine/>
    <w:uiPriority w:val="39"/>
    <w:unhideWhenUsed/>
    <w:rsid w:val="002013F7"/>
  </w:style>
  <w:style w:type="paragraph" w:styleId="TOC2">
    <w:name w:val="toc 2"/>
    <w:basedOn w:val="Normal"/>
    <w:next w:val="Normal"/>
    <w:autoRedefine/>
    <w:uiPriority w:val="39"/>
    <w:unhideWhenUsed/>
    <w:rsid w:val="002013F7"/>
    <w:pPr>
      <w:ind w:left="210"/>
    </w:pPr>
  </w:style>
  <w:style w:type="paragraph" w:styleId="TOC3">
    <w:name w:val="toc 3"/>
    <w:basedOn w:val="Normal"/>
    <w:next w:val="Normal"/>
    <w:autoRedefine/>
    <w:uiPriority w:val="39"/>
    <w:unhideWhenUsed/>
    <w:rsid w:val="002013F7"/>
    <w:pPr>
      <w:ind w:left="420"/>
    </w:pPr>
  </w:style>
  <w:style w:type="paragraph" w:styleId="TOC4">
    <w:name w:val="toc 4"/>
    <w:basedOn w:val="Normal"/>
    <w:next w:val="Normal"/>
    <w:autoRedefine/>
    <w:uiPriority w:val="39"/>
    <w:unhideWhenUsed/>
    <w:rsid w:val="002013F7"/>
    <w:pPr>
      <w:ind w:left="630"/>
    </w:pPr>
  </w:style>
  <w:style w:type="paragraph" w:styleId="TOC5">
    <w:name w:val="toc 5"/>
    <w:basedOn w:val="Normal"/>
    <w:next w:val="Normal"/>
    <w:autoRedefine/>
    <w:uiPriority w:val="39"/>
    <w:unhideWhenUsed/>
    <w:rsid w:val="002013F7"/>
    <w:pPr>
      <w:ind w:left="840"/>
    </w:pPr>
  </w:style>
  <w:style w:type="paragraph" w:styleId="TOC6">
    <w:name w:val="toc 6"/>
    <w:basedOn w:val="Normal"/>
    <w:next w:val="Normal"/>
    <w:autoRedefine/>
    <w:uiPriority w:val="39"/>
    <w:unhideWhenUsed/>
    <w:rsid w:val="002013F7"/>
    <w:pPr>
      <w:ind w:left="1050"/>
    </w:pPr>
  </w:style>
  <w:style w:type="paragraph" w:styleId="TOC7">
    <w:name w:val="toc 7"/>
    <w:basedOn w:val="Normal"/>
    <w:next w:val="Normal"/>
    <w:autoRedefine/>
    <w:uiPriority w:val="39"/>
    <w:unhideWhenUsed/>
    <w:rsid w:val="002013F7"/>
    <w:pPr>
      <w:ind w:left="1260"/>
    </w:pPr>
  </w:style>
  <w:style w:type="paragraph" w:styleId="TOC8">
    <w:name w:val="toc 8"/>
    <w:basedOn w:val="Normal"/>
    <w:next w:val="Normal"/>
    <w:autoRedefine/>
    <w:uiPriority w:val="39"/>
    <w:unhideWhenUsed/>
    <w:rsid w:val="002013F7"/>
    <w:pPr>
      <w:ind w:left="1470"/>
    </w:pPr>
  </w:style>
  <w:style w:type="paragraph" w:styleId="TOC9">
    <w:name w:val="toc 9"/>
    <w:basedOn w:val="Normal"/>
    <w:next w:val="Normal"/>
    <w:autoRedefine/>
    <w:uiPriority w:val="39"/>
    <w:unhideWhenUsed/>
    <w:rsid w:val="002013F7"/>
    <w:pPr>
      <w:ind w:left="1680"/>
    </w:pPr>
  </w:style>
  <w:style w:type="table" w:styleId="TableGrid">
    <w:name w:val="Table Grid"/>
    <w:basedOn w:val="TableNormal"/>
    <w:uiPriority w:val="59"/>
    <w:rsid w:val="00743642"/>
    <w:pPr>
      <w:spacing w:after="0" w:line="240" w:lineRule="auto"/>
    </w:pPr>
    <w:rPr>
      <w:rFonts w:ascii="Times New Roman" w:hAnsi="Times New Roman" w:cs="Times New Roman"/>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43642"/>
    <w:rPr>
      <w:color w:val="0000FF" w:themeColor="hyperlink"/>
      <w:u w:val="single"/>
    </w:rPr>
  </w:style>
  <w:style w:type="paragraph" w:styleId="BalloonText">
    <w:name w:val="Balloon Text"/>
    <w:basedOn w:val="Normal"/>
    <w:link w:val="BalloonTextChar"/>
    <w:uiPriority w:val="99"/>
    <w:semiHidden/>
    <w:unhideWhenUsed/>
    <w:rsid w:val="000965A2"/>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5A2"/>
    <w:rPr>
      <w:rFonts w:ascii="Lucida Grande" w:hAnsi="Lucida Grande" w:cs="Lucida Grande"/>
      <w:sz w:val="18"/>
      <w:szCs w:val="18"/>
    </w:rPr>
  </w:style>
  <w:style w:type="paragraph" w:styleId="ListParagraph">
    <w:name w:val="List Paragraph"/>
    <w:basedOn w:val="Normal"/>
    <w:uiPriority w:val="34"/>
    <w:qFormat/>
    <w:rsid w:val="00AD1056"/>
    <w:pPr>
      <w:ind w:left="720"/>
      <w:contextualSpacing/>
    </w:pPr>
  </w:style>
  <w:style w:type="character" w:styleId="CommentReference">
    <w:name w:val="annotation reference"/>
    <w:basedOn w:val="DefaultParagraphFont"/>
    <w:uiPriority w:val="99"/>
    <w:semiHidden/>
    <w:unhideWhenUsed/>
    <w:rsid w:val="00714E01"/>
    <w:rPr>
      <w:sz w:val="16"/>
      <w:szCs w:val="16"/>
    </w:rPr>
  </w:style>
  <w:style w:type="paragraph" w:styleId="CommentText">
    <w:name w:val="annotation text"/>
    <w:basedOn w:val="Normal"/>
    <w:link w:val="CommentTextChar"/>
    <w:uiPriority w:val="99"/>
    <w:semiHidden/>
    <w:unhideWhenUsed/>
    <w:rsid w:val="00714E01"/>
    <w:pPr>
      <w:spacing w:line="240" w:lineRule="auto"/>
    </w:pPr>
    <w:rPr>
      <w:sz w:val="20"/>
      <w:szCs w:val="20"/>
    </w:rPr>
  </w:style>
  <w:style w:type="character" w:customStyle="1" w:styleId="CommentTextChar">
    <w:name w:val="Comment Text Char"/>
    <w:basedOn w:val="DefaultParagraphFont"/>
    <w:link w:val="CommentText"/>
    <w:uiPriority w:val="99"/>
    <w:semiHidden/>
    <w:rsid w:val="00714E01"/>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714E01"/>
    <w:rPr>
      <w:b/>
      <w:bCs/>
    </w:rPr>
  </w:style>
  <w:style w:type="character" w:customStyle="1" w:styleId="CommentSubjectChar">
    <w:name w:val="Comment Subject Char"/>
    <w:basedOn w:val="CommentTextChar"/>
    <w:link w:val="CommentSubject"/>
    <w:uiPriority w:val="99"/>
    <w:semiHidden/>
    <w:rsid w:val="00714E01"/>
    <w:rPr>
      <w:rFonts w:asciiTheme="minorHAnsi" w:hAnsiTheme="minorHAnsi"/>
      <w:b/>
      <w:bCs/>
      <w:sz w:val="20"/>
      <w:szCs w:val="20"/>
    </w:rPr>
  </w:style>
  <w:style w:type="paragraph" w:customStyle="1" w:styleId="EndNoteBibliography">
    <w:name w:val="EndNote Bibliography"/>
    <w:basedOn w:val="Normal"/>
    <w:link w:val="EndNoteBibliographyChar"/>
    <w:rsid w:val="001D53BA"/>
    <w:pPr>
      <w:spacing w:line="240" w:lineRule="auto"/>
    </w:pPr>
    <w:rPr>
      <w:rFonts w:ascii="Calibri" w:hAnsi="Calibri"/>
      <w:noProof/>
      <w:sz w:val="20"/>
    </w:rPr>
  </w:style>
  <w:style w:type="character" w:customStyle="1" w:styleId="EndNoteBibliographyChar">
    <w:name w:val="EndNote Bibliography Char"/>
    <w:basedOn w:val="DefaultParagraphFont"/>
    <w:link w:val="EndNoteBibliography"/>
    <w:rsid w:val="001D53BA"/>
    <w:rPr>
      <w:rFonts w:ascii="Calibri" w:hAnsi="Calibri"/>
      <w:noProof/>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850"/>
    <w:pPr>
      <w:spacing w:before="120" w:after="0"/>
    </w:pPr>
    <w:rPr>
      <w:rFonts w:asciiTheme="minorHAnsi" w:hAnsiTheme="minorHAnsi"/>
      <w:sz w:val="21"/>
    </w:rPr>
  </w:style>
  <w:style w:type="paragraph" w:styleId="Heading1">
    <w:name w:val="heading 1"/>
    <w:basedOn w:val="Normal"/>
    <w:next w:val="Normal"/>
    <w:link w:val="Heading1Char"/>
    <w:autoRedefine/>
    <w:uiPriority w:val="9"/>
    <w:qFormat/>
    <w:rsid w:val="005914B3"/>
    <w:pPr>
      <w:keepNext/>
      <w:keepLines/>
      <w:numPr>
        <w:numId w:val="13"/>
      </w:numPr>
      <w:ind w:left="0" w:firstLine="0"/>
      <w:outlineLvl w:val="0"/>
    </w:pPr>
    <w:rPr>
      <w:rFonts w:eastAsiaTheme="majorEastAsia"/>
      <w:b/>
      <w:bCs/>
      <w:sz w:val="28"/>
      <w:szCs w:val="28"/>
    </w:rPr>
  </w:style>
  <w:style w:type="paragraph" w:styleId="Heading2">
    <w:name w:val="heading 2"/>
    <w:basedOn w:val="Normal"/>
    <w:next w:val="Normal"/>
    <w:link w:val="Heading2Char"/>
    <w:autoRedefine/>
    <w:uiPriority w:val="9"/>
    <w:unhideWhenUsed/>
    <w:qFormat/>
    <w:rsid w:val="005914B3"/>
    <w:pPr>
      <w:keepNext/>
      <w:keepLines/>
      <w:numPr>
        <w:ilvl w:val="1"/>
        <w:numId w:val="13"/>
      </w:numPr>
      <w:spacing w:after="120"/>
      <w:ind w:left="0" w:firstLine="0"/>
      <w:outlineLvl w:val="1"/>
    </w:pPr>
    <w:rPr>
      <w:rFonts w:eastAsiaTheme="majorEastAsia"/>
      <w:b/>
      <w:bCs/>
      <w:sz w:val="24"/>
      <w:szCs w:val="26"/>
      <w:shd w:val="clear" w:color="auto" w:fill="FFFFFF"/>
    </w:rPr>
  </w:style>
  <w:style w:type="paragraph" w:styleId="Heading3">
    <w:name w:val="heading 3"/>
    <w:basedOn w:val="Normal"/>
    <w:next w:val="Normal"/>
    <w:link w:val="Heading3Char"/>
    <w:autoRedefine/>
    <w:uiPriority w:val="9"/>
    <w:unhideWhenUsed/>
    <w:qFormat/>
    <w:rsid w:val="005914B3"/>
    <w:pPr>
      <w:keepNext/>
      <w:keepLines/>
      <w:numPr>
        <w:ilvl w:val="2"/>
        <w:numId w:val="13"/>
      </w:numPr>
      <w:spacing w:before="240" w:after="120"/>
      <w:ind w:left="0" w:firstLine="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914BAB"/>
    <w:pPr>
      <w:keepNext/>
      <w:pBdr>
        <w:bottom w:val="single" w:sz="8" w:space="4" w:color="auto"/>
      </w:pBdr>
      <w:spacing w:before="240" w:after="120" w:line="240" w:lineRule="auto"/>
      <w:contextualSpacing/>
      <w:outlineLvl w:val="0"/>
    </w:pPr>
    <w:rPr>
      <w:rFonts w:eastAsiaTheme="majorEastAsia"/>
      <w:b/>
      <w:spacing w:val="5"/>
      <w:sz w:val="24"/>
    </w:rPr>
  </w:style>
  <w:style w:type="character" w:customStyle="1" w:styleId="TitleChar">
    <w:name w:val="Title Char"/>
    <w:basedOn w:val="DefaultParagraphFont"/>
    <w:link w:val="Title"/>
    <w:uiPriority w:val="10"/>
    <w:rsid w:val="00914BAB"/>
    <w:rPr>
      <w:rFonts w:asciiTheme="minorHAnsi" w:eastAsiaTheme="majorEastAsia" w:hAnsiTheme="minorHAnsi"/>
      <w:b/>
      <w:spacing w:val="5"/>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5914B3"/>
    <w:rPr>
      <w:rFonts w:asciiTheme="minorHAnsi" w:eastAsiaTheme="majorEastAsia" w:hAnsiTheme="minorHAnsi"/>
      <w:b/>
      <w:bCs/>
      <w:sz w:val="28"/>
      <w:szCs w:val="28"/>
    </w:rPr>
  </w:style>
  <w:style w:type="character" w:customStyle="1" w:styleId="Heading2Char">
    <w:name w:val="Heading 2 Char"/>
    <w:basedOn w:val="DefaultParagraphFont"/>
    <w:link w:val="Heading2"/>
    <w:uiPriority w:val="9"/>
    <w:rsid w:val="005914B3"/>
    <w:rPr>
      <w:rFonts w:asciiTheme="minorHAnsi" w:eastAsiaTheme="majorEastAsia" w:hAnsiTheme="minorHAnsi"/>
      <w:b/>
      <w:bCs/>
      <w:szCs w:val="26"/>
    </w:rPr>
  </w:style>
  <w:style w:type="character" w:customStyle="1" w:styleId="Heading3Char">
    <w:name w:val="Heading 3 Char"/>
    <w:basedOn w:val="DefaultParagraphFont"/>
    <w:link w:val="Heading3"/>
    <w:uiPriority w:val="9"/>
    <w:rsid w:val="005914B3"/>
    <w:rPr>
      <w:rFonts w:asciiTheme="minorHAnsi" w:eastAsiaTheme="majorEastAsia" w:hAnsiTheme="minorHAnsi"/>
      <w:b/>
      <w:bCs/>
      <w:sz w:val="21"/>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061339"/>
    <w:pPr>
      <w:spacing w:after="0" w:line="240" w:lineRule="auto"/>
    </w:pPr>
    <w:rPr>
      <w:rFonts w:asciiTheme="minorHAnsi" w:hAnsiTheme="minorHAnsi"/>
      <w:sz w:val="20"/>
    </w:r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paragraph" w:styleId="FootnoteText">
    <w:name w:val="footnote text"/>
    <w:basedOn w:val="Normal"/>
    <w:link w:val="FootnoteTextChar"/>
    <w:uiPriority w:val="99"/>
    <w:unhideWhenUsed/>
    <w:rsid w:val="00D038F0"/>
    <w:pPr>
      <w:spacing w:before="0" w:line="240" w:lineRule="auto"/>
    </w:pPr>
    <w:rPr>
      <w:sz w:val="20"/>
      <w:szCs w:val="20"/>
    </w:rPr>
  </w:style>
  <w:style w:type="character" w:customStyle="1" w:styleId="FootnoteTextChar">
    <w:name w:val="Footnote Text Char"/>
    <w:basedOn w:val="DefaultParagraphFont"/>
    <w:link w:val="FootnoteText"/>
    <w:uiPriority w:val="99"/>
    <w:rsid w:val="00D038F0"/>
    <w:rPr>
      <w:rFonts w:asciiTheme="minorHAnsi" w:hAnsiTheme="minorHAnsi"/>
      <w:sz w:val="20"/>
      <w:szCs w:val="20"/>
    </w:rPr>
  </w:style>
  <w:style w:type="character" w:styleId="FootnoteReference">
    <w:name w:val="footnote reference"/>
    <w:basedOn w:val="DefaultParagraphFont"/>
    <w:uiPriority w:val="99"/>
    <w:unhideWhenUsed/>
    <w:rsid w:val="00D038F0"/>
    <w:rPr>
      <w:vertAlign w:val="superscript"/>
    </w:rPr>
  </w:style>
  <w:style w:type="paragraph" w:styleId="TOC1">
    <w:name w:val="toc 1"/>
    <w:basedOn w:val="Normal"/>
    <w:next w:val="Normal"/>
    <w:autoRedefine/>
    <w:uiPriority w:val="39"/>
    <w:unhideWhenUsed/>
    <w:rsid w:val="002013F7"/>
  </w:style>
  <w:style w:type="paragraph" w:styleId="TOC2">
    <w:name w:val="toc 2"/>
    <w:basedOn w:val="Normal"/>
    <w:next w:val="Normal"/>
    <w:autoRedefine/>
    <w:uiPriority w:val="39"/>
    <w:unhideWhenUsed/>
    <w:rsid w:val="002013F7"/>
    <w:pPr>
      <w:ind w:left="210"/>
    </w:pPr>
  </w:style>
  <w:style w:type="paragraph" w:styleId="TOC3">
    <w:name w:val="toc 3"/>
    <w:basedOn w:val="Normal"/>
    <w:next w:val="Normal"/>
    <w:autoRedefine/>
    <w:uiPriority w:val="39"/>
    <w:unhideWhenUsed/>
    <w:rsid w:val="002013F7"/>
    <w:pPr>
      <w:ind w:left="420"/>
    </w:pPr>
  </w:style>
  <w:style w:type="paragraph" w:styleId="TOC4">
    <w:name w:val="toc 4"/>
    <w:basedOn w:val="Normal"/>
    <w:next w:val="Normal"/>
    <w:autoRedefine/>
    <w:uiPriority w:val="39"/>
    <w:unhideWhenUsed/>
    <w:rsid w:val="002013F7"/>
    <w:pPr>
      <w:ind w:left="630"/>
    </w:pPr>
  </w:style>
  <w:style w:type="paragraph" w:styleId="TOC5">
    <w:name w:val="toc 5"/>
    <w:basedOn w:val="Normal"/>
    <w:next w:val="Normal"/>
    <w:autoRedefine/>
    <w:uiPriority w:val="39"/>
    <w:unhideWhenUsed/>
    <w:rsid w:val="002013F7"/>
    <w:pPr>
      <w:ind w:left="840"/>
    </w:pPr>
  </w:style>
  <w:style w:type="paragraph" w:styleId="TOC6">
    <w:name w:val="toc 6"/>
    <w:basedOn w:val="Normal"/>
    <w:next w:val="Normal"/>
    <w:autoRedefine/>
    <w:uiPriority w:val="39"/>
    <w:unhideWhenUsed/>
    <w:rsid w:val="002013F7"/>
    <w:pPr>
      <w:ind w:left="1050"/>
    </w:pPr>
  </w:style>
  <w:style w:type="paragraph" w:styleId="TOC7">
    <w:name w:val="toc 7"/>
    <w:basedOn w:val="Normal"/>
    <w:next w:val="Normal"/>
    <w:autoRedefine/>
    <w:uiPriority w:val="39"/>
    <w:unhideWhenUsed/>
    <w:rsid w:val="002013F7"/>
    <w:pPr>
      <w:ind w:left="1260"/>
    </w:pPr>
  </w:style>
  <w:style w:type="paragraph" w:styleId="TOC8">
    <w:name w:val="toc 8"/>
    <w:basedOn w:val="Normal"/>
    <w:next w:val="Normal"/>
    <w:autoRedefine/>
    <w:uiPriority w:val="39"/>
    <w:unhideWhenUsed/>
    <w:rsid w:val="002013F7"/>
    <w:pPr>
      <w:ind w:left="1470"/>
    </w:pPr>
  </w:style>
  <w:style w:type="paragraph" w:styleId="TOC9">
    <w:name w:val="toc 9"/>
    <w:basedOn w:val="Normal"/>
    <w:next w:val="Normal"/>
    <w:autoRedefine/>
    <w:uiPriority w:val="39"/>
    <w:unhideWhenUsed/>
    <w:rsid w:val="002013F7"/>
    <w:pPr>
      <w:ind w:left="1680"/>
    </w:pPr>
  </w:style>
  <w:style w:type="table" w:styleId="TableGrid">
    <w:name w:val="Table Grid"/>
    <w:basedOn w:val="TableNormal"/>
    <w:uiPriority w:val="59"/>
    <w:rsid w:val="00743642"/>
    <w:pPr>
      <w:spacing w:after="0" w:line="240" w:lineRule="auto"/>
    </w:pPr>
    <w:rPr>
      <w:rFonts w:ascii="Times New Roman" w:hAnsi="Times New Roman" w:cs="Times New Roman"/>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43642"/>
    <w:rPr>
      <w:color w:val="0000FF" w:themeColor="hyperlink"/>
      <w:u w:val="single"/>
    </w:rPr>
  </w:style>
  <w:style w:type="paragraph" w:styleId="BalloonText">
    <w:name w:val="Balloon Text"/>
    <w:basedOn w:val="Normal"/>
    <w:link w:val="BalloonTextChar"/>
    <w:uiPriority w:val="99"/>
    <w:semiHidden/>
    <w:unhideWhenUsed/>
    <w:rsid w:val="000965A2"/>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5A2"/>
    <w:rPr>
      <w:rFonts w:ascii="Lucida Grande" w:hAnsi="Lucida Grande" w:cs="Lucida Grande"/>
      <w:sz w:val="18"/>
      <w:szCs w:val="18"/>
    </w:rPr>
  </w:style>
  <w:style w:type="paragraph" w:styleId="ListParagraph">
    <w:name w:val="List Paragraph"/>
    <w:basedOn w:val="Normal"/>
    <w:uiPriority w:val="34"/>
    <w:qFormat/>
    <w:rsid w:val="00AD1056"/>
    <w:pPr>
      <w:ind w:left="720"/>
      <w:contextualSpacing/>
    </w:pPr>
  </w:style>
  <w:style w:type="character" w:styleId="CommentReference">
    <w:name w:val="annotation reference"/>
    <w:basedOn w:val="DefaultParagraphFont"/>
    <w:uiPriority w:val="99"/>
    <w:semiHidden/>
    <w:unhideWhenUsed/>
    <w:rsid w:val="00714E01"/>
    <w:rPr>
      <w:sz w:val="16"/>
      <w:szCs w:val="16"/>
    </w:rPr>
  </w:style>
  <w:style w:type="paragraph" w:styleId="CommentText">
    <w:name w:val="annotation text"/>
    <w:basedOn w:val="Normal"/>
    <w:link w:val="CommentTextChar"/>
    <w:uiPriority w:val="99"/>
    <w:semiHidden/>
    <w:unhideWhenUsed/>
    <w:rsid w:val="00714E01"/>
    <w:pPr>
      <w:spacing w:line="240" w:lineRule="auto"/>
    </w:pPr>
    <w:rPr>
      <w:sz w:val="20"/>
      <w:szCs w:val="20"/>
    </w:rPr>
  </w:style>
  <w:style w:type="character" w:customStyle="1" w:styleId="CommentTextChar">
    <w:name w:val="Comment Text Char"/>
    <w:basedOn w:val="DefaultParagraphFont"/>
    <w:link w:val="CommentText"/>
    <w:uiPriority w:val="99"/>
    <w:semiHidden/>
    <w:rsid w:val="00714E01"/>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714E01"/>
    <w:rPr>
      <w:b/>
      <w:bCs/>
    </w:rPr>
  </w:style>
  <w:style w:type="character" w:customStyle="1" w:styleId="CommentSubjectChar">
    <w:name w:val="Comment Subject Char"/>
    <w:basedOn w:val="CommentTextChar"/>
    <w:link w:val="CommentSubject"/>
    <w:uiPriority w:val="99"/>
    <w:semiHidden/>
    <w:rsid w:val="00714E01"/>
    <w:rPr>
      <w:rFonts w:asciiTheme="minorHAnsi" w:hAnsiTheme="minorHAnsi"/>
      <w:b/>
      <w:bCs/>
      <w:sz w:val="20"/>
      <w:szCs w:val="20"/>
    </w:rPr>
  </w:style>
  <w:style w:type="paragraph" w:customStyle="1" w:styleId="EndNoteBibliography">
    <w:name w:val="EndNote Bibliography"/>
    <w:basedOn w:val="Normal"/>
    <w:link w:val="EndNoteBibliographyChar"/>
    <w:rsid w:val="001D53BA"/>
    <w:pPr>
      <w:spacing w:line="240" w:lineRule="auto"/>
    </w:pPr>
    <w:rPr>
      <w:rFonts w:ascii="Calibri" w:hAnsi="Calibri"/>
      <w:noProof/>
      <w:sz w:val="20"/>
    </w:rPr>
  </w:style>
  <w:style w:type="character" w:customStyle="1" w:styleId="EndNoteBibliographyChar">
    <w:name w:val="EndNote Bibliography Char"/>
    <w:basedOn w:val="DefaultParagraphFont"/>
    <w:link w:val="EndNoteBibliography"/>
    <w:rsid w:val="001D53BA"/>
    <w:rPr>
      <w:rFonts w:ascii="Calibri" w:hAnsi="Calibri"/>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6223">
      <w:bodyDiv w:val="1"/>
      <w:marLeft w:val="0"/>
      <w:marRight w:val="0"/>
      <w:marTop w:val="0"/>
      <w:marBottom w:val="0"/>
      <w:divBdr>
        <w:top w:val="none" w:sz="0" w:space="0" w:color="auto"/>
        <w:left w:val="none" w:sz="0" w:space="0" w:color="auto"/>
        <w:bottom w:val="none" w:sz="0" w:space="0" w:color="auto"/>
        <w:right w:val="none" w:sz="0" w:space="0" w:color="auto"/>
      </w:divBdr>
    </w:div>
    <w:div w:id="209612745">
      <w:bodyDiv w:val="1"/>
      <w:marLeft w:val="0"/>
      <w:marRight w:val="0"/>
      <w:marTop w:val="0"/>
      <w:marBottom w:val="0"/>
      <w:divBdr>
        <w:top w:val="none" w:sz="0" w:space="0" w:color="auto"/>
        <w:left w:val="none" w:sz="0" w:space="0" w:color="auto"/>
        <w:bottom w:val="none" w:sz="0" w:space="0" w:color="auto"/>
        <w:right w:val="none" w:sz="0" w:space="0" w:color="auto"/>
      </w:divBdr>
    </w:div>
    <w:div w:id="229318153">
      <w:bodyDiv w:val="1"/>
      <w:marLeft w:val="0"/>
      <w:marRight w:val="0"/>
      <w:marTop w:val="0"/>
      <w:marBottom w:val="0"/>
      <w:divBdr>
        <w:top w:val="none" w:sz="0" w:space="0" w:color="auto"/>
        <w:left w:val="none" w:sz="0" w:space="0" w:color="auto"/>
        <w:bottom w:val="none" w:sz="0" w:space="0" w:color="auto"/>
        <w:right w:val="none" w:sz="0" w:space="0" w:color="auto"/>
      </w:divBdr>
    </w:div>
    <w:div w:id="231283438">
      <w:bodyDiv w:val="1"/>
      <w:marLeft w:val="0"/>
      <w:marRight w:val="0"/>
      <w:marTop w:val="0"/>
      <w:marBottom w:val="0"/>
      <w:divBdr>
        <w:top w:val="none" w:sz="0" w:space="0" w:color="auto"/>
        <w:left w:val="none" w:sz="0" w:space="0" w:color="auto"/>
        <w:bottom w:val="none" w:sz="0" w:space="0" w:color="auto"/>
        <w:right w:val="none" w:sz="0" w:space="0" w:color="auto"/>
      </w:divBdr>
    </w:div>
    <w:div w:id="302122576">
      <w:bodyDiv w:val="1"/>
      <w:marLeft w:val="0"/>
      <w:marRight w:val="0"/>
      <w:marTop w:val="0"/>
      <w:marBottom w:val="0"/>
      <w:divBdr>
        <w:top w:val="none" w:sz="0" w:space="0" w:color="auto"/>
        <w:left w:val="none" w:sz="0" w:space="0" w:color="auto"/>
        <w:bottom w:val="none" w:sz="0" w:space="0" w:color="auto"/>
        <w:right w:val="none" w:sz="0" w:space="0" w:color="auto"/>
      </w:divBdr>
    </w:div>
    <w:div w:id="532303402">
      <w:bodyDiv w:val="1"/>
      <w:marLeft w:val="0"/>
      <w:marRight w:val="0"/>
      <w:marTop w:val="0"/>
      <w:marBottom w:val="0"/>
      <w:divBdr>
        <w:top w:val="none" w:sz="0" w:space="0" w:color="auto"/>
        <w:left w:val="none" w:sz="0" w:space="0" w:color="auto"/>
        <w:bottom w:val="none" w:sz="0" w:space="0" w:color="auto"/>
        <w:right w:val="none" w:sz="0" w:space="0" w:color="auto"/>
      </w:divBdr>
    </w:div>
    <w:div w:id="874463508">
      <w:bodyDiv w:val="1"/>
      <w:marLeft w:val="0"/>
      <w:marRight w:val="0"/>
      <w:marTop w:val="0"/>
      <w:marBottom w:val="0"/>
      <w:divBdr>
        <w:top w:val="none" w:sz="0" w:space="0" w:color="auto"/>
        <w:left w:val="none" w:sz="0" w:space="0" w:color="auto"/>
        <w:bottom w:val="none" w:sz="0" w:space="0" w:color="auto"/>
        <w:right w:val="none" w:sz="0" w:space="0" w:color="auto"/>
      </w:divBdr>
    </w:div>
    <w:div w:id="1359039249">
      <w:bodyDiv w:val="1"/>
      <w:marLeft w:val="0"/>
      <w:marRight w:val="0"/>
      <w:marTop w:val="0"/>
      <w:marBottom w:val="0"/>
      <w:divBdr>
        <w:top w:val="none" w:sz="0" w:space="0" w:color="auto"/>
        <w:left w:val="none" w:sz="0" w:space="0" w:color="auto"/>
        <w:bottom w:val="none" w:sz="0" w:space="0" w:color="auto"/>
        <w:right w:val="none" w:sz="0" w:space="0" w:color="auto"/>
      </w:divBdr>
    </w:div>
    <w:div w:id="1638990700">
      <w:bodyDiv w:val="1"/>
      <w:marLeft w:val="0"/>
      <w:marRight w:val="0"/>
      <w:marTop w:val="0"/>
      <w:marBottom w:val="0"/>
      <w:divBdr>
        <w:top w:val="none" w:sz="0" w:space="0" w:color="auto"/>
        <w:left w:val="none" w:sz="0" w:space="0" w:color="auto"/>
        <w:bottom w:val="none" w:sz="0" w:space="0" w:color="auto"/>
        <w:right w:val="none" w:sz="0" w:space="0" w:color="auto"/>
      </w:divBdr>
    </w:div>
    <w:div w:id="1776049945">
      <w:bodyDiv w:val="1"/>
      <w:marLeft w:val="0"/>
      <w:marRight w:val="0"/>
      <w:marTop w:val="0"/>
      <w:marBottom w:val="0"/>
      <w:divBdr>
        <w:top w:val="none" w:sz="0" w:space="0" w:color="auto"/>
        <w:left w:val="none" w:sz="0" w:space="0" w:color="auto"/>
        <w:bottom w:val="none" w:sz="0" w:space="0" w:color="auto"/>
        <w:right w:val="none" w:sz="0" w:space="0" w:color="auto"/>
      </w:divBdr>
    </w:div>
    <w:div w:id="1987970499">
      <w:bodyDiv w:val="1"/>
      <w:marLeft w:val="0"/>
      <w:marRight w:val="0"/>
      <w:marTop w:val="0"/>
      <w:marBottom w:val="0"/>
      <w:divBdr>
        <w:top w:val="none" w:sz="0" w:space="0" w:color="auto"/>
        <w:left w:val="none" w:sz="0" w:space="0" w:color="auto"/>
        <w:bottom w:val="none" w:sz="0" w:space="0" w:color="auto"/>
        <w:right w:val="none" w:sz="0" w:space="0" w:color="auto"/>
      </w:divBdr>
    </w:div>
    <w:div w:id="2024553400">
      <w:bodyDiv w:val="1"/>
      <w:marLeft w:val="0"/>
      <w:marRight w:val="0"/>
      <w:marTop w:val="0"/>
      <w:marBottom w:val="0"/>
      <w:divBdr>
        <w:top w:val="none" w:sz="0" w:space="0" w:color="auto"/>
        <w:left w:val="none" w:sz="0" w:space="0" w:color="auto"/>
        <w:bottom w:val="none" w:sz="0" w:space="0" w:color="auto"/>
        <w:right w:val="none" w:sz="0" w:space="0" w:color="auto"/>
      </w:divBdr>
    </w:div>
    <w:div w:id="2058577305">
      <w:bodyDiv w:val="1"/>
      <w:marLeft w:val="0"/>
      <w:marRight w:val="0"/>
      <w:marTop w:val="0"/>
      <w:marBottom w:val="0"/>
      <w:divBdr>
        <w:top w:val="none" w:sz="0" w:space="0" w:color="auto"/>
        <w:left w:val="none" w:sz="0" w:space="0" w:color="auto"/>
        <w:bottom w:val="none" w:sz="0" w:space="0" w:color="auto"/>
        <w:right w:val="none" w:sz="0" w:space="0" w:color="auto"/>
      </w:divBdr>
    </w:div>
    <w:div w:id="212371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20" Type="http://schemas.openxmlformats.org/officeDocument/2006/relationships/hyperlink" Target="http://www.iea.org/etp/" TargetMode="External"/><Relationship Id="rId21" Type="http://schemas.openxmlformats.org/officeDocument/2006/relationships/hyperlink" Target="http://www.worldenergyoutlook.org/publications/weo-2014/" TargetMode="External"/><Relationship Id="rId22" Type="http://schemas.openxmlformats.org/officeDocument/2006/relationships/hyperlink" Target="https://www.iea.org/publications/freepublications/publication/world-energy-investment-outlook---special-report---.html" TargetMode="External"/><Relationship Id="rId23" Type="http://schemas.openxmlformats.org/officeDocument/2006/relationships/hyperlink" Target="http://www.ipcc-nggip.iges.or.jp/public/2006gl/index.html" TargetMode="External"/><Relationship Id="rId24" Type="http://schemas.openxmlformats.org/officeDocument/2006/relationships/hyperlink" Target="http://www.theicct.org/driving-electrification-global-comparison-fiscal-policyelectric-vehicles" TargetMode="External"/><Relationship Id="rId25" Type="http://schemas.openxmlformats.org/officeDocument/2006/relationships/hyperlink" Target="https://www.itdp.org/wp-content/uploads/2014/09/A-Global-High-Shift-Scenario_V2_WEB.pdf" TargetMode="External"/><Relationship Id="rId26" Type="http://schemas.openxmlformats.org/officeDocument/2006/relationships/hyperlink" Target="http://www.gbpn.org/sites/default/files/08.CEU%20Technical%20Report%20copy_0.pdf" TargetMode="External"/><Relationship Id="rId27" Type="http://schemas.openxmlformats.org/officeDocument/2006/relationships/hyperlink" Target="http://www.worldenergy.org/wp-content/uploads/2013/09/WEC_J1143_CostofTECHNOLOGIES_021013_WEB_Final.pdf" TargetMode="External"/><Relationship Id="rId28" Type="http://schemas.openxmlformats.org/officeDocument/2006/relationships/fontTable" Target="fontTable.xml"/><Relationship Id="rId29" Type="http://schemas.openxmlformats.org/officeDocument/2006/relationships/theme" Target="theme/theme1.xml"/><Relationship Id="rId30" Type="http://schemas.microsoft.com/office/2011/relationships/commentsExtended" Target="commentsExtended.xml"/><Relationship Id="rId31" Type="http://schemas.microsoft.com/office/2011/relationships/people" Target="people.xml"/><Relationship Id="rId10" Type="http://schemas.openxmlformats.org/officeDocument/2006/relationships/hyperlink" Target="http://dx.doi.org/10.1016/j.enpol.2012.09.066" TargetMode="External"/><Relationship Id="rId11" Type="http://schemas.openxmlformats.org/officeDocument/2006/relationships/hyperlink" Target="http://www.iea.org/publications/freepublications/publication/TransportInfrastructureInsights_FINAL_WEB.pdf" TargetMode="External"/><Relationship Id="rId12" Type="http://schemas.openxmlformats.org/officeDocument/2006/relationships/hyperlink" Target="http://ec.europa.eu/eurostat/help/first-visit/database" TargetMode="External"/><Relationship Id="rId13" Type="http://schemas.openxmlformats.org/officeDocument/2006/relationships/hyperlink" Target="http://www.theicct.org/global-transportation-energy-and-climate-roadmap" TargetMode="External"/><Relationship Id="rId14" Type="http://schemas.openxmlformats.org/officeDocument/2006/relationships/hyperlink" Target="http://newclimateeconomy.report" TargetMode="External"/><Relationship Id="rId15" Type="http://schemas.openxmlformats.org/officeDocument/2006/relationships/hyperlink" Target="http://go.worldbank.org/BCQEP0TMO0" TargetMode="External"/><Relationship Id="rId16" Type="http://schemas.openxmlformats.org/officeDocument/2006/relationships/hyperlink" Target="http://www.iea.org/publications/freepublications/publication/transport2009.pdf" TargetMode="External"/><Relationship Id="rId17" Type="http://schemas.openxmlformats.org/officeDocument/2006/relationships/hyperlink" Target="http://www.worldenergyoutlook.org/2010.asp" TargetMode="External"/><Relationship Id="rId18" Type="http://schemas.openxmlformats.org/officeDocument/2006/relationships/hyperlink" Target="http://www.iea.org/etp/publications/etp2012/" TargetMode="External"/><Relationship Id="rId19" Type="http://schemas.openxmlformats.org/officeDocument/2006/relationships/hyperlink" Target="http://www.worldenergyoutlook.org/publications/weo-2013/"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ds.leeds.ac.uk\staff\staff9\earjtm\SRIproject\LCC\SEI\Output%20NCE%20-%20Sensitivity%20-%20outputs.xlsx"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030980113012"/>
          <c:y val="0.0273078039178145"/>
          <c:w val="0.844078486420121"/>
          <c:h val="0.778494971471564"/>
        </c:manualLayout>
      </c:layout>
      <c:barChart>
        <c:barDir val="col"/>
        <c:grouping val="stacked"/>
        <c:varyColors val="0"/>
        <c:ser>
          <c:idx val="0"/>
          <c:order val="0"/>
          <c:tx>
            <c:strRef>
              <c:f>'Summary_Sectors '!$A$8</c:f>
              <c:strCache>
                <c:ptCount val="1"/>
                <c:pt idx="0">
                  <c:v>Buildings – residential</c:v>
                </c:pt>
              </c:strCache>
            </c:strRef>
          </c:tx>
          <c:spPr>
            <a:solidFill>
              <a:schemeClr val="tx2"/>
            </a:solidFill>
            <a:ln>
              <a:noFill/>
            </a:ln>
            <a:effectLst/>
          </c:spPr>
          <c:invertIfNegative val="0"/>
          <c:cat>
            <c:strRef>
              <c:f>'Summary_Sectors '!$B$4:$L$4</c:f>
              <c:strCache>
                <c:ptCount val="11"/>
                <c:pt idx="0">
                  <c:v>Low</c:v>
                </c:pt>
                <c:pt idx="1">
                  <c:v>Med</c:v>
                </c:pt>
                <c:pt idx="2">
                  <c:v>High</c:v>
                </c:pt>
                <c:pt idx="4">
                  <c:v>Low</c:v>
                </c:pt>
                <c:pt idx="5">
                  <c:v>Med</c:v>
                </c:pt>
                <c:pt idx="6">
                  <c:v>High</c:v>
                </c:pt>
                <c:pt idx="8">
                  <c:v>Low</c:v>
                </c:pt>
                <c:pt idx="9">
                  <c:v>Med</c:v>
                </c:pt>
                <c:pt idx="10">
                  <c:v>High</c:v>
                </c:pt>
              </c:strCache>
            </c:strRef>
          </c:cat>
          <c:val>
            <c:numRef>
              <c:f>'Summary_Sectors '!$B$8:$L$8</c:f>
              <c:numCache>
                <c:formatCode>0.00</c:formatCode>
                <c:ptCount val="11"/>
                <c:pt idx="0">
                  <c:v>4.873131584663094</c:v>
                </c:pt>
                <c:pt idx="1">
                  <c:v>1.250174328173784</c:v>
                </c:pt>
                <c:pt idx="2">
                  <c:v>-1.380417327219992</c:v>
                </c:pt>
                <c:pt idx="3">
                  <c:v>0.0</c:v>
                </c:pt>
                <c:pt idx="4">
                  <c:v>11.69427425125545</c:v>
                </c:pt>
                <c:pt idx="5">
                  <c:v>5.772984096139925</c:v>
                </c:pt>
                <c:pt idx="6">
                  <c:v>1.39348188261648</c:v>
                </c:pt>
                <c:pt idx="7">
                  <c:v>0.0</c:v>
                </c:pt>
                <c:pt idx="8">
                  <c:v>21.65798025132179</c:v>
                </c:pt>
                <c:pt idx="9">
                  <c:v>12.3138807284289</c:v>
                </c:pt>
                <c:pt idx="10">
                  <c:v>5.351865698498399</c:v>
                </c:pt>
              </c:numCache>
            </c:numRef>
          </c:val>
          <c:extLst xmlns:c16r2="http://schemas.microsoft.com/office/drawing/2015/06/chart">
            <c:ext xmlns:c16="http://schemas.microsoft.com/office/drawing/2014/chart" uri="{C3380CC4-5D6E-409C-BE32-E72D297353CC}">
              <c16:uniqueId val="{00000000-7CB9-4961-93A3-5AE482F59BDD}"/>
            </c:ext>
          </c:extLst>
        </c:ser>
        <c:ser>
          <c:idx val="1"/>
          <c:order val="1"/>
          <c:tx>
            <c:strRef>
              <c:f>'Summary_Sectors '!$A$9</c:f>
              <c:strCache>
                <c:ptCount val="1"/>
                <c:pt idx="0">
                  <c:v>Buildings – commercial</c:v>
                </c:pt>
              </c:strCache>
            </c:strRef>
          </c:tx>
          <c:spPr>
            <a:solidFill>
              <a:schemeClr val="accent1">
                <a:lumMod val="60000"/>
                <a:lumOff val="40000"/>
              </a:schemeClr>
            </a:solidFill>
            <a:ln>
              <a:noFill/>
            </a:ln>
            <a:effectLst/>
          </c:spPr>
          <c:invertIfNegative val="0"/>
          <c:cat>
            <c:strRef>
              <c:f>'Summary_Sectors '!$B$4:$L$4</c:f>
              <c:strCache>
                <c:ptCount val="11"/>
                <c:pt idx="0">
                  <c:v>Low</c:v>
                </c:pt>
                <c:pt idx="1">
                  <c:v>Med</c:v>
                </c:pt>
                <c:pt idx="2">
                  <c:v>High</c:v>
                </c:pt>
                <c:pt idx="4">
                  <c:v>Low</c:v>
                </c:pt>
                <c:pt idx="5">
                  <c:v>Med</c:v>
                </c:pt>
                <c:pt idx="6">
                  <c:v>High</c:v>
                </c:pt>
                <c:pt idx="8">
                  <c:v>Low</c:v>
                </c:pt>
                <c:pt idx="9">
                  <c:v>Med</c:v>
                </c:pt>
                <c:pt idx="10">
                  <c:v>High</c:v>
                </c:pt>
              </c:strCache>
            </c:strRef>
          </c:cat>
          <c:val>
            <c:numRef>
              <c:f>'Summary_Sectors '!$B$9:$L$9</c:f>
              <c:numCache>
                <c:formatCode>0.00</c:formatCode>
                <c:ptCount val="11"/>
                <c:pt idx="0">
                  <c:v>-0.799432154486397</c:v>
                </c:pt>
                <c:pt idx="1">
                  <c:v>-2.389343657444645</c:v>
                </c:pt>
                <c:pt idx="2">
                  <c:v>-3.41158864574496</c:v>
                </c:pt>
                <c:pt idx="3">
                  <c:v>0.0</c:v>
                </c:pt>
                <c:pt idx="4">
                  <c:v>3.164765428900022</c:v>
                </c:pt>
                <c:pt idx="5">
                  <c:v>0.218184472386219</c:v>
                </c:pt>
                <c:pt idx="6">
                  <c:v>-1.829221992491289</c:v>
                </c:pt>
                <c:pt idx="7">
                  <c:v>0.0</c:v>
                </c:pt>
                <c:pt idx="8">
                  <c:v>8.9957485207248</c:v>
                </c:pt>
                <c:pt idx="9">
                  <c:v>4.017571839490427</c:v>
                </c:pt>
                <c:pt idx="10">
                  <c:v>0.447279840724696</c:v>
                </c:pt>
              </c:numCache>
            </c:numRef>
          </c:val>
          <c:extLst xmlns:c16r2="http://schemas.microsoft.com/office/drawing/2015/06/chart">
            <c:ext xmlns:c16="http://schemas.microsoft.com/office/drawing/2014/chart" uri="{C3380CC4-5D6E-409C-BE32-E72D297353CC}">
              <c16:uniqueId val="{00000001-7CB9-4961-93A3-5AE482F59BDD}"/>
            </c:ext>
          </c:extLst>
        </c:ser>
        <c:ser>
          <c:idx val="2"/>
          <c:order val="2"/>
          <c:tx>
            <c:strRef>
              <c:f>'Summary_Sectors '!$A$10</c:f>
              <c:strCache>
                <c:ptCount val="1"/>
                <c:pt idx="0">
                  <c:v>Transport - passenger</c:v>
                </c:pt>
              </c:strCache>
            </c:strRef>
          </c:tx>
          <c:spPr>
            <a:solidFill>
              <a:schemeClr val="accent2">
                <a:lumMod val="75000"/>
              </a:schemeClr>
            </a:solidFill>
            <a:ln>
              <a:noFill/>
            </a:ln>
            <a:effectLst/>
          </c:spPr>
          <c:invertIfNegative val="0"/>
          <c:cat>
            <c:strRef>
              <c:f>'Summary_Sectors '!$B$4:$L$4</c:f>
              <c:strCache>
                <c:ptCount val="11"/>
                <c:pt idx="0">
                  <c:v>Low</c:v>
                </c:pt>
                <c:pt idx="1">
                  <c:v>Med</c:v>
                </c:pt>
                <c:pt idx="2">
                  <c:v>High</c:v>
                </c:pt>
                <c:pt idx="4">
                  <c:v>Low</c:v>
                </c:pt>
                <c:pt idx="5">
                  <c:v>Med</c:v>
                </c:pt>
                <c:pt idx="6">
                  <c:v>High</c:v>
                </c:pt>
                <c:pt idx="8">
                  <c:v>Low</c:v>
                </c:pt>
                <c:pt idx="9">
                  <c:v>Med</c:v>
                </c:pt>
                <c:pt idx="10">
                  <c:v>High</c:v>
                </c:pt>
              </c:strCache>
            </c:strRef>
          </c:cat>
          <c:val>
            <c:numRef>
              <c:f>'Summary_Sectors '!$B$10:$L$10</c:f>
              <c:numCache>
                <c:formatCode>0.00</c:formatCode>
                <c:ptCount val="11"/>
                <c:pt idx="0">
                  <c:v>6.585930630238106</c:v>
                </c:pt>
                <c:pt idx="1">
                  <c:v>4.241480474337157</c:v>
                </c:pt>
                <c:pt idx="2">
                  <c:v>2.462119930263983</c:v>
                </c:pt>
                <c:pt idx="3">
                  <c:v>0.0</c:v>
                </c:pt>
                <c:pt idx="4">
                  <c:v>12.36494202099842</c:v>
                </c:pt>
                <c:pt idx="5">
                  <c:v>8.06217780264582</c:v>
                </c:pt>
                <c:pt idx="6">
                  <c:v>4.800255446552796</c:v>
                </c:pt>
                <c:pt idx="7">
                  <c:v>0.0</c:v>
                </c:pt>
                <c:pt idx="8">
                  <c:v>20.83496632370887</c:v>
                </c:pt>
                <c:pt idx="9">
                  <c:v>13.6025511638943</c:v>
                </c:pt>
                <c:pt idx="10">
                  <c:v>8.141868611737122</c:v>
                </c:pt>
              </c:numCache>
            </c:numRef>
          </c:val>
          <c:extLst xmlns:c16r2="http://schemas.microsoft.com/office/drawing/2015/06/chart">
            <c:ext xmlns:c16="http://schemas.microsoft.com/office/drawing/2014/chart" uri="{C3380CC4-5D6E-409C-BE32-E72D297353CC}">
              <c16:uniqueId val="{00000002-7CB9-4961-93A3-5AE482F59BDD}"/>
            </c:ext>
          </c:extLst>
        </c:ser>
        <c:ser>
          <c:idx val="3"/>
          <c:order val="3"/>
          <c:tx>
            <c:strRef>
              <c:f>'Summary_Sectors '!$A$11</c:f>
              <c:strCache>
                <c:ptCount val="1"/>
                <c:pt idx="0">
                  <c:v>Transport - freight</c:v>
                </c:pt>
              </c:strCache>
            </c:strRef>
          </c:tx>
          <c:spPr>
            <a:solidFill>
              <a:schemeClr val="accent2">
                <a:lumMod val="60000"/>
                <a:lumOff val="40000"/>
              </a:schemeClr>
            </a:solidFill>
            <a:ln>
              <a:noFill/>
            </a:ln>
            <a:effectLst/>
          </c:spPr>
          <c:invertIfNegative val="0"/>
          <c:cat>
            <c:strRef>
              <c:f>'Summary_Sectors '!$B$4:$L$4</c:f>
              <c:strCache>
                <c:ptCount val="11"/>
                <c:pt idx="0">
                  <c:v>Low</c:v>
                </c:pt>
                <c:pt idx="1">
                  <c:v>Med</c:v>
                </c:pt>
                <c:pt idx="2">
                  <c:v>High</c:v>
                </c:pt>
                <c:pt idx="4">
                  <c:v>Low</c:v>
                </c:pt>
                <c:pt idx="5">
                  <c:v>Med</c:v>
                </c:pt>
                <c:pt idx="6">
                  <c:v>High</c:v>
                </c:pt>
                <c:pt idx="8">
                  <c:v>Low</c:v>
                </c:pt>
                <c:pt idx="9">
                  <c:v>Med</c:v>
                </c:pt>
                <c:pt idx="10">
                  <c:v>High</c:v>
                </c:pt>
              </c:strCache>
            </c:strRef>
          </c:cat>
          <c:val>
            <c:numRef>
              <c:f>'Summary_Sectors '!$B$11:$L$11</c:f>
              <c:numCache>
                <c:formatCode>0.00</c:formatCode>
                <c:ptCount val="11"/>
                <c:pt idx="0">
                  <c:v>2.427043838818418</c:v>
                </c:pt>
                <c:pt idx="1">
                  <c:v>1.76016334640926</c:v>
                </c:pt>
                <c:pt idx="2">
                  <c:v>1.226714111613386</c:v>
                </c:pt>
                <c:pt idx="3">
                  <c:v>0.0</c:v>
                </c:pt>
                <c:pt idx="4">
                  <c:v>3.657048030621444</c:v>
                </c:pt>
                <c:pt idx="5">
                  <c:v>2.580908157992642</c:v>
                </c:pt>
                <c:pt idx="6">
                  <c:v>1.736462275077881</c:v>
                </c:pt>
                <c:pt idx="7">
                  <c:v>0.0</c:v>
                </c:pt>
                <c:pt idx="8">
                  <c:v>5.447652564595575</c:v>
                </c:pt>
                <c:pt idx="9">
                  <c:v>3.760757954156044</c:v>
                </c:pt>
                <c:pt idx="10">
                  <c:v>2.456571834304837</c:v>
                </c:pt>
              </c:numCache>
            </c:numRef>
          </c:val>
          <c:extLst xmlns:c16r2="http://schemas.microsoft.com/office/drawing/2015/06/chart">
            <c:ext xmlns:c16="http://schemas.microsoft.com/office/drawing/2014/chart" uri="{C3380CC4-5D6E-409C-BE32-E72D297353CC}">
              <c16:uniqueId val="{00000003-7CB9-4961-93A3-5AE482F59BDD}"/>
            </c:ext>
          </c:extLst>
        </c:ser>
        <c:ser>
          <c:idx val="4"/>
          <c:order val="4"/>
          <c:tx>
            <c:strRef>
              <c:f>'Summary_Sectors '!$A$12</c:f>
              <c:strCache>
                <c:ptCount val="1"/>
                <c:pt idx="0">
                  <c:v>Waste</c:v>
                </c:pt>
              </c:strCache>
            </c:strRef>
          </c:tx>
          <c:spPr>
            <a:solidFill>
              <a:srgbClr val="00B050"/>
            </a:solidFill>
            <a:ln>
              <a:noFill/>
            </a:ln>
            <a:effectLst/>
          </c:spPr>
          <c:invertIfNegative val="0"/>
          <c:cat>
            <c:strRef>
              <c:f>'Summary_Sectors '!$B$4:$L$4</c:f>
              <c:strCache>
                <c:ptCount val="11"/>
                <c:pt idx="0">
                  <c:v>Low</c:v>
                </c:pt>
                <c:pt idx="1">
                  <c:v>Med</c:v>
                </c:pt>
                <c:pt idx="2">
                  <c:v>High</c:v>
                </c:pt>
                <c:pt idx="4">
                  <c:v>Low</c:v>
                </c:pt>
                <c:pt idx="5">
                  <c:v>Med</c:v>
                </c:pt>
                <c:pt idx="6">
                  <c:v>High</c:v>
                </c:pt>
                <c:pt idx="8">
                  <c:v>Low</c:v>
                </c:pt>
                <c:pt idx="9">
                  <c:v>Med</c:v>
                </c:pt>
                <c:pt idx="10">
                  <c:v>High</c:v>
                </c:pt>
              </c:strCache>
            </c:strRef>
          </c:cat>
          <c:val>
            <c:numRef>
              <c:f>'Summary_Sectors '!$B$12:$L$12</c:f>
              <c:numCache>
                <c:formatCode>0.00</c:formatCode>
                <c:ptCount val="11"/>
                <c:pt idx="0">
                  <c:v>-0.0102757770328999</c:v>
                </c:pt>
                <c:pt idx="1">
                  <c:v>-0.00749598478904578</c:v>
                </c:pt>
                <c:pt idx="2">
                  <c:v>-0.00523368832534049</c:v>
                </c:pt>
                <c:pt idx="3">
                  <c:v>0.0</c:v>
                </c:pt>
                <c:pt idx="4">
                  <c:v>-0.00392769736879887</c:v>
                </c:pt>
                <c:pt idx="5">
                  <c:v>-0.00331738075688428</c:v>
                </c:pt>
                <c:pt idx="6">
                  <c:v>-0.00269269377975834</c:v>
                </c:pt>
                <c:pt idx="7">
                  <c:v>0.0</c:v>
                </c:pt>
                <c:pt idx="8">
                  <c:v>0.00540927255225302</c:v>
                </c:pt>
                <c:pt idx="9">
                  <c:v>0.00276692748129162</c:v>
                </c:pt>
                <c:pt idx="10">
                  <c:v>0.000956771659220081</c:v>
                </c:pt>
              </c:numCache>
            </c:numRef>
          </c:val>
          <c:extLst xmlns:c16r2="http://schemas.microsoft.com/office/drawing/2015/06/chart">
            <c:ext xmlns:c16="http://schemas.microsoft.com/office/drawing/2014/chart" uri="{C3380CC4-5D6E-409C-BE32-E72D297353CC}">
              <c16:uniqueId val="{00000004-7CB9-4961-93A3-5AE482F59BDD}"/>
            </c:ext>
          </c:extLst>
        </c:ser>
        <c:dLbls>
          <c:showLegendKey val="0"/>
          <c:showVal val="0"/>
          <c:showCatName val="0"/>
          <c:showSerName val="0"/>
          <c:showPercent val="0"/>
          <c:showBubbleSize val="0"/>
        </c:dLbls>
        <c:gapWidth val="50"/>
        <c:overlap val="100"/>
        <c:axId val="2072910248"/>
        <c:axId val="2072915256"/>
      </c:barChart>
      <c:scatterChart>
        <c:scatterStyle val="lineMarker"/>
        <c:varyColors val="0"/>
        <c:ser>
          <c:idx val="5"/>
          <c:order val="5"/>
          <c:tx>
            <c:strRef>
              <c:f>'Summary_Sectors '!$A$13</c:f>
              <c:strCache>
                <c:ptCount val="1"/>
                <c:pt idx="0">
                  <c:v>Total net NPV</c:v>
                </c:pt>
              </c:strCache>
            </c:strRef>
          </c:tx>
          <c:spPr>
            <a:ln w="28575" cap="rnd">
              <a:solidFill>
                <a:schemeClr val="tx1"/>
              </a:solidFill>
              <a:round/>
            </a:ln>
            <a:effectLst/>
          </c:spPr>
          <c:marker>
            <c:symbol val="dash"/>
            <c:size val="9"/>
            <c:spPr>
              <a:solidFill>
                <a:schemeClr val="tx1"/>
              </a:solidFill>
              <a:ln w="9525">
                <a:solidFill>
                  <a:schemeClr val="tx1"/>
                </a:solidFill>
              </a:ln>
              <a:effectLst/>
            </c:spPr>
          </c:marker>
          <c:yVal>
            <c:numRef>
              <c:f>'Summary_Sectors '!$B$13:$L$13</c:f>
              <c:numCache>
                <c:formatCode>0.0</c:formatCode>
                <c:ptCount val="11"/>
                <c:pt idx="0">
                  <c:v>13.07639812220033</c:v>
                </c:pt>
                <c:pt idx="1">
                  <c:v>4.85497850668648</c:v>
                </c:pt>
                <c:pt idx="2">
                  <c:v>-1.108405619412923</c:v>
                </c:pt>
                <c:pt idx="4">
                  <c:v>30.87710203440654</c:v>
                </c:pt>
                <c:pt idx="5">
                  <c:v>16.63093714840774</c:v>
                </c:pt>
                <c:pt idx="6">
                  <c:v>6.098284917976103</c:v>
                </c:pt>
                <c:pt idx="8">
                  <c:v>56.94175693290328</c:v>
                </c:pt>
                <c:pt idx="9">
                  <c:v>33.69752861345096</c:v>
                </c:pt>
                <c:pt idx="10">
                  <c:v>16.39854275692428</c:v>
                </c:pt>
              </c:numCache>
            </c:numRef>
          </c:yVal>
          <c:smooth val="0"/>
          <c:extLst xmlns:c16r2="http://schemas.microsoft.com/office/drawing/2015/06/chart">
            <c:ext xmlns:c16="http://schemas.microsoft.com/office/drawing/2014/chart" uri="{C3380CC4-5D6E-409C-BE32-E72D297353CC}">
              <c16:uniqueId val="{00000005-7CB9-4961-93A3-5AE482F59BDD}"/>
            </c:ext>
          </c:extLst>
        </c:ser>
        <c:ser>
          <c:idx val="6"/>
          <c:order val="6"/>
          <c:tx>
            <c:strRef>
              <c:f>'Summary_Sectors '!$A$20</c:f>
              <c:strCache>
                <c:ptCount val="1"/>
                <c:pt idx="0">
                  <c:v>Total net NPV - high learning</c:v>
                </c:pt>
              </c:strCache>
            </c:strRef>
          </c:tx>
          <c:spPr>
            <a:ln w="15875">
              <a:solidFill>
                <a:schemeClr val="tx1">
                  <a:lumMod val="50000"/>
                  <a:lumOff val="50000"/>
                </a:schemeClr>
              </a:solidFill>
            </a:ln>
          </c:spPr>
          <c:marker>
            <c:symbol val="dash"/>
            <c:size val="7"/>
            <c:spPr>
              <a:solidFill>
                <a:schemeClr val="tx1">
                  <a:lumMod val="65000"/>
                  <a:lumOff val="35000"/>
                </a:schemeClr>
              </a:solidFill>
              <a:ln w="3175">
                <a:solidFill>
                  <a:schemeClr val="tx1">
                    <a:lumMod val="65000"/>
                    <a:lumOff val="35000"/>
                  </a:schemeClr>
                </a:solidFill>
              </a:ln>
            </c:spPr>
          </c:marker>
          <c:yVal>
            <c:numRef>
              <c:f>'Summary_Sectors '!$B$20:$L$20</c:f>
              <c:numCache>
                <c:formatCode>0.0</c:formatCode>
                <c:ptCount val="11"/>
                <c:pt idx="0">
                  <c:v>21.33443340944396</c:v>
                </c:pt>
                <c:pt idx="1">
                  <c:v>11.64838223857927</c:v>
                </c:pt>
                <c:pt idx="2">
                  <c:v>4.353185519953326</c:v>
                </c:pt>
                <c:pt idx="4">
                  <c:v>39.1351373216502</c:v>
                </c:pt>
                <c:pt idx="5">
                  <c:v>23.42434088030048</c:v>
                </c:pt>
                <c:pt idx="6">
                  <c:v>11.55987605734237</c:v>
                </c:pt>
                <c:pt idx="8">
                  <c:v>65.19979222014676</c:v>
                </c:pt>
                <c:pt idx="9">
                  <c:v>40.49093234534372</c:v>
                </c:pt>
                <c:pt idx="10">
                  <c:v>21.86013389629057</c:v>
                </c:pt>
              </c:numCache>
            </c:numRef>
          </c:yVal>
          <c:smooth val="0"/>
          <c:extLst xmlns:c16r2="http://schemas.microsoft.com/office/drawing/2015/06/chart">
            <c:ext xmlns:c16="http://schemas.microsoft.com/office/drawing/2014/chart" uri="{C3380CC4-5D6E-409C-BE32-E72D297353CC}">
              <c16:uniqueId val="{00000006-7CB9-4961-93A3-5AE482F59BDD}"/>
            </c:ext>
          </c:extLst>
        </c:ser>
        <c:dLbls>
          <c:showLegendKey val="0"/>
          <c:showVal val="0"/>
          <c:showCatName val="0"/>
          <c:showSerName val="0"/>
          <c:showPercent val="0"/>
          <c:showBubbleSize val="0"/>
        </c:dLbls>
        <c:axId val="2072910248"/>
        <c:axId val="2072915256"/>
      </c:scatterChart>
      <c:catAx>
        <c:axId val="2072910248"/>
        <c:scaling>
          <c:orientation val="minMax"/>
        </c:scaling>
        <c:delete val="0"/>
        <c:axPos val="b"/>
        <c:numFmt formatCode="0%" sourceLinked="0"/>
        <c:majorTickMark val="none"/>
        <c:minorTickMark val="none"/>
        <c:tickLblPos val="low"/>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072915256"/>
        <c:crosses val="autoZero"/>
        <c:auto val="1"/>
        <c:lblAlgn val="ctr"/>
        <c:lblOffset val="100"/>
        <c:tickLblSkip val="1"/>
        <c:tickMarkSkip val="1"/>
        <c:noMultiLvlLbl val="0"/>
      </c:catAx>
      <c:valAx>
        <c:axId val="2072915256"/>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NPV (trillion USD)</a:t>
                </a:r>
              </a:p>
            </c:rich>
          </c:tx>
          <c:layout>
            <c:manualLayout>
              <c:xMode val="edge"/>
              <c:yMode val="edge"/>
              <c:x val="0.00253012332919889"/>
              <c:y val="0.270453935124683"/>
            </c:manualLayout>
          </c:layout>
          <c:overlay val="0"/>
          <c:spPr>
            <a:noFill/>
            <a:ln>
              <a:noFill/>
            </a:ln>
            <a:effectLst/>
          </c:spPr>
        </c:title>
        <c:numFmt formatCode="General"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072910248"/>
        <c:crosses val="autoZero"/>
        <c:crossBetween val="between"/>
      </c:valAx>
      <c:spPr>
        <a:noFill/>
        <a:ln>
          <a:noFill/>
        </a:ln>
        <a:effectLst/>
      </c:spPr>
    </c:plotArea>
    <c:legend>
      <c:legendPos val="l"/>
      <c:layout>
        <c:manualLayout>
          <c:xMode val="edge"/>
          <c:yMode val="edge"/>
          <c:x val="0.141975274138409"/>
          <c:y val="0.0253816757662062"/>
          <c:w val="0.438842607455379"/>
          <c:h val="0.288457924523578"/>
        </c:manualLayout>
      </c:layout>
      <c:overlay val="1"/>
      <c:spPr>
        <a:ln>
          <a:solidFill>
            <a:sysClr val="windowText" lastClr="000000"/>
          </a:solidFill>
          <a:prstDash val="dash"/>
        </a:ln>
      </c:spPr>
      <c:txPr>
        <a:bodyPr/>
        <a:lstStyle/>
        <a:p>
          <a:pPr>
            <a:defRPr sz="900"/>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0.12353</cdr:x>
      <cdr:y>0.76824</cdr:y>
    </cdr:from>
    <cdr:to>
      <cdr:x>0.96692</cdr:x>
      <cdr:y>0.83699</cdr:y>
    </cdr:to>
    <cdr:sp macro="" textlink="">
      <cdr:nvSpPr>
        <cdr:cNvPr id="4" name="TextBox 1"/>
        <cdr:cNvSpPr txBox="1"/>
      </cdr:nvSpPr>
      <cdr:spPr>
        <a:xfrm xmlns:a="http://schemas.openxmlformats.org/drawingml/2006/main">
          <a:off x="508301" y="2777654"/>
          <a:ext cx="3470365" cy="2485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Discount</a:t>
          </a:r>
          <a:r>
            <a:rPr lang="en-US" sz="1100" baseline="0"/>
            <a:t> rate</a:t>
          </a:r>
          <a:endParaRPr lang="en-US" sz="900"/>
        </a:p>
      </cdr:txBody>
    </cdr:sp>
  </cdr:relSizeAnchor>
  <cdr:relSizeAnchor xmlns:cdr="http://schemas.openxmlformats.org/drawingml/2006/chartDrawing">
    <cdr:from>
      <cdr:x>0.10422</cdr:x>
      <cdr:y>0.8819</cdr:y>
    </cdr:from>
    <cdr:to>
      <cdr:x>0.9781</cdr:x>
      <cdr:y>0.99157</cdr:y>
    </cdr:to>
    <cdr:grpSp>
      <cdr:nvGrpSpPr>
        <cdr:cNvPr id="8" name="Group 7"/>
        <cdr:cNvGrpSpPr/>
      </cdr:nvGrpSpPr>
      <cdr:grpSpPr>
        <a:xfrm xmlns:a="http://schemas.openxmlformats.org/drawingml/2006/main">
          <a:off x="417399" y="3205206"/>
          <a:ext cx="3499875" cy="398589"/>
          <a:chOff x="427803" y="3150090"/>
          <a:chExt cx="3586862" cy="397372"/>
        </a:xfrm>
      </cdr:grpSpPr>
      <cdr:sp macro="" textlink="">
        <cdr:nvSpPr>
          <cdr:cNvPr id="3" name="TextBox 1"/>
          <cdr:cNvSpPr txBox="1"/>
        </cdr:nvSpPr>
        <cdr:spPr>
          <a:xfrm xmlns:a="http://schemas.openxmlformats.org/drawingml/2006/main">
            <a:off x="1744024" y="3150090"/>
            <a:ext cx="974481" cy="2635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Energy prices</a:t>
            </a:r>
            <a:endParaRPr lang="en-US" sz="900"/>
          </a:p>
        </cdr:txBody>
      </cdr:sp>
      <cdr:sp macro="" textlink="">
        <cdr:nvSpPr>
          <cdr:cNvPr id="2" name="TextBox 1"/>
          <cdr:cNvSpPr txBox="1"/>
        </cdr:nvSpPr>
        <cdr:spPr>
          <a:xfrm xmlns:a="http://schemas.openxmlformats.org/drawingml/2006/main">
            <a:off x="427803" y="3318369"/>
            <a:ext cx="1091711" cy="2290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baseline="0"/>
              <a:t>Low</a:t>
            </a:r>
            <a:endParaRPr lang="en-US" sz="900"/>
          </a:p>
        </cdr:txBody>
      </cdr:sp>
      <cdr:sp macro="" textlink="">
        <cdr:nvSpPr>
          <cdr:cNvPr id="5" name="TextBox 1"/>
          <cdr:cNvSpPr txBox="1"/>
        </cdr:nvSpPr>
        <cdr:spPr>
          <a:xfrm xmlns:a="http://schemas.openxmlformats.org/drawingml/2006/main">
            <a:off x="2922954" y="3318369"/>
            <a:ext cx="109171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High</a:t>
            </a:r>
            <a:endParaRPr lang="en-US" sz="900"/>
          </a:p>
        </cdr:txBody>
      </cdr:sp>
      <cdr:sp macro="" textlink="">
        <cdr:nvSpPr>
          <cdr:cNvPr id="6" name="TextBox 1"/>
          <cdr:cNvSpPr txBox="1"/>
        </cdr:nvSpPr>
        <cdr:spPr>
          <a:xfrm xmlns:a="http://schemas.openxmlformats.org/drawingml/2006/main">
            <a:off x="1744024" y="3318369"/>
            <a:ext cx="97448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Med</a:t>
            </a:r>
            <a:endParaRPr lang="en-US" sz="900"/>
          </a:p>
        </cdr:txBody>
      </cdr:sp>
    </cdr:grpSp>
  </cdr:relSizeAnchor>
  <cdr:relSizeAnchor xmlns:cdr="http://schemas.openxmlformats.org/drawingml/2006/chartDrawing">
    <cdr:from>
      <cdr:x>0.12353</cdr:x>
      <cdr:y>0.76824</cdr:y>
    </cdr:from>
    <cdr:to>
      <cdr:x>0.96692</cdr:x>
      <cdr:y>0.83699</cdr:y>
    </cdr:to>
    <cdr:sp macro="" textlink="">
      <cdr:nvSpPr>
        <cdr:cNvPr id="7" name="TextBox 1"/>
        <cdr:cNvSpPr txBox="1"/>
      </cdr:nvSpPr>
      <cdr:spPr>
        <a:xfrm xmlns:a="http://schemas.openxmlformats.org/drawingml/2006/main">
          <a:off x="508301" y="2777654"/>
          <a:ext cx="3470365" cy="2485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Discount</a:t>
          </a:r>
          <a:r>
            <a:rPr lang="en-US" sz="1100" baseline="0"/>
            <a:t> rate</a:t>
          </a:r>
          <a:endParaRPr lang="en-US" sz="900"/>
        </a:p>
      </cdr:txBody>
    </cdr:sp>
  </cdr:relSizeAnchor>
  <cdr:relSizeAnchor xmlns:cdr="http://schemas.openxmlformats.org/drawingml/2006/chartDrawing">
    <cdr:from>
      <cdr:x>0.10422</cdr:x>
      <cdr:y>0.8819</cdr:y>
    </cdr:from>
    <cdr:to>
      <cdr:x>0.9781</cdr:x>
      <cdr:y>0.99157</cdr:y>
    </cdr:to>
    <cdr:grpSp>
      <cdr:nvGrpSpPr>
        <cdr:cNvPr id="11" name="Group 7"/>
        <cdr:cNvGrpSpPr/>
      </cdr:nvGrpSpPr>
      <cdr:grpSpPr>
        <a:xfrm xmlns:a="http://schemas.openxmlformats.org/drawingml/2006/main">
          <a:off x="417399" y="3205206"/>
          <a:ext cx="3499875" cy="398589"/>
          <a:chOff x="427803" y="3150090"/>
          <a:chExt cx="3586862" cy="397372"/>
        </a:xfrm>
      </cdr:grpSpPr>
      <cdr:sp macro="" textlink="">
        <cdr:nvSpPr>
          <cdr:cNvPr id="12" name="TextBox 1"/>
          <cdr:cNvSpPr txBox="1"/>
        </cdr:nvSpPr>
        <cdr:spPr>
          <a:xfrm xmlns:a="http://schemas.openxmlformats.org/drawingml/2006/main">
            <a:off x="1744024" y="3150090"/>
            <a:ext cx="974481" cy="2635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Energy prices</a:t>
            </a:r>
            <a:endParaRPr lang="en-US" sz="900"/>
          </a:p>
        </cdr:txBody>
      </cdr:sp>
      <cdr:sp macro="" textlink="">
        <cdr:nvSpPr>
          <cdr:cNvPr id="13" name="TextBox 1"/>
          <cdr:cNvSpPr txBox="1"/>
        </cdr:nvSpPr>
        <cdr:spPr>
          <a:xfrm xmlns:a="http://schemas.openxmlformats.org/drawingml/2006/main">
            <a:off x="427803" y="3318369"/>
            <a:ext cx="1091711" cy="2290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baseline="0"/>
              <a:t>Low</a:t>
            </a:r>
            <a:endParaRPr lang="en-US" sz="900"/>
          </a:p>
        </cdr:txBody>
      </cdr:sp>
      <cdr:sp macro="" textlink="">
        <cdr:nvSpPr>
          <cdr:cNvPr id="14" name="TextBox 1"/>
          <cdr:cNvSpPr txBox="1"/>
        </cdr:nvSpPr>
        <cdr:spPr>
          <a:xfrm xmlns:a="http://schemas.openxmlformats.org/drawingml/2006/main">
            <a:off x="2922954" y="3318369"/>
            <a:ext cx="109171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High</a:t>
            </a:r>
            <a:endParaRPr lang="en-US" sz="900"/>
          </a:p>
        </cdr:txBody>
      </cdr:sp>
      <cdr:sp macro="" textlink="">
        <cdr:nvSpPr>
          <cdr:cNvPr id="15" name="TextBox 1"/>
          <cdr:cNvSpPr txBox="1"/>
        </cdr:nvSpPr>
        <cdr:spPr>
          <a:xfrm xmlns:a="http://schemas.openxmlformats.org/drawingml/2006/main">
            <a:off x="1744024" y="3318369"/>
            <a:ext cx="97448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Med</a:t>
            </a:r>
            <a:endParaRPr lang="en-US" sz="900"/>
          </a:p>
        </cdr:txBody>
      </cdr:sp>
    </cdr:grpSp>
  </cdr:relSizeAnchor>
  <cdr:relSizeAnchor xmlns:cdr="http://schemas.openxmlformats.org/drawingml/2006/chartDrawing">
    <cdr:from>
      <cdr:x>0.12353</cdr:x>
      <cdr:y>0.76824</cdr:y>
    </cdr:from>
    <cdr:to>
      <cdr:x>0.96692</cdr:x>
      <cdr:y>0.83699</cdr:y>
    </cdr:to>
    <cdr:sp macro="" textlink="">
      <cdr:nvSpPr>
        <cdr:cNvPr id="18" name="TextBox 1"/>
        <cdr:cNvSpPr txBox="1"/>
      </cdr:nvSpPr>
      <cdr:spPr>
        <a:xfrm xmlns:a="http://schemas.openxmlformats.org/drawingml/2006/main">
          <a:off x="508301" y="2777654"/>
          <a:ext cx="3470365" cy="2485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Discount</a:t>
          </a:r>
          <a:r>
            <a:rPr lang="en-US" sz="1100" baseline="0"/>
            <a:t> rate</a:t>
          </a:r>
          <a:endParaRPr lang="en-US" sz="900"/>
        </a:p>
      </cdr:txBody>
    </cdr:sp>
  </cdr:relSizeAnchor>
  <cdr:relSizeAnchor xmlns:cdr="http://schemas.openxmlformats.org/drawingml/2006/chartDrawing">
    <cdr:from>
      <cdr:x>0.10422</cdr:x>
      <cdr:y>0.8819</cdr:y>
    </cdr:from>
    <cdr:to>
      <cdr:x>0.9781</cdr:x>
      <cdr:y>0.99157</cdr:y>
    </cdr:to>
    <cdr:grpSp>
      <cdr:nvGrpSpPr>
        <cdr:cNvPr id="19" name="Group 7"/>
        <cdr:cNvGrpSpPr/>
      </cdr:nvGrpSpPr>
      <cdr:grpSpPr>
        <a:xfrm xmlns:a="http://schemas.openxmlformats.org/drawingml/2006/main">
          <a:off x="417399" y="3205206"/>
          <a:ext cx="3499875" cy="398589"/>
          <a:chOff x="427803" y="3150090"/>
          <a:chExt cx="3586862" cy="397372"/>
        </a:xfrm>
      </cdr:grpSpPr>
      <cdr:sp macro="" textlink="">
        <cdr:nvSpPr>
          <cdr:cNvPr id="20" name="TextBox 1"/>
          <cdr:cNvSpPr txBox="1"/>
        </cdr:nvSpPr>
        <cdr:spPr>
          <a:xfrm xmlns:a="http://schemas.openxmlformats.org/drawingml/2006/main">
            <a:off x="1744024" y="3150090"/>
            <a:ext cx="974481" cy="26352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Energy prices</a:t>
            </a:r>
            <a:endParaRPr lang="en-US" sz="900"/>
          </a:p>
        </cdr:txBody>
      </cdr:sp>
      <cdr:sp macro="" textlink="">
        <cdr:nvSpPr>
          <cdr:cNvPr id="21" name="TextBox 1"/>
          <cdr:cNvSpPr txBox="1"/>
        </cdr:nvSpPr>
        <cdr:spPr>
          <a:xfrm xmlns:a="http://schemas.openxmlformats.org/drawingml/2006/main">
            <a:off x="427803" y="3318369"/>
            <a:ext cx="1091711" cy="2290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baseline="0"/>
              <a:t>Low</a:t>
            </a:r>
            <a:endParaRPr lang="en-US" sz="900"/>
          </a:p>
        </cdr:txBody>
      </cdr:sp>
      <cdr:sp macro="" textlink="">
        <cdr:nvSpPr>
          <cdr:cNvPr id="22" name="TextBox 1"/>
          <cdr:cNvSpPr txBox="1"/>
        </cdr:nvSpPr>
        <cdr:spPr>
          <a:xfrm xmlns:a="http://schemas.openxmlformats.org/drawingml/2006/main">
            <a:off x="2922954" y="3318369"/>
            <a:ext cx="109171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High</a:t>
            </a:r>
            <a:endParaRPr lang="en-US" sz="900"/>
          </a:p>
        </cdr:txBody>
      </cdr:sp>
      <cdr:sp macro="" textlink="">
        <cdr:nvSpPr>
          <cdr:cNvPr id="23" name="TextBox 1"/>
          <cdr:cNvSpPr txBox="1"/>
        </cdr:nvSpPr>
        <cdr:spPr>
          <a:xfrm xmlns:a="http://schemas.openxmlformats.org/drawingml/2006/main">
            <a:off x="1744024" y="3318369"/>
            <a:ext cx="974481" cy="2290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baseline="0"/>
              <a:t>Med</a:t>
            </a:r>
            <a:endParaRPr lang="en-US" sz="900"/>
          </a:p>
        </cdr:txBody>
      </cdr:sp>
    </cdr:grpSp>
  </cdr:relSizeAnchor>
  <cdr:relSizeAnchor xmlns:cdr="http://schemas.openxmlformats.org/drawingml/2006/chartDrawing">
    <cdr:from>
      <cdr:x>0.69815</cdr:x>
      <cdr:y>0.6359</cdr:y>
    </cdr:from>
    <cdr:to>
      <cdr:x>0.69815</cdr:x>
      <cdr:y>0.98499</cdr:y>
    </cdr:to>
    <cdr:cxnSp macro="">
      <cdr:nvCxnSpPr>
        <cdr:cNvPr id="30" name="Straight Connector 29"/>
        <cdr:cNvCxnSpPr/>
      </cdr:nvCxnSpPr>
      <cdr:spPr>
        <a:xfrm xmlns:a="http://schemas.openxmlformats.org/drawingml/2006/main">
          <a:off x="2872741" y="2319817"/>
          <a:ext cx="0" cy="1273488"/>
        </a:xfrm>
        <a:prstGeom xmlns:a="http://schemas.openxmlformats.org/drawingml/2006/main" prst="line">
          <a:avLst/>
        </a:prstGeom>
        <a:ln xmlns:a="http://schemas.openxmlformats.org/drawingml/2006/main" w="6350">
          <a:solidFill>
            <a:sysClr val="windowText" lastClr="00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0.38989</cdr:x>
      <cdr:y>0.63343</cdr:y>
    </cdr:from>
    <cdr:to>
      <cdr:x>0.38989</cdr:x>
      <cdr:y>0.98252</cdr:y>
    </cdr:to>
    <cdr:cxnSp macro="">
      <cdr:nvCxnSpPr>
        <cdr:cNvPr id="31" name="Straight Connector 30"/>
        <cdr:cNvCxnSpPr/>
      </cdr:nvCxnSpPr>
      <cdr:spPr>
        <a:xfrm xmlns:a="http://schemas.openxmlformats.org/drawingml/2006/main" flipV="1">
          <a:off x="1604304" y="2322913"/>
          <a:ext cx="0" cy="1280160"/>
        </a:xfrm>
        <a:prstGeom xmlns:a="http://schemas.openxmlformats.org/drawingml/2006/main" prst="line">
          <a:avLst/>
        </a:prstGeom>
        <a:ln xmlns:a="http://schemas.openxmlformats.org/drawingml/2006/main" w="6350">
          <a:solidFill>
            <a:sysClr val="windowText" lastClr="00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4357-E9E4-6244-8C8E-861FFF50A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10541</Words>
  <Characters>60089</Characters>
  <Application>Microsoft Macintosh Word</Application>
  <DocSecurity>4</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70490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earjtm</dc:creator>
  <cp:lastModifiedBy>Andrewsuds</cp:lastModifiedBy>
  <cp:revision>2</cp:revision>
  <dcterms:created xsi:type="dcterms:W3CDTF">2016-07-11T08:21:00Z</dcterms:created>
  <dcterms:modified xsi:type="dcterms:W3CDTF">2016-07-11T08:21:00Z</dcterms:modified>
</cp:coreProperties>
</file>