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2D4" w:rsidRDefault="009622FD" w:rsidP="009622FD">
      <w:pPr>
        <w:pStyle w:val="Title"/>
        <w:jc w:val="left"/>
      </w:pPr>
      <w:r>
        <w:t>Appendix</w:t>
      </w:r>
      <w:r w:rsidR="005B24D9" w:rsidRPr="005B24D9">
        <w:rPr>
          <w:rFonts w:ascii="Arial" w:hAnsi="Arial" w:cs="Arial"/>
          <w:b w:val="0"/>
          <w:sz w:val="20"/>
          <w:szCs w:val="20"/>
        </w:rPr>
        <w:tab/>
      </w:r>
      <w:r w:rsidR="00DA13F3">
        <w:rPr>
          <w:rFonts w:ascii="Arial" w:hAnsi="Arial" w:cs="Arial"/>
          <w:b w:val="0"/>
          <w:sz w:val="20"/>
          <w:szCs w:val="20"/>
        </w:rPr>
        <w:t>1</w:t>
      </w:r>
      <w:r w:rsidR="00D941B7">
        <w:rPr>
          <w:rFonts w:ascii="Arial" w:hAnsi="Arial" w:cs="Arial"/>
          <w:b w:val="0"/>
          <w:sz w:val="20"/>
          <w:szCs w:val="20"/>
        </w:rPr>
        <w:t>5</w:t>
      </w:r>
      <w:r w:rsidR="005B24D9" w:rsidRPr="005B24D9">
        <w:rPr>
          <w:rFonts w:ascii="Arial" w:hAnsi="Arial" w:cs="Arial"/>
          <w:b w:val="0"/>
          <w:sz w:val="20"/>
          <w:szCs w:val="20"/>
        </w:rPr>
        <w:t xml:space="preserve"> </w:t>
      </w:r>
      <w:r w:rsidR="00DA13F3">
        <w:rPr>
          <w:rFonts w:ascii="Arial" w:hAnsi="Arial" w:cs="Arial"/>
          <w:b w:val="0"/>
          <w:sz w:val="20"/>
          <w:szCs w:val="20"/>
        </w:rPr>
        <w:t>Jul</w:t>
      </w:r>
      <w:r w:rsidR="00D941B7">
        <w:rPr>
          <w:rFonts w:ascii="Arial" w:hAnsi="Arial" w:cs="Arial"/>
          <w:b w:val="0"/>
          <w:sz w:val="20"/>
          <w:szCs w:val="20"/>
        </w:rPr>
        <w:t>y</w:t>
      </w:r>
      <w:r w:rsidR="005B24D9" w:rsidRPr="005B24D9">
        <w:rPr>
          <w:rFonts w:ascii="Arial" w:hAnsi="Arial" w:cs="Arial"/>
          <w:b w:val="0"/>
          <w:sz w:val="20"/>
          <w:szCs w:val="20"/>
        </w:rPr>
        <w:t xml:space="preserve"> 2016</w:t>
      </w:r>
    </w:p>
    <w:p w:rsidR="009622FD" w:rsidRDefault="009622FD"/>
    <w:p w:rsidR="009622FD" w:rsidRDefault="009622FD" w:rsidP="00AF3563">
      <w:r>
        <w:t xml:space="preserve">Supplemental information for </w:t>
      </w:r>
      <w:r w:rsidRPr="009A2B19">
        <w:rPr>
          <w:b/>
          <w:sz w:val="26"/>
          <w:szCs w:val="26"/>
        </w:rPr>
        <w:t>Carbon balance effects of U.S. biofuel production and use</w:t>
      </w:r>
      <w:r w:rsidRPr="005C350E">
        <w:t xml:space="preserve"> </w:t>
      </w:r>
    </w:p>
    <w:p w:rsidR="009622FD" w:rsidRDefault="009A2B19" w:rsidP="0063650D">
      <w:pPr>
        <w:spacing w:before="120"/>
      </w:pPr>
      <w:r>
        <w:t xml:space="preserve">by </w:t>
      </w:r>
      <w:r w:rsidR="009622FD">
        <w:t xml:space="preserve">John DeCicco, </w:t>
      </w:r>
      <w:r>
        <w:t xml:space="preserve">Danielle Yuqiao Liu, </w:t>
      </w:r>
      <w:r w:rsidR="000B460A">
        <w:t xml:space="preserve">Joonghyeok Heo, </w:t>
      </w:r>
      <w:r w:rsidR="009622FD">
        <w:t xml:space="preserve">Rashmi Krishnan, Angelika Kurthen and </w:t>
      </w:r>
      <w:r>
        <w:t>Louise Wang</w:t>
      </w:r>
    </w:p>
    <w:p w:rsidR="009622FD" w:rsidRDefault="009622FD" w:rsidP="009622FD"/>
    <w:p w:rsidR="0063650D" w:rsidRDefault="0063650D" w:rsidP="009622FD"/>
    <w:p w:rsidR="00AF3563" w:rsidRDefault="005C350E" w:rsidP="004864F7">
      <w:r>
        <w:t>In addition to the narrative information in this document, the supplemental information includes two Excel workbooks</w:t>
      </w:r>
      <w:r w:rsidR="00AF3563">
        <w:t xml:space="preserve"> (named with ddMMMyyyy being the date of latest version)</w:t>
      </w:r>
      <w:r>
        <w:t xml:space="preserve">: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05"/>
      </w:tblGrid>
      <w:tr w:rsidR="00AF3563" w:rsidRPr="00AF3563" w:rsidTr="00AF3563">
        <w:tc>
          <w:tcPr>
            <w:tcW w:w="3600" w:type="dxa"/>
            <w:shd w:val="clear" w:color="auto" w:fill="auto"/>
          </w:tcPr>
          <w:p w:rsidR="00AF3563" w:rsidRPr="00AF3563" w:rsidRDefault="00AF3563" w:rsidP="00AF3563">
            <w:pPr>
              <w:spacing w:before="120" w:after="120"/>
              <w:rPr>
                <w:rFonts w:ascii="Arial" w:hAnsi="Arial" w:cs="Arial"/>
                <w:sz w:val="20"/>
              </w:rPr>
            </w:pPr>
            <w:r w:rsidRPr="00AF3563">
              <w:rPr>
                <w:rFonts w:ascii="Arial" w:hAnsi="Arial" w:cs="Arial"/>
                <w:sz w:val="20"/>
              </w:rPr>
              <w:t>RFS-ABC-Analysis-ddMMMyyyy.xlsx</w:t>
            </w:r>
          </w:p>
        </w:tc>
        <w:tc>
          <w:tcPr>
            <w:tcW w:w="5305" w:type="dxa"/>
            <w:shd w:val="clear" w:color="auto" w:fill="auto"/>
          </w:tcPr>
          <w:p w:rsidR="00AF3563" w:rsidRPr="00AF3563" w:rsidRDefault="00AF3563" w:rsidP="00AF3563">
            <w:pPr>
              <w:spacing w:before="120" w:after="120"/>
              <w:rPr>
                <w:rFonts w:ascii="Arial" w:hAnsi="Arial" w:cs="Arial"/>
                <w:sz w:val="20"/>
              </w:rPr>
            </w:pPr>
            <w:r w:rsidRPr="00AF3563">
              <w:rPr>
                <w:rFonts w:ascii="Arial" w:hAnsi="Arial" w:cs="Arial"/>
                <w:sz w:val="20"/>
              </w:rPr>
              <w:t>Main workbook that summarizes the carbon balance, proce</w:t>
            </w:r>
            <w:r w:rsidR="009E34C4">
              <w:rPr>
                <w:rFonts w:ascii="Arial" w:hAnsi="Arial" w:cs="Arial"/>
                <w:sz w:val="20"/>
              </w:rPr>
              <w:t>ss emissions and related analyse</w:t>
            </w:r>
            <w:r w:rsidRPr="00AF3563">
              <w:rPr>
                <w:rFonts w:ascii="Arial" w:hAnsi="Arial" w:cs="Arial"/>
                <w:sz w:val="20"/>
              </w:rPr>
              <w:t xml:space="preserve">s. </w:t>
            </w:r>
          </w:p>
        </w:tc>
      </w:tr>
      <w:tr w:rsidR="00AF3563" w:rsidRPr="00AF3563" w:rsidTr="00AF3563">
        <w:tc>
          <w:tcPr>
            <w:tcW w:w="3600" w:type="dxa"/>
            <w:shd w:val="clear" w:color="auto" w:fill="auto"/>
          </w:tcPr>
          <w:p w:rsidR="00AF3563" w:rsidRPr="00AF3563" w:rsidRDefault="00AF3563" w:rsidP="00AF3563">
            <w:pPr>
              <w:spacing w:before="120" w:after="120"/>
              <w:rPr>
                <w:rFonts w:ascii="Arial" w:hAnsi="Arial" w:cs="Arial"/>
                <w:sz w:val="20"/>
              </w:rPr>
            </w:pPr>
            <w:r w:rsidRPr="00AF3563">
              <w:rPr>
                <w:rFonts w:ascii="Arial" w:hAnsi="Arial" w:cs="Arial"/>
                <w:sz w:val="20"/>
              </w:rPr>
              <w:t>RFS-Crop-Analysis-ddMMMyyyy.xlsx</w:t>
            </w:r>
          </w:p>
        </w:tc>
        <w:tc>
          <w:tcPr>
            <w:tcW w:w="5305" w:type="dxa"/>
            <w:shd w:val="clear" w:color="auto" w:fill="auto"/>
          </w:tcPr>
          <w:p w:rsidR="00AF3563" w:rsidRPr="00AF3563" w:rsidRDefault="00AF3563" w:rsidP="00AF3563">
            <w:pPr>
              <w:spacing w:before="120" w:after="120"/>
              <w:rPr>
                <w:rFonts w:ascii="Arial" w:hAnsi="Arial" w:cs="Arial"/>
                <w:sz w:val="20"/>
              </w:rPr>
            </w:pPr>
            <w:r w:rsidRPr="00AF3563">
              <w:rPr>
                <w:rFonts w:ascii="Arial" w:hAnsi="Arial" w:cs="Arial"/>
                <w:sz w:val="20"/>
              </w:rPr>
              <w:t xml:space="preserve">Workbook based on USDA crop production data in which the carbon harvest estimates are developed. </w:t>
            </w:r>
          </w:p>
        </w:tc>
      </w:tr>
    </w:tbl>
    <w:p w:rsidR="00AF3563" w:rsidRDefault="00AF3563" w:rsidP="004864F7">
      <w:r>
        <w:t xml:space="preserve">These workbooks provide the detailed data and supporting calculations that are explained in this appendix and summarized in the main text. </w:t>
      </w:r>
    </w:p>
    <w:p w:rsidR="009622FD" w:rsidRDefault="00DA13F3" w:rsidP="009622FD">
      <w:pPr>
        <w:pStyle w:val="Heading1"/>
      </w:pPr>
      <w:r>
        <w:t xml:space="preserve">A.1  </w:t>
      </w:r>
      <w:r w:rsidR="009622FD">
        <w:t xml:space="preserve">General </w:t>
      </w:r>
      <w:r w:rsidR="002E7D3D">
        <w:t>S</w:t>
      </w:r>
      <w:r w:rsidR="009622FD">
        <w:t xml:space="preserve">upporting </w:t>
      </w:r>
      <w:r w:rsidR="002E7D3D">
        <w:t>I</w:t>
      </w:r>
      <w:r w:rsidR="009622FD">
        <w:t>nformation</w:t>
      </w:r>
    </w:p>
    <w:p w:rsidR="009E34C4" w:rsidRDefault="009E34C4" w:rsidP="009E34C4">
      <w:pPr>
        <w:pStyle w:val="ListParagraph"/>
        <w:numPr>
          <w:ilvl w:val="0"/>
          <w:numId w:val="1"/>
        </w:numPr>
        <w:tabs>
          <w:tab w:val="clear" w:pos="720"/>
          <w:tab w:val="left" w:pos="360"/>
        </w:tabs>
        <w:spacing w:after="120"/>
        <w:ind w:left="360"/>
        <w:contextualSpacing w:val="0"/>
      </w:pPr>
      <w:r w:rsidRPr="009E34C4">
        <w:t>Process emissions</w:t>
      </w:r>
      <w:r>
        <w:t xml:space="preserve"> calculations</w:t>
      </w:r>
    </w:p>
    <w:p w:rsidR="00A52A97" w:rsidRDefault="00B21ED9" w:rsidP="00B21ED9">
      <w:pPr>
        <w:pStyle w:val="BodyText"/>
      </w:pPr>
      <w:r>
        <w:t>We use average biorefining process emission factors for natural gas dry mill corn ethanol and soy biodiesel, and the corresponding factors for other process emissions including farming and its inputs as well as petroleum refining from EPA's RFS scenario year 2012</w:t>
      </w:r>
      <w:r w:rsidRPr="00B21ED9">
        <w:t xml:space="preserve"> </w:t>
      </w:r>
      <w:r>
        <w:t>estimates (EPA 2010b).</w:t>
      </w:r>
      <w:r w:rsidR="00A52A97">
        <w:t xml:space="preserve"> </w:t>
      </w:r>
      <w:r>
        <w:t xml:space="preserve">EPA publishes </w:t>
      </w:r>
      <w:r w:rsidR="00A52A97">
        <w:t xml:space="preserve">these emission factors </w:t>
      </w:r>
      <w:r>
        <w:t>in kilograms of CO</w:t>
      </w:r>
      <w:r w:rsidRPr="00B21ED9">
        <w:rPr>
          <w:vertAlign w:val="subscript"/>
        </w:rPr>
        <w:t>2</w:t>
      </w:r>
      <w:r>
        <w:t>-equivalent per million Btu ("kgCO</w:t>
      </w:r>
      <w:r w:rsidRPr="00B21ED9">
        <w:rPr>
          <w:vertAlign w:val="subscript"/>
        </w:rPr>
        <w:t>2</w:t>
      </w:r>
      <w:r>
        <w:t xml:space="preserve">/mmBtu") </w:t>
      </w:r>
      <w:r w:rsidR="00A52A97">
        <w:t>on a lower heating value (LHV) basis; we convert</w:t>
      </w:r>
      <w:r>
        <w:t xml:space="preserve"> </w:t>
      </w:r>
      <w:r w:rsidR="00A52A97">
        <w:t xml:space="preserve">them </w:t>
      </w:r>
      <w:r>
        <w:t xml:space="preserve">to grams of carbon-equivalent per megajoule (gC/MJ) </w:t>
      </w:r>
      <w:r w:rsidR="00A52A97">
        <w:t xml:space="preserve">on a higher heating value (HHV) to apply them to the national fuel consumption data which EIA (2015) </w:t>
      </w:r>
      <w:r w:rsidR="000B460A">
        <w:t>provid</w:t>
      </w:r>
      <w:r w:rsidR="00A52A97">
        <w:t xml:space="preserve">es on a HHV basis. The conversions are given in the G tab of the RFS-ABC-Analysis workbook. </w:t>
      </w:r>
    </w:p>
    <w:p w:rsidR="00B21ED9" w:rsidRDefault="00B21ED9" w:rsidP="00B21ED9">
      <w:pPr>
        <w:pStyle w:val="BodyText"/>
      </w:pPr>
      <w:r>
        <w:t>For petroleum fuels, the emission factors are those used by EPA for 2005 ba</w:t>
      </w:r>
      <w:r w:rsidR="00A52A97">
        <w:t>seline gasoline and diesel fuel, also given in the workbook G tab. W</w:t>
      </w:r>
      <w:r>
        <w:t xml:space="preserve">e assume that these average "well-to-tank" values do not change over the 2005-2013 period. Although there were changes in the mix of crude oils processed, there were also ongoing refinery efficiency improvements and process emission mitigation efforts, and so it is unlikely that average petroleum processing </w:t>
      </w:r>
      <w:r w:rsidR="000B460A">
        <w:t xml:space="preserve">impacts </w:t>
      </w:r>
      <w:r>
        <w:t xml:space="preserve">changed significantly relative to uncertainties in the underlying statistics. </w:t>
      </w:r>
    </w:p>
    <w:p w:rsidR="00B21ED9" w:rsidRDefault="00622342" w:rsidP="00B21ED9">
      <w:pPr>
        <w:pStyle w:val="BodyText"/>
      </w:pPr>
      <w:r>
        <w:t>EPA's</w:t>
      </w:r>
      <w:r w:rsidR="00B21ED9">
        <w:t xml:space="preserve"> process emission factors </w:t>
      </w:r>
      <w:r>
        <w:t xml:space="preserve">for biofuels </w:t>
      </w:r>
      <w:r w:rsidR="00B21ED9">
        <w:t xml:space="preserve">are lower than those of most stand-alone attributional LCA models. EPA estimated its factors using agricultural sector models that project </w:t>
      </w:r>
      <w:r>
        <w:t xml:space="preserve">various </w:t>
      </w:r>
      <w:r w:rsidR="00B21ED9">
        <w:t xml:space="preserve">efficiency gains and </w:t>
      </w:r>
      <w:r>
        <w:t xml:space="preserve">GHG </w:t>
      </w:r>
      <w:r w:rsidR="00B21ED9">
        <w:t>emissions reductions</w:t>
      </w:r>
      <w:r>
        <w:t xml:space="preserve"> </w:t>
      </w:r>
      <w:r w:rsidR="00B21ED9">
        <w:t xml:space="preserve">resulting </w:t>
      </w:r>
      <w:r>
        <w:t xml:space="preserve">from a number of </w:t>
      </w:r>
      <w:r w:rsidR="00B21ED9">
        <w:t xml:space="preserve">effects, including changes in livestock herds, reduced enteric methane emissions due to greater use of distillers' grain feeds, and reduced methane from reduced rice cultivation, among other factors. The agency's "Net Domestic Agriculture" emission factors values are quite low; for biodiesel they are negative, meaning that EPA's modeling projects that the demand for biodiesel triggers co-product processing efficiency improvements and associated emissions reductions sufficient to make sector-level GHG emissions lower when biodiesel is produced in RFS volumes than when it is not produced. </w:t>
      </w:r>
    </w:p>
    <w:p w:rsidR="009E34C4" w:rsidRDefault="00B21ED9" w:rsidP="00B21ED9">
      <w:pPr>
        <w:pStyle w:val="BodyText"/>
      </w:pPr>
      <w:r>
        <w:lastRenderedPageBreak/>
        <w:t>Substantially higher emissions factors were estimated by CARB for the LCFS using their version of the GREET model (CARB 2012). For example, CARB's direct process emission factor for average Midwestern corn ethanol is 69.4 gCO2e/MJ, or 19 gC/MJ, a which is roughly double the EPA-derived value. For biodiesel, the CARB estimate is 21.3 gCO2e/MJ, or 5.8 gC/MJ, four times higher than the EPA-derived value. Also, because our system boundary is defined geographically by the United States, our process emission factors exclude EPA's estimates for net international agricultural sector emissions (as distinct from international land-use change). For 2012, those effects would increase the emission factors by 1.8 gC/MJ for corn ethanol and 2.4 gC/MJ for soy biodiesel.</w:t>
      </w:r>
      <w:r w:rsidR="009F290D">
        <w:t xml:space="preserve"> </w:t>
      </w:r>
    </w:p>
    <w:p w:rsidR="002C7B82" w:rsidRDefault="002C7B82" w:rsidP="002C7B82">
      <w:pPr>
        <w:pStyle w:val="ListParagraph"/>
        <w:numPr>
          <w:ilvl w:val="0"/>
          <w:numId w:val="1"/>
        </w:numPr>
        <w:tabs>
          <w:tab w:val="clear" w:pos="720"/>
          <w:tab w:val="left" w:pos="360"/>
        </w:tabs>
        <w:spacing w:after="120"/>
        <w:ind w:left="360"/>
        <w:contextualSpacing w:val="0"/>
      </w:pPr>
      <w:r>
        <w:t xml:space="preserve">The carbon balance values used for Figure 5 are given in Tab D of the </w:t>
      </w:r>
      <w:r w:rsidRPr="002C7B82">
        <w:t xml:space="preserve">RFS-ABC-Analysis </w:t>
      </w:r>
      <w:r>
        <w:t xml:space="preserve">workbook. </w:t>
      </w:r>
    </w:p>
    <w:p w:rsidR="00937445" w:rsidRDefault="00937445" w:rsidP="00937445">
      <w:pPr>
        <w:pStyle w:val="ListParagraph"/>
        <w:numPr>
          <w:ilvl w:val="0"/>
          <w:numId w:val="1"/>
        </w:numPr>
        <w:tabs>
          <w:tab w:val="clear" w:pos="720"/>
          <w:tab w:val="left" w:pos="360"/>
        </w:tabs>
        <w:spacing w:after="120"/>
        <w:ind w:left="360"/>
        <w:contextualSpacing w:val="0"/>
      </w:pPr>
      <w:r>
        <w:t>Coproduct carbon flows. The primary co</w:t>
      </w:r>
      <w:r w:rsidRPr="00937445">
        <w:t xml:space="preserve">product </w:t>
      </w:r>
      <w:r>
        <w:t xml:space="preserve">from corn </w:t>
      </w:r>
      <w:r w:rsidRPr="00937445">
        <w:t>ethanol production is distillers’ grains with solubles (DGS)</w:t>
      </w:r>
      <w:r>
        <w:t xml:space="preserve">, which </w:t>
      </w:r>
      <w:r w:rsidRPr="00937445">
        <w:t>is used as animal feed (EPA 2010</w:t>
      </w:r>
      <w:r>
        <w:t xml:space="preserve">a, </w:t>
      </w:r>
      <w:r w:rsidRPr="00937445">
        <w:t xml:space="preserve"> p</w:t>
      </w:r>
      <w:r>
        <w:t xml:space="preserve">. </w:t>
      </w:r>
      <w:r w:rsidRPr="00937445">
        <w:t>14744). Gallagher and Shapouri (2009) found that carbon content of DGS in ethanol production is 9.68 lb CO</w:t>
      </w:r>
      <w:r w:rsidRPr="00937445">
        <w:rPr>
          <w:vertAlign w:val="subscript"/>
        </w:rPr>
        <w:t>2</w:t>
      </w:r>
      <w:r w:rsidRPr="00937445">
        <w:t>e/gallon ethanol</w:t>
      </w:r>
      <w:r>
        <w:t xml:space="preserve"> and we use this factor to estimate the DGS coproduct flow shown in Figure 5</w:t>
      </w:r>
      <w:r w:rsidRPr="00937445">
        <w:t xml:space="preserve">. </w:t>
      </w:r>
      <w:r>
        <w:t>Note that this estimate does not itself affect the carbon offset calculation. For</w:t>
      </w:r>
      <w:r w:rsidRPr="00937445">
        <w:t xml:space="preserve"> </w:t>
      </w:r>
      <w:r>
        <w:t xml:space="preserve">soy </w:t>
      </w:r>
      <w:r w:rsidRPr="00937445">
        <w:t>biodiesel production</w:t>
      </w:r>
      <w:r>
        <w:t>, the coproduct</w:t>
      </w:r>
      <w:r w:rsidRPr="00937445">
        <w:t xml:space="preserve"> is glycerin. However, glycerin </w:t>
      </w:r>
      <w:r>
        <w:t xml:space="preserve">has </w:t>
      </w:r>
      <w:r w:rsidRPr="00937445">
        <w:t>no value as feed</w:t>
      </w:r>
      <w:r>
        <w:t xml:space="preserve"> and most commonly is blended into </w:t>
      </w:r>
      <w:r w:rsidRPr="00937445">
        <w:t xml:space="preserve">residual oil </w:t>
      </w:r>
      <w:r>
        <w:t xml:space="preserve">and so ultimately burned or used as a chemical feedstock </w:t>
      </w:r>
      <w:r w:rsidRPr="00937445">
        <w:t>(EPA 2010</w:t>
      </w:r>
      <w:r>
        <w:t>a,</w:t>
      </w:r>
      <w:r w:rsidRPr="00937445">
        <w:t xml:space="preserve"> p</w:t>
      </w:r>
      <w:r>
        <w:t xml:space="preserve">. </w:t>
      </w:r>
      <w:r w:rsidRPr="00937445">
        <w:t xml:space="preserve">14783). </w:t>
      </w:r>
    </w:p>
    <w:p w:rsidR="00B3064D" w:rsidRDefault="00B3064D" w:rsidP="00B3064D">
      <w:pPr>
        <w:pStyle w:val="ListParagraph"/>
        <w:numPr>
          <w:ilvl w:val="0"/>
          <w:numId w:val="1"/>
        </w:numPr>
        <w:tabs>
          <w:tab w:val="clear" w:pos="720"/>
          <w:tab w:val="left" w:pos="360"/>
        </w:tabs>
        <w:spacing w:after="120"/>
        <w:ind w:left="360"/>
        <w:contextualSpacing w:val="0"/>
      </w:pPr>
      <w:r>
        <w:t xml:space="preserve">An average petroleum refining efficiency value of 81.7% was derived from GREET 2011 scenario year 2010 values for gasoline (81.2%) and diesel (83.1%) weighted by the average shares of gasoline (73%) and diesel (27%) supplied for motor fuel over the 2005-2013 period. </w:t>
      </w:r>
    </w:p>
    <w:p w:rsidR="005778A1" w:rsidRDefault="005778A1" w:rsidP="00A05977">
      <w:pPr>
        <w:pStyle w:val="ListParagraph"/>
        <w:numPr>
          <w:ilvl w:val="0"/>
          <w:numId w:val="1"/>
        </w:numPr>
        <w:tabs>
          <w:tab w:val="clear" w:pos="720"/>
          <w:tab w:val="left" w:pos="360"/>
        </w:tabs>
        <w:spacing w:after="120"/>
        <w:ind w:left="360"/>
        <w:contextualSpacing w:val="0"/>
      </w:pPr>
      <w:r>
        <w:t xml:space="preserve">Over the 2005-2013 period, light-duty vehicle on-road fuel economy improved by nearly 10% while changes in medium-and heavy-duty truck fuel economy were statistically uncertain (Davis et al 2015). Although the overall change in the fuel economy of all road vehicles is uncertain, it rose enough to explain the 5% drop in demand for gasoline and diesel motor fuels (including blended biofuels), a decline of about 700,000 barrels per day (lower heating value basis; EIA 2015). </w:t>
      </w:r>
    </w:p>
    <w:p w:rsidR="00804203" w:rsidRDefault="00A05977" w:rsidP="00C35C2A">
      <w:pPr>
        <w:pStyle w:val="ListParagraph"/>
        <w:numPr>
          <w:ilvl w:val="0"/>
          <w:numId w:val="1"/>
        </w:numPr>
        <w:tabs>
          <w:tab w:val="clear" w:pos="720"/>
          <w:tab w:val="left" w:pos="360"/>
        </w:tabs>
        <w:spacing w:after="120"/>
        <w:ind w:left="360"/>
        <w:contextualSpacing w:val="0"/>
      </w:pPr>
      <w:r w:rsidRPr="00A05977">
        <w:t xml:space="preserve">In 2013, liquid biofuel imports were 0.11 PJ/yr, or 8% of U.S. biofuel consumption of 1.3 PJ/yr that year; moreover, 2013 saw unusually high biofuel imports, which had been significantly lower in most prior years and have </w:t>
      </w:r>
      <w:r w:rsidR="002868C4" w:rsidRPr="00A05977">
        <w:t>since</w:t>
      </w:r>
      <w:r w:rsidRPr="00A05977">
        <w:t xml:space="preserve"> dropped back to 0.</w:t>
      </w:r>
      <w:r w:rsidR="000B460A">
        <w:t>0</w:t>
      </w:r>
      <w:r w:rsidRPr="00A05977">
        <w:t>5 PJ/yr as of 2014 (EIA 2015, Table 1.4a).</w:t>
      </w:r>
      <w:r>
        <w:t xml:space="preserve"> </w:t>
      </w:r>
      <w:r w:rsidR="000929BB">
        <w:t>O</w:t>
      </w:r>
      <w:r w:rsidR="000929BB">
        <w:t>ver the 2005-13 period</w:t>
      </w:r>
      <w:r w:rsidR="000929BB">
        <w:t xml:space="preserve">, biofuel imports averaged to 5% of biofuel consumption. </w:t>
      </w:r>
      <w:bookmarkStart w:id="0" w:name="_GoBack"/>
      <w:bookmarkEnd w:id="0"/>
    </w:p>
    <w:p w:rsidR="00602BEA" w:rsidRDefault="00241FEF" w:rsidP="00C35C2A">
      <w:pPr>
        <w:pStyle w:val="ListParagraph"/>
        <w:numPr>
          <w:ilvl w:val="0"/>
          <w:numId w:val="1"/>
        </w:numPr>
        <w:tabs>
          <w:tab w:val="clear" w:pos="720"/>
          <w:tab w:val="left" w:pos="360"/>
        </w:tabs>
        <w:spacing w:after="120"/>
        <w:ind w:left="360"/>
        <w:contextualSpacing w:val="0"/>
      </w:pPr>
      <w:r>
        <w:t xml:space="preserve">M.Q. </w:t>
      </w:r>
      <w:r w:rsidR="00602BEA">
        <w:t>Wang et al (2012), Figure 5(b) provides a GREET-derived value of 76 gCO</w:t>
      </w:r>
      <w:r w:rsidR="00602BEA">
        <w:rPr>
          <w:vertAlign w:val="subscript"/>
        </w:rPr>
        <w:t>2</w:t>
      </w:r>
      <w:r w:rsidR="00602BEA">
        <w:t xml:space="preserve">e/MJ for typical U.S. corn ethanol and breaks it down into major components. Excluding their estimate for land-use change but including </w:t>
      </w:r>
      <w:r w:rsidR="000B460A">
        <w:t xml:space="preserve">a </w:t>
      </w:r>
      <w:r w:rsidR="00602BEA">
        <w:t>DGS coproduct credit yields a CI value of 53 gCO</w:t>
      </w:r>
      <w:r w:rsidR="00602BEA">
        <w:rPr>
          <w:vertAlign w:val="subscript"/>
        </w:rPr>
        <w:t>2</w:t>
      </w:r>
      <w:r w:rsidR="00602BEA">
        <w:t>e/MJ, or 44% lower than their estimate of 94 gCO</w:t>
      </w:r>
      <w:r w:rsidR="00602BEA">
        <w:rPr>
          <w:vertAlign w:val="subscript"/>
        </w:rPr>
        <w:t>2</w:t>
      </w:r>
      <w:r w:rsidR="00602BEA">
        <w:t>e/MJ for petroleum gasoline. The biogenic CO</w:t>
      </w:r>
      <w:r w:rsidR="00602BEA">
        <w:rPr>
          <w:vertAlign w:val="subscript"/>
        </w:rPr>
        <w:t>2</w:t>
      </w:r>
      <w:r w:rsidR="00602BEA">
        <w:t xml:space="preserve"> emissions from ethanol would amount to 107 gCO</w:t>
      </w:r>
      <w:r w:rsidR="00602BEA">
        <w:rPr>
          <w:vertAlign w:val="subscript"/>
        </w:rPr>
        <w:t>2</w:t>
      </w:r>
      <w:r w:rsidR="00602BEA">
        <w:t>e/MJ (end-use plus fermentation). If those emissions are offset only 37% instead of 100%, that would add 67 gCO</w:t>
      </w:r>
      <w:r w:rsidR="00602BEA">
        <w:rPr>
          <w:vertAlign w:val="subscript"/>
        </w:rPr>
        <w:t>2</w:t>
      </w:r>
      <w:r w:rsidR="00602BEA">
        <w:t xml:space="preserve">e/MJ to the Wang et al </w:t>
      </w:r>
      <w:r w:rsidR="005B74C6">
        <w:t>estimate</w:t>
      </w:r>
      <w:r w:rsidR="00602BEA">
        <w:t xml:space="preserve"> </w:t>
      </w:r>
      <w:r w:rsidR="005B74C6">
        <w:t xml:space="preserve">and </w:t>
      </w:r>
      <w:r w:rsidR="00602BEA">
        <w:t>bring corn ethanol up to 120 gCO</w:t>
      </w:r>
      <w:r w:rsidR="00602BEA">
        <w:rPr>
          <w:vertAlign w:val="subscript"/>
        </w:rPr>
        <w:t>2</w:t>
      </w:r>
      <w:r w:rsidR="00602BEA">
        <w:t xml:space="preserve">e/MJ, or 28% higher than gasoline. Thus, adjusting for incomplete additionality has large implications for </w:t>
      </w:r>
      <w:r w:rsidR="00394A5B">
        <w:t xml:space="preserve">the impact of biofuels, even before considering leakage effects such as ILUC. Note that a comparison such as this is time-dependent because the extent of additional uptake can vary </w:t>
      </w:r>
      <w:r w:rsidR="00394A5B">
        <w:lastRenderedPageBreak/>
        <w:t xml:space="preserve">from year-to-year, which again underscores the fact that the terrestrial carbon cycle is dynamic and therefore not simply reducible to an assumed equilibrium "lifecycle." </w:t>
      </w:r>
    </w:p>
    <w:p w:rsidR="002E7D3D" w:rsidRDefault="00DA13F3" w:rsidP="002E7D3D">
      <w:pPr>
        <w:pStyle w:val="Heading1"/>
      </w:pPr>
      <w:r>
        <w:t xml:space="preserve">A.2  </w:t>
      </w:r>
      <w:r w:rsidR="002E7D3D">
        <w:t>Carbon Harvest Estimation</w:t>
      </w:r>
    </w:p>
    <w:p w:rsidR="002E7D3D" w:rsidRDefault="00B31398" w:rsidP="002E7D3D">
      <w:pPr>
        <w:pStyle w:val="BodyText"/>
      </w:pPr>
      <w:r>
        <w:t>T</w:t>
      </w:r>
      <w:r w:rsidRPr="0087453B">
        <w:t xml:space="preserve">he two main databases </w:t>
      </w:r>
      <w:r>
        <w:t xml:space="preserve">available for national-scale analysis of </w:t>
      </w:r>
      <w:r w:rsidRPr="0087453B">
        <w:t xml:space="preserve">agricultural </w:t>
      </w:r>
      <w:r>
        <w:t>production are t</w:t>
      </w:r>
      <w:r w:rsidR="002E7D3D">
        <w:t xml:space="preserve">he </w:t>
      </w:r>
      <w:r w:rsidR="002E7D3D" w:rsidRPr="00F01D94">
        <w:t xml:space="preserve">Annual Crop Production (ACP) </w:t>
      </w:r>
      <w:r w:rsidR="002E7D3D">
        <w:t xml:space="preserve">survey data and </w:t>
      </w:r>
      <w:r w:rsidR="002E7D3D" w:rsidRPr="0087453B">
        <w:t>Cropland Data Layer</w:t>
      </w:r>
      <w:r w:rsidR="002E7D3D">
        <w:t xml:space="preserve"> </w:t>
      </w:r>
      <w:r w:rsidR="002E7D3D" w:rsidRPr="0087453B">
        <w:t>(CDL)</w:t>
      </w:r>
      <w:r>
        <w:t>, both provided by</w:t>
      </w:r>
      <w:r w:rsidR="002E7D3D" w:rsidRPr="0087453B">
        <w:t xml:space="preserve"> </w:t>
      </w:r>
      <w:r w:rsidR="002E7D3D">
        <w:t xml:space="preserve">the </w:t>
      </w:r>
      <w:r w:rsidRPr="003A66BF">
        <w:rPr>
          <w:color w:val="000000"/>
          <w:szCs w:val="24"/>
        </w:rPr>
        <w:t xml:space="preserve">U.S. Department of Agriculture </w:t>
      </w:r>
      <w:r>
        <w:rPr>
          <w:color w:val="000000"/>
          <w:szCs w:val="24"/>
        </w:rPr>
        <w:t xml:space="preserve">(USDA) </w:t>
      </w:r>
      <w:r w:rsidRPr="00B31398">
        <w:rPr>
          <w:color w:val="000000"/>
          <w:szCs w:val="24"/>
        </w:rPr>
        <w:t>National Agricultural Statistical Service (NASS</w:t>
      </w:r>
      <w:r>
        <w:rPr>
          <w:color w:val="000000"/>
          <w:szCs w:val="24"/>
        </w:rPr>
        <w:t>).</w:t>
      </w:r>
      <w:r w:rsidR="002E7D3D" w:rsidRPr="0087453B">
        <w:t xml:space="preserve"> </w:t>
      </w:r>
      <w:r>
        <w:t>For the</w:t>
      </w:r>
      <w:r w:rsidR="002E7D3D">
        <w:t xml:space="preserve"> satellite-based </w:t>
      </w:r>
      <w:r w:rsidR="002E7D3D" w:rsidRPr="0087453B">
        <w:t>CDL</w:t>
      </w:r>
      <w:r>
        <w:t xml:space="preserve">, complete coverage </w:t>
      </w:r>
      <w:r w:rsidR="00AE5859">
        <w:t xml:space="preserve">does not </w:t>
      </w:r>
      <w:r>
        <w:t>start</w:t>
      </w:r>
      <w:r w:rsidR="00AE5859">
        <w:t xml:space="preserve"> until</w:t>
      </w:r>
      <w:r>
        <w:t xml:space="preserve"> 2008</w:t>
      </w:r>
      <w:r w:rsidR="002E7D3D">
        <w:t xml:space="preserve"> and accuracy varies according to region and</w:t>
      </w:r>
      <w:r w:rsidR="002E7D3D" w:rsidRPr="0087453B">
        <w:t xml:space="preserve"> crop type. </w:t>
      </w:r>
      <w:r w:rsidR="002E7D3D">
        <w:t xml:space="preserve">The ACP </w:t>
      </w:r>
      <w:r>
        <w:t xml:space="preserve">is a long-running survey that </w:t>
      </w:r>
      <w:r w:rsidR="002E7D3D">
        <w:t xml:space="preserve">provides an annual statistical </w:t>
      </w:r>
      <w:r w:rsidR="002E7D3D" w:rsidRPr="0087453B">
        <w:t>sampling of planted areas</w:t>
      </w:r>
      <w:r w:rsidR="002E7D3D">
        <w:t xml:space="preserve"> </w:t>
      </w:r>
      <w:r w:rsidR="009201B8">
        <w:t xml:space="preserve">and the </w:t>
      </w:r>
      <w:r>
        <w:t xml:space="preserve">quantities </w:t>
      </w:r>
      <w:r w:rsidR="009201B8">
        <w:t xml:space="preserve">of crop harvested </w:t>
      </w:r>
      <w:r>
        <w:t>(</w:t>
      </w:r>
      <w:r w:rsidRPr="00B31398">
        <w:rPr>
          <w:color w:val="000000"/>
          <w:szCs w:val="24"/>
        </w:rPr>
        <w:t>USDA 2015)</w:t>
      </w:r>
      <w:r>
        <w:rPr>
          <w:color w:val="000000"/>
          <w:szCs w:val="24"/>
        </w:rPr>
        <w:t xml:space="preserve">. It is </w:t>
      </w:r>
      <w:r w:rsidR="002E7D3D">
        <w:t xml:space="preserve">compiled by state and federal agricultural agency </w:t>
      </w:r>
      <w:r w:rsidR="002E7D3D" w:rsidRPr="0087453B">
        <w:t xml:space="preserve">field </w:t>
      </w:r>
      <w:r w:rsidR="002E7D3D">
        <w:t>staff</w:t>
      </w:r>
      <w:r>
        <w:t xml:space="preserve"> and is </w:t>
      </w:r>
      <w:r w:rsidR="002E7D3D">
        <w:rPr>
          <w:color w:val="000000"/>
          <w:szCs w:val="24"/>
        </w:rPr>
        <w:t>consider</w:t>
      </w:r>
      <w:r>
        <w:rPr>
          <w:color w:val="000000"/>
          <w:szCs w:val="24"/>
        </w:rPr>
        <w:t>ed</w:t>
      </w:r>
      <w:r w:rsidR="002E7D3D">
        <w:rPr>
          <w:color w:val="000000"/>
          <w:szCs w:val="24"/>
        </w:rPr>
        <w:t xml:space="preserve"> </w:t>
      </w:r>
      <w:r w:rsidR="002E7D3D" w:rsidRPr="0087453B">
        <w:rPr>
          <w:color w:val="000000"/>
          <w:szCs w:val="24"/>
        </w:rPr>
        <w:t xml:space="preserve">to be the most </w:t>
      </w:r>
      <w:r w:rsidR="002E7D3D">
        <w:rPr>
          <w:color w:val="000000"/>
          <w:szCs w:val="24"/>
        </w:rPr>
        <w:t xml:space="preserve">definitive </w:t>
      </w:r>
      <w:r w:rsidR="002E7D3D" w:rsidRPr="0087453B">
        <w:rPr>
          <w:color w:val="000000"/>
          <w:szCs w:val="24"/>
        </w:rPr>
        <w:t xml:space="preserve">source of U.S. cropland information </w:t>
      </w:r>
      <w:r w:rsidR="002E7D3D">
        <w:rPr>
          <w:color w:val="000000"/>
          <w:szCs w:val="24"/>
        </w:rPr>
        <w:t>now available</w:t>
      </w:r>
      <w:r>
        <w:rPr>
          <w:color w:val="000000"/>
          <w:szCs w:val="24"/>
        </w:rPr>
        <w:t>. M</w:t>
      </w:r>
      <w:r w:rsidR="002E7D3D">
        <w:rPr>
          <w:color w:val="000000"/>
          <w:szCs w:val="24"/>
        </w:rPr>
        <w:t xml:space="preserve">oreover, </w:t>
      </w:r>
      <w:r>
        <w:rPr>
          <w:color w:val="000000"/>
          <w:szCs w:val="24"/>
        </w:rPr>
        <w:t xml:space="preserve">ACP </w:t>
      </w:r>
      <w:r w:rsidR="002E7D3D">
        <w:rPr>
          <w:color w:val="000000"/>
          <w:szCs w:val="24"/>
        </w:rPr>
        <w:t xml:space="preserve">data are available for </w:t>
      </w:r>
      <w:r>
        <w:rPr>
          <w:color w:val="000000"/>
          <w:szCs w:val="24"/>
        </w:rPr>
        <w:t xml:space="preserve">the entire </w:t>
      </w:r>
      <w:r w:rsidR="002E7D3D">
        <w:rPr>
          <w:color w:val="000000"/>
          <w:szCs w:val="24"/>
        </w:rPr>
        <w:t xml:space="preserve">2005-2013 analysis period and so we use </w:t>
      </w:r>
      <w:r>
        <w:rPr>
          <w:color w:val="000000"/>
          <w:szCs w:val="24"/>
        </w:rPr>
        <w:t xml:space="preserve">it </w:t>
      </w:r>
      <w:r w:rsidR="002E7D3D">
        <w:rPr>
          <w:color w:val="000000"/>
          <w:szCs w:val="24"/>
        </w:rPr>
        <w:t xml:space="preserve">for our analysis. </w:t>
      </w:r>
    </w:p>
    <w:p w:rsidR="002E7D3D" w:rsidRPr="0087453B" w:rsidRDefault="002E7D3D" w:rsidP="002E7D3D">
      <w:pPr>
        <w:pStyle w:val="BodyText"/>
      </w:pPr>
      <w:r>
        <w:t xml:space="preserve">Because hundreds of different crops are grown in the United States, it </w:t>
      </w:r>
      <w:r w:rsidR="00E80E57">
        <w:t xml:space="preserve">is </w:t>
      </w:r>
      <w:r>
        <w:t xml:space="preserve">intractable to analyze all of them. However, production is </w:t>
      </w:r>
      <w:r w:rsidR="00E80E57">
        <w:t xml:space="preserve">greatly </w:t>
      </w:r>
      <w:r>
        <w:t>dominated by relatively few major crops. Because the CDL provides a direct assessment of land cover, w</w:t>
      </w:r>
      <w:r w:rsidRPr="003E39B9">
        <w:t xml:space="preserve">e </w:t>
      </w:r>
      <w:r>
        <w:t>used it to create crop-</w:t>
      </w:r>
      <w:r w:rsidRPr="003E39B9">
        <w:t>specific data layers</w:t>
      </w:r>
      <w:r>
        <w:t xml:space="preserve"> consistent with USDA classifications as described by</w:t>
      </w:r>
      <w:r w:rsidRPr="003E39B9">
        <w:t xml:space="preserve"> Johnson </w:t>
      </w:r>
      <w:r>
        <w:t>(</w:t>
      </w:r>
      <w:r w:rsidR="00AE5859">
        <w:t>2013</w:t>
      </w:r>
      <w:r w:rsidRPr="003E39B9">
        <w:t>).</w:t>
      </w:r>
      <w:r>
        <w:rPr>
          <w:color w:val="FF0000"/>
        </w:rPr>
        <w:t xml:space="preserve"> </w:t>
      </w:r>
      <w:r>
        <w:rPr>
          <w:color w:val="000000"/>
        </w:rPr>
        <w:t>After reclassifying</w:t>
      </w:r>
      <w:r w:rsidRPr="0087453B">
        <w:rPr>
          <w:color w:val="000000"/>
        </w:rPr>
        <w:t xml:space="preserve"> certain </w:t>
      </w:r>
      <w:r>
        <w:rPr>
          <w:color w:val="000000"/>
        </w:rPr>
        <w:t xml:space="preserve">minor </w:t>
      </w:r>
      <w:r w:rsidRPr="0087453B">
        <w:rPr>
          <w:color w:val="000000"/>
        </w:rPr>
        <w:t xml:space="preserve">crop types </w:t>
      </w:r>
      <w:r>
        <w:rPr>
          <w:color w:val="000000"/>
        </w:rPr>
        <w:t xml:space="preserve">as done </w:t>
      </w:r>
      <w:r w:rsidR="00827917">
        <w:rPr>
          <w:color w:val="000000"/>
        </w:rPr>
        <w:t xml:space="preserve">by </w:t>
      </w:r>
      <w:r>
        <w:rPr>
          <w:color w:val="000000"/>
        </w:rPr>
        <w:t xml:space="preserve">previous </w:t>
      </w:r>
      <w:r w:rsidRPr="0087453B">
        <w:rPr>
          <w:color w:val="000000"/>
        </w:rPr>
        <w:t>cropland aggregat</w:t>
      </w:r>
      <w:r>
        <w:rPr>
          <w:color w:val="000000"/>
        </w:rPr>
        <w:t>ion</w:t>
      </w:r>
      <w:r w:rsidRPr="0087453B">
        <w:rPr>
          <w:color w:val="000000"/>
        </w:rPr>
        <w:t xml:space="preserve"> </w:t>
      </w:r>
      <w:r>
        <w:rPr>
          <w:color w:val="000000"/>
        </w:rPr>
        <w:t xml:space="preserve">analyses </w:t>
      </w:r>
      <w:r w:rsidRPr="0087453B">
        <w:rPr>
          <w:color w:val="000000"/>
        </w:rPr>
        <w:t>(</w:t>
      </w:r>
      <w:r w:rsidR="00B31398">
        <w:rPr>
          <w:color w:val="000000"/>
        </w:rPr>
        <w:t>USDA</w:t>
      </w:r>
      <w:r>
        <w:rPr>
          <w:color w:val="000000"/>
        </w:rPr>
        <w:t xml:space="preserve"> 2010; Boryan et al 2014),</w:t>
      </w:r>
      <w:r w:rsidRPr="0087453B">
        <w:rPr>
          <w:color w:val="000000"/>
        </w:rPr>
        <w:t xml:space="preserve"> we identified crops co</w:t>
      </w:r>
      <w:r w:rsidR="00CD0788">
        <w:rPr>
          <w:color w:val="000000"/>
        </w:rPr>
        <w:t>ver</w:t>
      </w:r>
      <w:r w:rsidRPr="0087453B">
        <w:rPr>
          <w:color w:val="000000"/>
        </w:rPr>
        <w:t xml:space="preserve">ing </w:t>
      </w:r>
      <w:r>
        <w:rPr>
          <w:color w:val="000000"/>
        </w:rPr>
        <w:t xml:space="preserve">at least </w:t>
      </w:r>
      <w:r w:rsidRPr="0087453B">
        <w:rPr>
          <w:color w:val="000000"/>
        </w:rPr>
        <w:t xml:space="preserve">95% of </w:t>
      </w:r>
      <w:r w:rsidR="00827917" w:rsidRPr="0087453B">
        <w:rPr>
          <w:color w:val="000000"/>
        </w:rPr>
        <w:t>crop</w:t>
      </w:r>
      <w:r w:rsidR="00827917">
        <w:rPr>
          <w:color w:val="000000"/>
        </w:rPr>
        <w:t>land</w:t>
      </w:r>
      <w:r w:rsidR="00827917" w:rsidRPr="0087453B">
        <w:rPr>
          <w:color w:val="000000"/>
        </w:rPr>
        <w:t xml:space="preserve"> </w:t>
      </w:r>
      <w:r w:rsidR="00827917">
        <w:rPr>
          <w:color w:val="000000"/>
        </w:rPr>
        <w:t xml:space="preserve">area as measured by the </w:t>
      </w:r>
      <w:r>
        <w:rPr>
          <w:color w:val="000000"/>
        </w:rPr>
        <w:t>CDL</w:t>
      </w:r>
      <w:r w:rsidRPr="0087453B">
        <w:rPr>
          <w:color w:val="000000"/>
        </w:rPr>
        <w:t xml:space="preserve">. </w:t>
      </w:r>
      <w:r>
        <w:rPr>
          <w:color w:val="000000"/>
        </w:rPr>
        <w:t>We then</w:t>
      </w:r>
      <w:r w:rsidRPr="0087453B">
        <w:rPr>
          <w:color w:val="000000"/>
        </w:rPr>
        <w:t xml:space="preserve"> used the </w:t>
      </w:r>
      <w:r>
        <w:rPr>
          <w:color w:val="000000"/>
        </w:rPr>
        <w:t xml:space="preserve">ACP data for those dominant crops </w:t>
      </w:r>
      <w:r w:rsidRPr="0087453B">
        <w:rPr>
          <w:color w:val="000000"/>
        </w:rPr>
        <w:t xml:space="preserve">to </w:t>
      </w:r>
      <w:r>
        <w:rPr>
          <w:color w:val="000000"/>
        </w:rPr>
        <w:t xml:space="preserve">estimate </w:t>
      </w:r>
      <w:r w:rsidR="00CD0788">
        <w:rPr>
          <w:color w:val="000000"/>
        </w:rPr>
        <w:t>carbon harvest</w:t>
      </w:r>
      <w:r w:rsidRPr="0087453B">
        <w:rPr>
          <w:color w:val="000000"/>
        </w:rPr>
        <w:t>.</w:t>
      </w:r>
      <w:r>
        <w:rPr>
          <w:color w:val="000000"/>
        </w:rPr>
        <w:t xml:space="preserve"> </w:t>
      </w:r>
    </w:p>
    <w:p w:rsidR="009201B8" w:rsidRDefault="009201B8" w:rsidP="009201B8">
      <w:pPr>
        <w:pStyle w:val="Heading3"/>
      </w:pPr>
      <w:r>
        <w:t>Crop composition</w:t>
      </w:r>
    </w:p>
    <w:p w:rsidR="002E7D3D" w:rsidRDefault="002E7D3D" w:rsidP="001E62C8">
      <w:pPr>
        <w:pStyle w:val="BodyText"/>
      </w:pPr>
      <w:r w:rsidRPr="0087553A">
        <w:t>The carbon and moisture content of each crop must be consider</w:t>
      </w:r>
      <w:r w:rsidR="00827917">
        <w:t>ed</w:t>
      </w:r>
      <w:r w:rsidRPr="0087553A">
        <w:t xml:space="preserve"> to calculate the amount of carbon in </w:t>
      </w:r>
      <w:r w:rsidR="00827917">
        <w:t xml:space="preserve">a </w:t>
      </w:r>
      <w:r w:rsidRPr="0087553A">
        <w:t xml:space="preserve">harvest. For the </w:t>
      </w:r>
      <w:r w:rsidR="00827917">
        <w:t>ACP</w:t>
      </w:r>
      <w:r w:rsidRPr="0087553A">
        <w:t xml:space="preserve">, crop production is measured directly after harvest, </w:t>
      </w:r>
      <w:r>
        <w:t xml:space="preserve">when </w:t>
      </w:r>
      <w:r w:rsidRPr="0087553A">
        <w:t xml:space="preserve">the crops </w:t>
      </w:r>
      <w:r>
        <w:t>still retain some moisture</w:t>
      </w:r>
      <w:r w:rsidRPr="0087553A">
        <w:t xml:space="preserve">. Carbon </w:t>
      </w:r>
      <w:r>
        <w:t>composition data</w:t>
      </w:r>
      <w:r w:rsidRPr="0087553A">
        <w:t xml:space="preserve">, </w:t>
      </w:r>
      <w:r>
        <w:t>however, are</w:t>
      </w:r>
      <w:r w:rsidRPr="0087553A">
        <w:t xml:space="preserve"> </w:t>
      </w:r>
      <w:r>
        <w:t xml:space="preserve">given </w:t>
      </w:r>
      <w:r w:rsidRPr="0087553A">
        <w:t>as</w:t>
      </w:r>
      <w:r>
        <w:t xml:space="preserve"> a percent of dry biomass. The</w:t>
      </w:r>
      <w:r w:rsidRPr="0087553A">
        <w:t xml:space="preserve"> two values can be used to calculate the </w:t>
      </w:r>
      <w:r w:rsidR="006738D4">
        <w:t xml:space="preserve">amount </w:t>
      </w:r>
      <w:r w:rsidRPr="0087553A">
        <w:t>of carbon embodied in the crop harvest</w:t>
      </w:r>
      <w:r w:rsidR="006738D4">
        <w:t xml:space="preserve"> (as given </w:t>
      </w:r>
      <w:r w:rsidR="006738D4" w:rsidRPr="006738D4">
        <w:t>in a formula below</w:t>
      </w:r>
      <w:r w:rsidR="006738D4">
        <w:t>)</w:t>
      </w:r>
      <w:r w:rsidRPr="0087553A">
        <w:t xml:space="preserve">. </w:t>
      </w:r>
    </w:p>
    <w:p w:rsidR="002E7D3D" w:rsidRPr="0087553A" w:rsidRDefault="002E7D3D" w:rsidP="00493A3D">
      <w:pPr>
        <w:pStyle w:val="BodyText"/>
      </w:pPr>
      <w:r w:rsidRPr="0087553A">
        <w:t>Standard carbon and moisture content data for U.</w:t>
      </w:r>
      <w:r>
        <w:t xml:space="preserve">S. crops are listed in Table </w:t>
      </w:r>
      <w:r w:rsidR="009201B8">
        <w:t>A</w:t>
      </w:r>
      <w:r w:rsidR="001E62C8">
        <w:t>1</w:t>
      </w:r>
      <w:r>
        <w:t xml:space="preserve">, which also lists national average yields as of 2013. The table </w:t>
      </w:r>
      <w:r w:rsidR="006738D4">
        <w:t xml:space="preserve">also </w:t>
      </w:r>
      <w:r>
        <w:t xml:space="preserve">shows the values </w:t>
      </w:r>
      <w:r w:rsidR="008972E3">
        <w:t xml:space="preserve">we calculated </w:t>
      </w:r>
      <w:r>
        <w:t xml:space="preserve">for </w:t>
      </w:r>
      <w:r w:rsidRPr="00A52413">
        <w:rPr>
          <w:i/>
        </w:rPr>
        <w:t>carbon yield</w:t>
      </w:r>
      <w:r>
        <w:t xml:space="preserve">, given in </w:t>
      </w:r>
      <w:r w:rsidRPr="00523FA7">
        <w:t>units of MgC/ha/yr (m</w:t>
      </w:r>
      <w:r>
        <w:t xml:space="preserve">etric tons of carbon </w:t>
      </w:r>
      <w:r w:rsidRPr="00523FA7">
        <w:t xml:space="preserve">per hectare per year) </w:t>
      </w:r>
      <w:r w:rsidR="008972E3">
        <w:t xml:space="preserve">using </w:t>
      </w:r>
      <w:r w:rsidRPr="00523FA7">
        <w:t xml:space="preserve">average </w:t>
      </w:r>
      <w:r w:rsidR="008972E3" w:rsidRPr="00523FA7">
        <w:t>2013</w:t>
      </w:r>
      <w:r w:rsidR="008972E3">
        <w:t xml:space="preserve"> </w:t>
      </w:r>
      <w:r w:rsidRPr="00523FA7">
        <w:t>yields</w:t>
      </w:r>
      <w:r>
        <w:t xml:space="preserve">. Referring to the mass of carbon removed </w:t>
      </w:r>
      <w:r w:rsidR="008972E3">
        <w:t xml:space="preserve">per unit area </w:t>
      </w:r>
      <w:r>
        <w:t>through harvest</w:t>
      </w:r>
      <w:r w:rsidR="008972E3">
        <w:t>ing</w:t>
      </w:r>
      <w:r>
        <w:t>, c</w:t>
      </w:r>
      <w:r w:rsidRPr="00523FA7">
        <w:t xml:space="preserve">arbon yield is the </w:t>
      </w:r>
      <w:r>
        <w:t>dominant</w:t>
      </w:r>
      <w:r w:rsidRPr="00523FA7">
        <w:t xml:space="preserve"> component of NEP on cropland and </w:t>
      </w:r>
      <w:r>
        <w:t xml:space="preserve">represents </w:t>
      </w:r>
      <w:r w:rsidRPr="00523FA7">
        <w:t>the downward flux of CO</w:t>
      </w:r>
      <w:r w:rsidRPr="00620A14">
        <w:rPr>
          <w:vertAlign w:val="subscript"/>
        </w:rPr>
        <w:t>2</w:t>
      </w:r>
      <w:r w:rsidRPr="00523FA7">
        <w:t xml:space="preserve"> from the atmosphere into the biosphere on the </w:t>
      </w:r>
      <w:r w:rsidR="006738D4">
        <w:t>crop</w:t>
      </w:r>
      <w:r w:rsidRPr="00523FA7">
        <w:t>land.</w:t>
      </w:r>
      <w:r>
        <w:t xml:space="preserve"> </w:t>
      </w:r>
    </w:p>
    <w:p w:rsidR="002E7D3D" w:rsidRDefault="002E7D3D" w:rsidP="001E62C8">
      <w:pPr>
        <w:pStyle w:val="BodyText"/>
      </w:pPr>
      <w:r w:rsidRPr="0087553A">
        <w:t>The carbon content of crops gener</w:t>
      </w:r>
      <w:r>
        <w:t xml:space="preserve">ally ranges between 40% and 50% </w:t>
      </w:r>
      <w:r w:rsidRPr="0087553A">
        <w:t xml:space="preserve">and varies only slightly from crop to crop. </w:t>
      </w:r>
      <w:r>
        <w:t>M</w:t>
      </w:r>
      <w:r w:rsidRPr="0087553A">
        <w:t xml:space="preserve">oisture content also </w:t>
      </w:r>
      <w:r>
        <w:t xml:space="preserve">varies over </w:t>
      </w:r>
      <w:r w:rsidRPr="0087553A">
        <w:t xml:space="preserve">a relatively narrow range, </w:t>
      </w:r>
      <w:r>
        <w:t xml:space="preserve">roughly </w:t>
      </w:r>
      <w:r w:rsidRPr="0087553A">
        <w:t>1</w:t>
      </w:r>
      <w:r>
        <w:t>2</w:t>
      </w:r>
      <w:r w:rsidR="00AE5859">
        <w:t>%-</w:t>
      </w:r>
      <w:r w:rsidRPr="0087553A">
        <w:t xml:space="preserve">16%, </w:t>
      </w:r>
      <w:r>
        <w:t xml:space="preserve">largely </w:t>
      </w:r>
      <w:r w:rsidRPr="0087553A">
        <w:t xml:space="preserve">depending on what part of </w:t>
      </w:r>
      <w:r>
        <w:t xml:space="preserve">a plant gets </w:t>
      </w:r>
      <w:r w:rsidRPr="0087553A">
        <w:t xml:space="preserve">harvested. For </w:t>
      </w:r>
      <w:r w:rsidR="00AE5859">
        <w:t xml:space="preserve">most </w:t>
      </w:r>
      <w:r w:rsidRPr="0087553A">
        <w:t>crops, the seeds or grain are harvested</w:t>
      </w:r>
      <w:r w:rsidR="00AE5859">
        <w:t>.</w:t>
      </w:r>
      <w:r w:rsidRPr="0087553A">
        <w:t xml:space="preserve"> </w:t>
      </w:r>
      <w:r w:rsidR="00493A3D">
        <w:t>E</w:t>
      </w:r>
      <w:r w:rsidRPr="0087553A">
        <w:t>xception</w:t>
      </w:r>
      <w:r w:rsidR="00AE5859">
        <w:t>s</w:t>
      </w:r>
      <w:r w:rsidRPr="0087553A">
        <w:t xml:space="preserve"> </w:t>
      </w:r>
      <w:r w:rsidR="00493A3D">
        <w:t xml:space="preserve">include </w:t>
      </w:r>
      <w:r w:rsidRPr="0087553A">
        <w:t>alfalfa and cotton</w:t>
      </w:r>
      <w:r w:rsidR="000B460A">
        <w:t xml:space="preserve">. Alfalfa has </w:t>
      </w:r>
      <w:r w:rsidR="00493A3D">
        <w:t xml:space="preserve">a </w:t>
      </w:r>
      <w:r w:rsidRPr="0087553A">
        <w:t xml:space="preserve">carbon and moisture content similar to other major crops, but </w:t>
      </w:r>
      <w:r w:rsidR="000B460A">
        <w:t xml:space="preserve">in contrast to grains or beans, essentially all of </w:t>
      </w:r>
      <w:r w:rsidR="00493A3D">
        <w:t xml:space="preserve">its </w:t>
      </w:r>
      <w:r w:rsidR="000B460A">
        <w:t>above-ground biomass is harvested. C</w:t>
      </w:r>
      <w:r w:rsidRPr="0087553A">
        <w:t>otton has a lower carbon content a</w:t>
      </w:r>
      <w:r>
        <w:t>nd much lower moisture content</w:t>
      </w:r>
      <w:r w:rsidR="000B460A">
        <w:t xml:space="preserve"> than other crops </w:t>
      </w:r>
      <w:r w:rsidR="00493A3D">
        <w:t xml:space="preserve">and </w:t>
      </w:r>
      <w:r w:rsidR="000B460A">
        <w:t>only the lint is harvested, resulting in a much lower carbon yield</w:t>
      </w:r>
      <w:r>
        <w:t xml:space="preserve">. </w:t>
      </w:r>
    </w:p>
    <w:p w:rsidR="002E7D3D" w:rsidRDefault="000B460A" w:rsidP="00E064F5">
      <w:pPr>
        <w:pStyle w:val="Heading3"/>
      </w:pPr>
      <w:r>
        <w:rPr>
          <w:noProof/>
          <w:color w:val="000000"/>
        </w:rPr>
        <w:lastRenderedPageBreak/>
        <mc:AlternateContent>
          <mc:Choice Requires="wps">
            <w:drawing>
              <wp:anchor distT="0" distB="0" distL="114300" distR="114300" simplePos="0" relativeHeight="251659264" behindDoc="0" locked="0" layoutInCell="1" allowOverlap="0" wp14:anchorId="7C4EFE06" wp14:editId="7D742496">
                <wp:simplePos x="0" y="0"/>
                <wp:positionH relativeFrom="margin">
                  <wp:posOffset>0</wp:posOffset>
                </wp:positionH>
                <wp:positionV relativeFrom="margin">
                  <wp:posOffset>0</wp:posOffset>
                </wp:positionV>
                <wp:extent cx="6080760" cy="317182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6080760" cy="3171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7D3D" w:rsidRPr="009755E6" w:rsidRDefault="002E7D3D" w:rsidP="00E238FD">
                            <w:pPr>
                              <w:tabs>
                                <w:tab w:val="clear" w:pos="720"/>
                                <w:tab w:val="clear" w:pos="9360"/>
                              </w:tabs>
                              <w:spacing w:after="120"/>
                              <w:rPr>
                                <w:rFonts w:ascii="Arial" w:hAnsi="Arial" w:cs="Arial"/>
                                <w:b/>
                                <w:sz w:val="22"/>
                                <w:szCs w:val="22"/>
                              </w:rPr>
                            </w:pPr>
                            <w:r w:rsidRPr="008350EE">
                              <w:rPr>
                                <w:rFonts w:ascii="Arial" w:hAnsi="Arial" w:cs="Arial"/>
                                <w:b/>
                                <w:sz w:val="22"/>
                                <w:szCs w:val="22"/>
                              </w:rPr>
                              <w:t xml:space="preserve">Table </w:t>
                            </w:r>
                            <w:r>
                              <w:rPr>
                                <w:rFonts w:ascii="Arial" w:hAnsi="Arial" w:cs="Arial"/>
                                <w:b/>
                                <w:sz w:val="22"/>
                                <w:szCs w:val="22"/>
                              </w:rPr>
                              <w:t>A</w:t>
                            </w:r>
                            <w:r w:rsidR="002868C4">
                              <w:rPr>
                                <w:rFonts w:ascii="Arial" w:hAnsi="Arial" w:cs="Arial"/>
                                <w:b/>
                                <w:sz w:val="22"/>
                                <w:szCs w:val="22"/>
                              </w:rPr>
                              <w:t>1</w:t>
                            </w:r>
                            <w:r w:rsidRPr="008350EE">
                              <w:rPr>
                                <w:rFonts w:ascii="Arial" w:hAnsi="Arial" w:cs="Arial"/>
                                <w:b/>
                                <w:sz w:val="22"/>
                                <w:szCs w:val="22"/>
                              </w:rPr>
                              <w:t>. Composition data and recent yields for major field crops</w:t>
                            </w:r>
                          </w:p>
                          <w:tbl>
                            <w:tblPr>
                              <w:tblW w:w="9000" w:type="dxa"/>
                              <w:tblCellMar>
                                <w:top w:w="15" w:type="dxa"/>
                                <w:left w:w="15" w:type="dxa"/>
                                <w:bottom w:w="15" w:type="dxa"/>
                                <w:right w:w="15" w:type="dxa"/>
                              </w:tblCellMar>
                              <w:tblLook w:val="04A0" w:firstRow="1" w:lastRow="0" w:firstColumn="1" w:lastColumn="0" w:noHBand="0" w:noVBand="1"/>
                            </w:tblPr>
                            <w:tblGrid>
                              <w:gridCol w:w="1571"/>
                              <w:gridCol w:w="1898"/>
                              <w:gridCol w:w="1931"/>
                              <w:gridCol w:w="1800"/>
                              <w:gridCol w:w="1800"/>
                            </w:tblGrid>
                            <w:tr w:rsidR="002E7D3D" w:rsidRPr="009755E6" w:rsidTr="00E238FD">
                              <w:trPr>
                                <w:trHeight w:val="432"/>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2E7D3D" w:rsidRPr="009755E6" w:rsidRDefault="002E7D3D" w:rsidP="009755E6">
                                  <w:pPr>
                                    <w:tabs>
                                      <w:tab w:val="clear" w:pos="720"/>
                                      <w:tab w:val="clear" w:pos="9360"/>
                                    </w:tabs>
                                    <w:rPr>
                                      <w:rFonts w:ascii="Arial" w:hAnsi="Arial" w:cs="Arial"/>
                                      <w:sz w:val="20"/>
                                    </w:rPr>
                                  </w:pPr>
                                  <w:r w:rsidRPr="009755E6">
                                    <w:rPr>
                                      <w:rFonts w:ascii="Arial" w:hAnsi="Arial" w:cs="Arial"/>
                                      <w:b/>
                                      <w:bCs/>
                                      <w:color w:val="000000"/>
                                      <w:sz w:val="20"/>
                                    </w:rPr>
                                    <w:t>Crop</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AA2549" w:rsidP="009755E6">
                                  <w:pPr>
                                    <w:tabs>
                                      <w:tab w:val="clear" w:pos="720"/>
                                      <w:tab w:val="clear" w:pos="9360"/>
                                    </w:tabs>
                                    <w:jc w:val="center"/>
                                    <w:rPr>
                                      <w:rFonts w:ascii="Arial" w:hAnsi="Arial" w:cs="Arial"/>
                                      <w:sz w:val="20"/>
                                    </w:rPr>
                                  </w:pPr>
                                  <w:r>
                                    <w:rPr>
                                      <w:rFonts w:ascii="Arial" w:hAnsi="Arial" w:cs="Arial"/>
                                      <w:b/>
                                      <w:bCs/>
                                      <w:color w:val="000000"/>
                                      <w:sz w:val="20"/>
                                    </w:rPr>
                                    <w:t xml:space="preserve">Carbon </w:t>
                                  </w:r>
                                  <w:r w:rsidR="000B460A">
                                    <w:rPr>
                                      <w:rFonts w:ascii="Arial" w:hAnsi="Arial" w:cs="Arial"/>
                                      <w:b/>
                                      <w:bCs/>
                                      <w:color w:val="000000"/>
                                      <w:sz w:val="20"/>
                                    </w:rPr>
                                    <w:br/>
                                  </w:r>
                                  <w:r>
                                    <w:rPr>
                                      <w:rFonts w:ascii="Arial" w:hAnsi="Arial" w:cs="Arial"/>
                                      <w:b/>
                                      <w:bCs/>
                                      <w:color w:val="000000"/>
                                      <w:sz w:val="20"/>
                                    </w:rPr>
                                    <w:t>Content</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AA2549" w:rsidP="009755E6">
                                  <w:pPr>
                                    <w:tabs>
                                      <w:tab w:val="clear" w:pos="720"/>
                                      <w:tab w:val="clear" w:pos="9360"/>
                                    </w:tabs>
                                    <w:jc w:val="center"/>
                                    <w:rPr>
                                      <w:rFonts w:ascii="Arial" w:hAnsi="Arial" w:cs="Arial"/>
                                      <w:sz w:val="20"/>
                                    </w:rPr>
                                  </w:pPr>
                                  <w:r>
                                    <w:rPr>
                                      <w:rFonts w:ascii="Arial" w:hAnsi="Arial" w:cs="Arial"/>
                                      <w:b/>
                                      <w:bCs/>
                                      <w:color w:val="000000"/>
                                      <w:sz w:val="20"/>
                                    </w:rPr>
                                    <w:t xml:space="preserve">Moisture </w:t>
                                  </w:r>
                                  <w:r w:rsidR="000B460A">
                                    <w:rPr>
                                      <w:rFonts w:ascii="Arial" w:hAnsi="Arial" w:cs="Arial"/>
                                      <w:b/>
                                      <w:bCs/>
                                      <w:color w:val="000000"/>
                                      <w:sz w:val="20"/>
                                    </w:rPr>
                                    <w:br/>
                                  </w:r>
                                  <w:r>
                                    <w:rPr>
                                      <w:rFonts w:ascii="Arial" w:hAnsi="Arial" w:cs="Arial"/>
                                      <w:b/>
                                      <w:bCs/>
                                      <w:color w:val="000000"/>
                                      <w:sz w:val="20"/>
                                    </w:rPr>
                                    <w:t>Content</w:t>
                                  </w:r>
                                  <w:r w:rsidR="000B460A" w:rsidRPr="000B460A">
                                    <w:rPr>
                                      <w:rFonts w:ascii="Arial" w:hAnsi="Arial" w:cs="Arial"/>
                                      <w:bCs/>
                                      <w:color w:val="000000"/>
                                      <w:sz w:val="20"/>
                                      <w:vertAlign w:val="superscript"/>
                                    </w:rPr>
                                    <w:t>f</w:t>
                                  </w:r>
                                </w:p>
                              </w:tc>
                              <w:tc>
                                <w:tcPr>
                                  <w:tcW w:w="180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2E7D3D" w:rsidP="009755E6">
                                  <w:pPr>
                                    <w:tabs>
                                      <w:tab w:val="clear" w:pos="720"/>
                                      <w:tab w:val="clear" w:pos="9360"/>
                                    </w:tabs>
                                    <w:jc w:val="center"/>
                                    <w:rPr>
                                      <w:rFonts w:ascii="Arial" w:hAnsi="Arial" w:cs="Arial"/>
                                      <w:sz w:val="20"/>
                                    </w:rPr>
                                  </w:pPr>
                                  <w:r>
                                    <w:rPr>
                                      <w:rFonts w:ascii="Arial" w:hAnsi="Arial" w:cs="Arial"/>
                                      <w:b/>
                                      <w:bCs/>
                                      <w:color w:val="000000"/>
                                      <w:sz w:val="20"/>
                                    </w:rPr>
                                    <w:t xml:space="preserve">Recent </w:t>
                                  </w:r>
                                  <w:r w:rsidRPr="009755E6">
                                    <w:rPr>
                                      <w:rFonts w:ascii="Arial" w:hAnsi="Arial" w:cs="Arial"/>
                                      <w:b/>
                                      <w:bCs/>
                                      <w:color w:val="000000"/>
                                      <w:sz w:val="20"/>
                                    </w:rPr>
                                    <w:t>Yield (Bushels/acre)</w:t>
                                  </w:r>
                                  <w:r w:rsidR="000B460A" w:rsidRPr="000B460A">
                                    <w:rPr>
                                      <w:rFonts w:ascii="Arial" w:hAnsi="Arial" w:cs="Arial"/>
                                      <w:bCs/>
                                      <w:color w:val="000000"/>
                                      <w:sz w:val="20"/>
                                      <w:vertAlign w:val="superscript"/>
                                    </w:rPr>
                                    <w:t>f</w:t>
                                  </w:r>
                                </w:p>
                              </w:tc>
                              <w:tc>
                                <w:tcPr>
                                  <w:tcW w:w="180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2E7D3D" w:rsidP="009755E6">
                                  <w:pPr>
                                    <w:tabs>
                                      <w:tab w:val="clear" w:pos="720"/>
                                      <w:tab w:val="clear" w:pos="9360"/>
                                    </w:tabs>
                                    <w:jc w:val="center"/>
                                    <w:rPr>
                                      <w:rFonts w:ascii="Arial" w:hAnsi="Arial" w:cs="Arial"/>
                                      <w:sz w:val="20"/>
                                    </w:rPr>
                                  </w:pPr>
                                  <w:r w:rsidRPr="009755E6">
                                    <w:rPr>
                                      <w:rFonts w:ascii="Arial" w:hAnsi="Arial" w:cs="Arial"/>
                                      <w:b/>
                                      <w:bCs/>
                                      <w:color w:val="000000"/>
                                      <w:sz w:val="20"/>
                                    </w:rPr>
                                    <w:t>Carbon Yield (MgC/ha-yr)</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Corn</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48385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42.1%</w:t>
                                  </w:r>
                                  <w:r w:rsidRPr="00206762">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48385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15.5%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150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1E62C8" w:rsidRDefault="001E62C8" w:rsidP="001E62C8">
                                  <w:pPr>
                                    <w:tabs>
                                      <w:tab w:val="clear" w:pos="720"/>
                                      <w:tab w:val="clear" w:pos="9360"/>
                                    </w:tabs>
                                    <w:rPr>
                                      <w:rFonts w:ascii="Arial" w:hAnsi="Arial" w:cs="Arial"/>
                                      <w:color w:val="000000"/>
                                      <w:sz w:val="20"/>
                                    </w:rPr>
                                  </w:pPr>
                                  <w:r w:rsidRPr="009755E6">
                                    <w:rPr>
                                      <w:rFonts w:ascii="Arial" w:hAnsi="Arial" w:cs="Arial"/>
                                      <w:color w:val="000000"/>
                                      <w:sz w:val="20"/>
                                    </w:rPr>
                                    <w:t>Soybeans</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42.6%</w:t>
                                  </w:r>
                                  <w:r w:rsidRPr="001E62C8">
                                    <w:rPr>
                                      <w:rFonts w:ascii="Arial" w:hAnsi="Arial" w:cs="Arial"/>
                                      <w:color w:val="000000"/>
                                      <w:sz w:val="20"/>
                                      <w:vertAlign w:val="superscript"/>
                                    </w:rPr>
                                    <w:t>b</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12.5%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Pr>
                                      <w:rFonts w:ascii="Arial" w:hAnsi="Arial" w:cs="Arial"/>
                                      <w:color w:val="000000"/>
                                      <w:sz w:val="20"/>
                                    </w:rPr>
                                    <w:t>42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1.1</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Wheat</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45.6%</w:t>
                                  </w:r>
                                  <w:r w:rsidRPr="009755E6">
                                    <w:rPr>
                                      <w:rFonts w:ascii="Arial" w:hAnsi="Arial" w:cs="Arial"/>
                                      <w:color w:val="000000"/>
                                      <w:sz w:val="20"/>
                                      <w:vertAlign w:val="superscript"/>
                                    </w:rPr>
                                    <w:t>c</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w:t>
                                  </w:r>
                                  <w:r>
                                    <w:rPr>
                                      <w:rFonts w:ascii="Arial" w:hAnsi="Arial" w:cs="Arial"/>
                                      <w:color w:val="000000"/>
                                      <w:sz w:val="20"/>
                                    </w:rPr>
                                    <w:t>4</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Alfalfa</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45.9%</w:t>
                                  </w:r>
                                  <w:r w:rsidRPr="009755E6">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3.7</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Cotton</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40</w:t>
                                  </w:r>
                                  <w:r>
                                    <w:rPr>
                                      <w:rFonts w:ascii="Arial" w:hAnsi="Arial" w:cs="Arial"/>
                                      <w:color w:val="000000"/>
                                      <w:sz w:val="20"/>
                                    </w:rPr>
                                    <w:t>.0</w:t>
                                  </w:r>
                                  <w:r w:rsidRPr="009755E6">
                                    <w:rPr>
                                      <w:rFonts w:ascii="Arial" w:hAnsi="Arial" w:cs="Arial"/>
                                      <w:color w:val="000000"/>
                                      <w:sz w:val="20"/>
                                    </w:rPr>
                                    <w:t>%</w:t>
                                  </w:r>
                                  <w:r w:rsidRPr="009755E6">
                                    <w:rPr>
                                      <w:rFonts w:ascii="Arial" w:hAnsi="Arial" w:cs="Arial"/>
                                      <w:color w:val="000000"/>
                                      <w:sz w:val="20"/>
                                      <w:vertAlign w:val="superscript"/>
                                    </w:rPr>
                                    <w:t>g</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w:t>
                                  </w:r>
                                  <w:r>
                                    <w:rPr>
                                      <w:rFonts w:ascii="Arial" w:hAnsi="Arial" w:cs="Arial"/>
                                      <w:color w:val="000000"/>
                                      <w:sz w:val="20"/>
                                    </w:rPr>
                                    <w:t>.0</w:t>
                                  </w:r>
                                  <w:r w:rsidRPr="009755E6">
                                    <w:rPr>
                                      <w:rFonts w:ascii="Arial" w:hAnsi="Arial" w:cs="Arial"/>
                                      <w:color w:val="000000"/>
                                      <w:sz w:val="20"/>
                                    </w:rPr>
                                    <w:t>%</w:t>
                                  </w:r>
                                  <w:r w:rsidRPr="009755E6">
                                    <w:rPr>
                                      <w:rFonts w:ascii="Arial" w:hAnsi="Arial" w:cs="Arial"/>
                                      <w:color w:val="000000"/>
                                      <w:sz w:val="20"/>
                                      <w:vertAlign w:val="superscript"/>
                                    </w:rPr>
                                    <w:t>g</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28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0.3</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Sorghum</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45.8%</w:t>
                                  </w:r>
                                  <w:r w:rsidRPr="009755E6">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14</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1.6</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Barley</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47.5%</w:t>
                                  </w:r>
                                  <w:r w:rsidRPr="009755E6">
                                    <w:rPr>
                                      <w:rFonts w:ascii="Arial" w:hAnsi="Arial" w:cs="Arial"/>
                                      <w:color w:val="000000"/>
                                      <w:sz w:val="20"/>
                                      <w:vertAlign w:val="superscript"/>
                                    </w:rPr>
                                    <w:t>c</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14.5%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w:t>
                                  </w:r>
                                  <w:r>
                                    <w:rPr>
                                      <w:rFonts w:ascii="Arial" w:hAnsi="Arial" w:cs="Arial"/>
                                      <w:color w:val="000000"/>
                                      <w:sz w:val="20"/>
                                    </w:rPr>
                                    <w:t>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3.2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Rice</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42.9%</w:t>
                                  </w:r>
                                  <w:r w:rsidRPr="009755E6">
                                    <w:rPr>
                                      <w:rFonts w:ascii="Arial" w:hAnsi="Arial" w:cs="Arial"/>
                                      <w:color w:val="000000"/>
                                      <w:sz w:val="20"/>
                                      <w:vertAlign w:val="superscript"/>
                                    </w:rPr>
                                    <w:t>d</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157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Sunflower</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43.7%</w:t>
                                  </w:r>
                                  <w:r w:rsidRPr="009755E6">
                                    <w:rPr>
                                      <w:rFonts w:ascii="Arial" w:hAnsi="Arial" w:cs="Arial"/>
                                      <w:color w:val="000000"/>
                                      <w:sz w:val="20"/>
                                      <w:vertAlign w:val="superscript"/>
                                    </w:rPr>
                                    <w:t>e</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8</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45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0.7</w:t>
                                  </w:r>
                                </w:p>
                              </w:tc>
                            </w:tr>
                          </w:tbl>
                          <w:p w:rsidR="002E7D3D" w:rsidRPr="008350EE" w:rsidRDefault="00AE5859" w:rsidP="005D6A63">
                            <w:pPr>
                              <w:tabs>
                                <w:tab w:val="clear" w:pos="720"/>
                              </w:tabs>
                              <w:spacing w:before="120" w:line="264" w:lineRule="auto"/>
                              <w:ind w:left="900" w:hanging="810"/>
                              <w:rPr>
                                <w:rFonts w:ascii="Arial" w:hAnsi="Arial" w:cs="Arial"/>
                                <w:sz w:val="18"/>
                                <w:szCs w:val="18"/>
                              </w:rPr>
                            </w:pPr>
                            <w:r>
                              <w:rPr>
                                <w:rFonts w:ascii="Arial" w:hAnsi="Arial" w:cs="Arial"/>
                                <w:sz w:val="18"/>
                                <w:szCs w:val="18"/>
                              </w:rPr>
                              <w:t xml:space="preserve">Sources:  </w:t>
                            </w:r>
                            <w:r w:rsidR="002E7D3D" w:rsidRPr="008350EE">
                              <w:rPr>
                                <w:rFonts w:ascii="Arial" w:hAnsi="Arial" w:cs="Arial"/>
                                <w:sz w:val="18"/>
                                <w:szCs w:val="18"/>
                              </w:rPr>
                              <w:t>a</w:t>
                            </w:r>
                            <w:r w:rsidR="002E7D3D">
                              <w:rPr>
                                <w:rFonts w:ascii="Arial" w:hAnsi="Arial" w:cs="Arial"/>
                                <w:sz w:val="18"/>
                                <w:szCs w:val="18"/>
                              </w:rPr>
                              <w:t>.</w:t>
                            </w:r>
                            <w:r w:rsidR="002E7D3D" w:rsidRPr="008350EE">
                              <w:rPr>
                                <w:rFonts w:ascii="Arial" w:hAnsi="Arial" w:cs="Arial"/>
                                <w:sz w:val="18"/>
                                <w:szCs w:val="18"/>
                              </w:rPr>
                              <w:t xml:space="preserve"> Clarke</w:t>
                            </w:r>
                            <w:r w:rsidR="002E7D3D">
                              <w:rPr>
                                <w:rFonts w:ascii="Arial" w:hAnsi="Arial" w:cs="Arial"/>
                                <w:sz w:val="18"/>
                                <w:szCs w:val="18"/>
                              </w:rPr>
                              <w:t xml:space="preserve"> </w:t>
                            </w:r>
                            <w:r w:rsidR="002E7D3D" w:rsidRPr="008350EE">
                              <w:rPr>
                                <w:rFonts w:ascii="Arial" w:hAnsi="Arial" w:cs="Arial"/>
                                <w:sz w:val="18"/>
                                <w:szCs w:val="18"/>
                              </w:rPr>
                              <w:t>&amp; Preto</w:t>
                            </w:r>
                            <w:r w:rsidR="002E7D3D">
                              <w:rPr>
                                <w:rFonts w:ascii="Arial" w:hAnsi="Arial" w:cs="Arial"/>
                                <w:sz w:val="18"/>
                                <w:szCs w:val="18"/>
                              </w:rPr>
                              <w:t xml:space="preserve"> (</w:t>
                            </w:r>
                            <w:r w:rsidR="002E7D3D" w:rsidRPr="008350EE">
                              <w:rPr>
                                <w:rFonts w:ascii="Arial" w:hAnsi="Arial" w:cs="Arial"/>
                                <w:sz w:val="18"/>
                                <w:szCs w:val="18"/>
                              </w:rPr>
                              <w:t>2011</w:t>
                            </w:r>
                            <w:r w:rsidR="002E7D3D">
                              <w:rPr>
                                <w:rFonts w:ascii="Arial" w:hAnsi="Arial" w:cs="Arial"/>
                                <w:sz w:val="18"/>
                                <w:szCs w:val="18"/>
                              </w:rPr>
                              <w:t>);</w:t>
                            </w:r>
                            <w:r w:rsidR="002E7D3D" w:rsidRPr="008350EE">
                              <w:rPr>
                                <w:rFonts w:ascii="Arial" w:hAnsi="Arial" w:cs="Arial"/>
                                <w:sz w:val="18"/>
                                <w:szCs w:val="18"/>
                              </w:rPr>
                              <w:t xml:space="preserve"> b</w:t>
                            </w:r>
                            <w:r w:rsidR="002E7D3D">
                              <w:rPr>
                                <w:rFonts w:ascii="Arial" w:hAnsi="Arial" w:cs="Arial"/>
                                <w:sz w:val="18"/>
                                <w:szCs w:val="18"/>
                              </w:rPr>
                              <w:t>.</w:t>
                            </w:r>
                            <w:r w:rsidR="002E7D3D" w:rsidRPr="008350EE">
                              <w:rPr>
                                <w:rFonts w:ascii="Arial" w:hAnsi="Arial" w:cs="Arial"/>
                                <w:sz w:val="18"/>
                                <w:szCs w:val="18"/>
                              </w:rPr>
                              <w:t xml:space="preserve"> </w:t>
                            </w:r>
                            <w:r w:rsidR="00241FEF">
                              <w:rPr>
                                <w:rFonts w:ascii="Arial" w:hAnsi="Arial" w:cs="Arial"/>
                                <w:sz w:val="18"/>
                                <w:szCs w:val="18"/>
                              </w:rPr>
                              <w:t xml:space="preserve">C. </w:t>
                            </w:r>
                            <w:r w:rsidR="002E7D3D" w:rsidRPr="008350EE">
                              <w:rPr>
                                <w:rFonts w:ascii="Arial" w:hAnsi="Arial" w:cs="Arial"/>
                                <w:sz w:val="18"/>
                                <w:szCs w:val="18"/>
                              </w:rPr>
                              <w:t>Wang</w:t>
                            </w:r>
                            <w:r w:rsidR="002E7D3D">
                              <w:rPr>
                                <w:rFonts w:ascii="Arial" w:hAnsi="Arial" w:cs="Arial"/>
                                <w:sz w:val="18"/>
                                <w:szCs w:val="18"/>
                              </w:rPr>
                              <w:t xml:space="preserve"> et al</w:t>
                            </w:r>
                            <w:r w:rsidR="002E7D3D" w:rsidRPr="008350EE">
                              <w:rPr>
                                <w:rFonts w:ascii="Arial" w:hAnsi="Arial" w:cs="Arial"/>
                                <w:sz w:val="18"/>
                                <w:szCs w:val="18"/>
                              </w:rPr>
                              <w:t xml:space="preserve"> </w:t>
                            </w:r>
                            <w:r w:rsidR="002E7D3D">
                              <w:rPr>
                                <w:rFonts w:ascii="Arial" w:hAnsi="Arial" w:cs="Arial"/>
                                <w:sz w:val="18"/>
                                <w:szCs w:val="18"/>
                              </w:rPr>
                              <w:t>(</w:t>
                            </w:r>
                            <w:r w:rsidR="002E7D3D" w:rsidRPr="008350EE">
                              <w:rPr>
                                <w:rFonts w:ascii="Arial" w:hAnsi="Arial" w:cs="Arial"/>
                                <w:sz w:val="18"/>
                                <w:szCs w:val="18"/>
                              </w:rPr>
                              <w:t>2012</w:t>
                            </w:r>
                            <w:r w:rsidR="002E7D3D">
                              <w:rPr>
                                <w:rFonts w:ascii="Arial" w:hAnsi="Arial" w:cs="Arial"/>
                                <w:sz w:val="18"/>
                                <w:szCs w:val="18"/>
                              </w:rPr>
                              <w:t>);</w:t>
                            </w:r>
                            <w:r w:rsidR="002E7D3D" w:rsidRPr="008350EE">
                              <w:rPr>
                                <w:rFonts w:ascii="Arial" w:hAnsi="Arial" w:cs="Arial"/>
                                <w:sz w:val="18"/>
                                <w:szCs w:val="18"/>
                              </w:rPr>
                              <w:t xml:space="preserve"> (c) Teagasc </w:t>
                            </w:r>
                            <w:r w:rsidR="002E7D3D">
                              <w:rPr>
                                <w:rFonts w:ascii="Arial" w:hAnsi="Arial" w:cs="Arial"/>
                                <w:sz w:val="18"/>
                                <w:szCs w:val="18"/>
                              </w:rPr>
                              <w:t>(</w:t>
                            </w:r>
                            <w:r w:rsidR="002E7D3D" w:rsidRPr="008350EE">
                              <w:rPr>
                                <w:rFonts w:ascii="Arial" w:hAnsi="Arial" w:cs="Arial"/>
                                <w:sz w:val="18"/>
                                <w:szCs w:val="18"/>
                              </w:rPr>
                              <w:t>2010</w:t>
                            </w:r>
                            <w:r w:rsidR="002E7D3D">
                              <w:rPr>
                                <w:rFonts w:ascii="Arial" w:hAnsi="Arial" w:cs="Arial"/>
                                <w:sz w:val="18"/>
                                <w:szCs w:val="18"/>
                              </w:rPr>
                              <w:t>)</w:t>
                            </w:r>
                            <w:r w:rsidR="002E7D3D" w:rsidRPr="008350EE">
                              <w:rPr>
                                <w:rFonts w:ascii="Arial" w:hAnsi="Arial" w:cs="Arial"/>
                                <w:sz w:val="18"/>
                                <w:szCs w:val="18"/>
                              </w:rPr>
                              <w:t xml:space="preserve">. (d) </w:t>
                            </w:r>
                            <w:r w:rsidR="00241FEF">
                              <w:rPr>
                                <w:rFonts w:ascii="Arial" w:hAnsi="Arial" w:cs="Arial"/>
                                <w:sz w:val="18"/>
                                <w:szCs w:val="18"/>
                              </w:rPr>
                              <w:t xml:space="preserve">He </w:t>
                            </w:r>
                            <w:r w:rsidR="002E7D3D">
                              <w:rPr>
                                <w:rFonts w:ascii="Arial" w:hAnsi="Arial" w:cs="Arial"/>
                                <w:sz w:val="18"/>
                                <w:szCs w:val="18"/>
                              </w:rPr>
                              <w:t>et al</w:t>
                            </w:r>
                            <w:r w:rsidR="002E7D3D" w:rsidRPr="008350EE">
                              <w:rPr>
                                <w:rFonts w:ascii="Arial" w:hAnsi="Arial" w:cs="Arial"/>
                                <w:sz w:val="18"/>
                                <w:szCs w:val="18"/>
                              </w:rPr>
                              <w:t xml:space="preserve"> </w:t>
                            </w:r>
                            <w:r w:rsidR="002E7D3D">
                              <w:rPr>
                                <w:rFonts w:ascii="Arial" w:hAnsi="Arial" w:cs="Arial"/>
                                <w:sz w:val="18"/>
                                <w:szCs w:val="18"/>
                              </w:rPr>
                              <w:t>(</w:t>
                            </w:r>
                            <w:r w:rsidR="002E7D3D" w:rsidRPr="008350EE">
                              <w:rPr>
                                <w:rFonts w:ascii="Arial" w:hAnsi="Arial" w:cs="Arial"/>
                                <w:sz w:val="18"/>
                                <w:szCs w:val="18"/>
                              </w:rPr>
                              <w:t>2005</w:t>
                            </w:r>
                            <w:r w:rsidR="002E7D3D">
                              <w:rPr>
                                <w:rFonts w:ascii="Arial" w:hAnsi="Arial" w:cs="Arial"/>
                                <w:sz w:val="18"/>
                                <w:szCs w:val="18"/>
                              </w:rPr>
                              <w:t>);</w:t>
                            </w:r>
                            <w:r w:rsidR="002E7D3D" w:rsidRPr="008350EE">
                              <w:rPr>
                                <w:rFonts w:ascii="Arial" w:hAnsi="Arial" w:cs="Arial"/>
                                <w:sz w:val="18"/>
                                <w:szCs w:val="18"/>
                              </w:rPr>
                              <w:t xml:space="preserve"> </w:t>
                            </w:r>
                            <w:r w:rsidR="002E7D3D">
                              <w:rPr>
                                <w:rFonts w:ascii="Arial" w:hAnsi="Arial" w:cs="Arial"/>
                                <w:sz w:val="18"/>
                                <w:szCs w:val="18"/>
                              </w:rPr>
                              <w:br/>
                            </w:r>
                            <w:r w:rsidR="002E7D3D" w:rsidRPr="008350EE">
                              <w:rPr>
                                <w:rFonts w:ascii="Arial" w:hAnsi="Arial" w:cs="Arial"/>
                                <w:sz w:val="18"/>
                                <w:szCs w:val="18"/>
                              </w:rPr>
                              <w:t>e</w:t>
                            </w:r>
                            <w:r w:rsidR="002E7D3D">
                              <w:rPr>
                                <w:rFonts w:ascii="Arial" w:hAnsi="Arial" w:cs="Arial"/>
                                <w:sz w:val="18"/>
                                <w:szCs w:val="18"/>
                              </w:rPr>
                              <w:t>.</w:t>
                            </w:r>
                            <w:r w:rsidR="002E7D3D" w:rsidRPr="008350EE">
                              <w:rPr>
                                <w:rFonts w:ascii="Arial" w:hAnsi="Arial" w:cs="Arial"/>
                                <w:sz w:val="18"/>
                                <w:szCs w:val="18"/>
                              </w:rPr>
                              <w:t xml:space="preserve"> European Combustion Meeting</w:t>
                            </w:r>
                            <w:r w:rsidR="002E7D3D">
                              <w:rPr>
                                <w:rFonts w:ascii="Arial" w:hAnsi="Arial" w:cs="Arial"/>
                                <w:sz w:val="18"/>
                                <w:szCs w:val="18"/>
                              </w:rPr>
                              <w:t xml:space="preserve"> (</w:t>
                            </w:r>
                            <w:r w:rsidR="002E7D3D" w:rsidRPr="008350EE">
                              <w:rPr>
                                <w:rFonts w:ascii="Arial" w:hAnsi="Arial" w:cs="Arial"/>
                                <w:sz w:val="18"/>
                                <w:szCs w:val="18"/>
                              </w:rPr>
                              <w:t>2015</w:t>
                            </w:r>
                            <w:r w:rsidR="002E7D3D">
                              <w:rPr>
                                <w:rFonts w:ascii="Arial" w:hAnsi="Arial" w:cs="Arial"/>
                                <w:sz w:val="18"/>
                                <w:szCs w:val="18"/>
                              </w:rPr>
                              <w:t>);</w:t>
                            </w:r>
                            <w:r w:rsidR="002E7D3D" w:rsidRPr="008350EE">
                              <w:rPr>
                                <w:rFonts w:ascii="Arial" w:hAnsi="Arial" w:cs="Arial"/>
                                <w:sz w:val="18"/>
                                <w:szCs w:val="18"/>
                              </w:rPr>
                              <w:t xml:space="preserve"> f</w:t>
                            </w:r>
                            <w:r w:rsidR="002E7D3D">
                              <w:rPr>
                                <w:rFonts w:ascii="Arial" w:hAnsi="Arial" w:cs="Arial"/>
                                <w:sz w:val="18"/>
                                <w:szCs w:val="18"/>
                              </w:rPr>
                              <w:t>.</w:t>
                            </w:r>
                            <w:r w:rsidR="002E7D3D" w:rsidRPr="008350EE">
                              <w:rPr>
                                <w:rFonts w:ascii="Arial" w:hAnsi="Arial" w:cs="Arial"/>
                                <w:sz w:val="18"/>
                                <w:szCs w:val="18"/>
                              </w:rPr>
                              <w:t xml:space="preserve"> </w:t>
                            </w:r>
                            <w:r w:rsidR="005D6A63">
                              <w:rPr>
                                <w:rFonts w:ascii="Arial" w:hAnsi="Arial" w:cs="Arial"/>
                                <w:sz w:val="18"/>
                                <w:szCs w:val="18"/>
                              </w:rPr>
                              <w:t xml:space="preserve">derived from </w:t>
                            </w:r>
                            <w:r w:rsidR="002E7D3D">
                              <w:rPr>
                                <w:rFonts w:ascii="Arial" w:hAnsi="Arial" w:cs="Arial"/>
                                <w:sz w:val="18"/>
                                <w:szCs w:val="18"/>
                              </w:rPr>
                              <w:t xml:space="preserve">USDA </w:t>
                            </w:r>
                            <w:r w:rsidR="002E7D3D" w:rsidRPr="008350EE">
                              <w:rPr>
                                <w:rFonts w:ascii="Arial" w:hAnsi="Arial" w:cs="Arial"/>
                                <w:sz w:val="18"/>
                                <w:szCs w:val="18"/>
                              </w:rPr>
                              <w:t>NASS</w:t>
                            </w:r>
                            <w:r w:rsidR="005D6A63">
                              <w:rPr>
                                <w:rFonts w:ascii="Arial" w:hAnsi="Arial" w:cs="Arial"/>
                                <w:sz w:val="18"/>
                                <w:szCs w:val="18"/>
                              </w:rPr>
                              <w:t xml:space="preserve"> unless otherwise indicated</w:t>
                            </w:r>
                            <w:r w:rsidR="002E7D3D">
                              <w:rPr>
                                <w:rFonts w:ascii="Arial" w:hAnsi="Arial" w:cs="Arial"/>
                                <w:sz w:val="18"/>
                                <w:szCs w:val="18"/>
                              </w:rPr>
                              <w:t>;</w:t>
                            </w:r>
                            <w:r w:rsidR="002E7D3D" w:rsidRPr="008350EE">
                              <w:rPr>
                                <w:rFonts w:ascii="Arial" w:hAnsi="Arial" w:cs="Arial"/>
                                <w:sz w:val="18"/>
                                <w:szCs w:val="18"/>
                              </w:rPr>
                              <w:t xml:space="preserve"> </w:t>
                            </w:r>
                            <w:r>
                              <w:rPr>
                                <w:rFonts w:ascii="Arial" w:hAnsi="Arial" w:cs="Arial"/>
                                <w:sz w:val="18"/>
                                <w:szCs w:val="18"/>
                              </w:rPr>
                              <w:br/>
                            </w:r>
                            <w:r w:rsidR="002E7D3D" w:rsidRPr="008350EE">
                              <w:rPr>
                                <w:rFonts w:ascii="Arial" w:hAnsi="Arial" w:cs="Arial"/>
                                <w:sz w:val="18"/>
                                <w:szCs w:val="18"/>
                              </w:rPr>
                              <w:t>g</w:t>
                            </w:r>
                            <w:r w:rsidR="002E7D3D">
                              <w:rPr>
                                <w:rFonts w:ascii="Arial" w:hAnsi="Arial" w:cs="Arial"/>
                                <w:sz w:val="18"/>
                                <w:szCs w:val="18"/>
                              </w:rPr>
                              <w:t>.</w:t>
                            </w:r>
                            <w:r w:rsidR="002E7D3D" w:rsidRPr="008350EE">
                              <w:rPr>
                                <w:rFonts w:ascii="Arial" w:hAnsi="Arial" w:cs="Arial"/>
                                <w:sz w:val="18"/>
                                <w:szCs w:val="18"/>
                              </w:rPr>
                              <w:t xml:space="preserve"> Hegde et al </w:t>
                            </w:r>
                            <w:r w:rsidR="002E7D3D">
                              <w:rPr>
                                <w:rFonts w:ascii="Arial" w:hAnsi="Arial" w:cs="Arial"/>
                                <w:sz w:val="18"/>
                                <w:szCs w:val="18"/>
                              </w:rPr>
                              <w:t>(</w:t>
                            </w:r>
                            <w:r w:rsidR="002E7D3D" w:rsidRPr="008350EE">
                              <w:rPr>
                                <w:rFonts w:ascii="Arial" w:hAnsi="Arial" w:cs="Arial"/>
                                <w:sz w:val="18"/>
                                <w:szCs w:val="18"/>
                              </w:rPr>
                              <w:t>2004</w:t>
                            </w:r>
                            <w:r w:rsidR="005D6A63">
                              <w:rPr>
                                <w:rFonts w:ascii="Arial" w:hAnsi="Arial" w:cs="Arial"/>
                                <w:sz w:val="18"/>
                                <w:szCs w:val="18"/>
                              </w:rPr>
                              <w:t>)</w:t>
                            </w:r>
                            <w:r w:rsidR="002E7D3D">
                              <w:rPr>
                                <w:rFonts w:ascii="Arial" w:hAnsi="Arial" w:cs="Arial"/>
                                <w:sz w:val="18"/>
                                <w:szCs w:val="18"/>
                              </w:rPr>
                              <w:t>.</w:t>
                            </w:r>
                            <w:r w:rsidR="002E7D3D" w:rsidRPr="008350EE">
                              <w:rPr>
                                <w:rFonts w:ascii="Arial" w:hAnsi="Arial"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EFE06" id="_x0000_t202" coordsize="21600,21600" o:spt="202" path="m,l,21600r21600,l21600,xe">
                <v:stroke joinstyle="miter"/>
                <v:path gradientshapeok="t" o:connecttype="rect"/>
              </v:shapetype>
              <v:shape id="Text Box 15" o:spid="_x0000_s1026" type="#_x0000_t202" style="position:absolute;margin-left:0;margin-top:0;width:478.8pt;height:24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" o:allowoverlap="f" fillcolor="#f0f0ff [3201]" stroked="f" strokeweight=".5pt">
                <v:textbox>
                  <w:txbxContent>
                    <w:p w:rsidR="002E7D3D" w:rsidRPr="009755E6" w:rsidRDefault="002E7D3D" w:rsidP="00E238FD">
                      <w:pPr>
                        <w:tabs>
                          <w:tab w:val="clear" w:pos="720"/>
                          <w:tab w:val="clear" w:pos="9360"/>
                        </w:tabs>
                        <w:spacing w:after="120"/>
                        <w:rPr>
                          <w:rFonts w:ascii="Arial" w:hAnsi="Arial" w:cs="Arial"/>
                          <w:b/>
                          <w:sz w:val="22"/>
                          <w:szCs w:val="22"/>
                        </w:rPr>
                      </w:pPr>
                      <w:r w:rsidRPr="008350EE">
                        <w:rPr>
                          <w:rFonts w:ascii="Arial" w:hAnsi="Arial" w:cs="Arial"/>
                          <w:b/>
                          <w:sz w:val="22"/>
                          <w:szCs w:val="22"/>
                        </w:rPr>
                        <w:t xml:space="preserve">Table </w:t>
                      </w:r>
                      <w:r>
                        <w:rPr>
                          <w:rFonts w:ascii="Arial" w:hAnsi="Arial" w:cs="Arial"/>
                          <w:b/>
                          <w:sz w:val="22"/>
                          <w:szCs w:val="22"/>
                        </w:rPr>
                        <w:t>A</w:t>
                      </w:r>
                      <w:r w:rsidR="002868C4">
                        <w:rPr>
                          <w:rFonts w:ascii="Arial" w:hAnsi="Arial" w:cs="Arial"/>
                          <w:b/>
                          <w:sz w:val="22"/>
                          <w:szCs w:val="22"/>
                        </w:rPr>
                        <w:t>1</w:t>
                      </w:r>
                      <w:r w:rsidRPr="008350EE">
                        <w:rPr>
                          <w:rFonts w:ascii="Arial" w:hAnsi="Arial" w:cs="Arial"/>
                          <w:b/>
                          <w:sz w:val="22"/>
                          <w:szCs w:val="22"/>
                        </w:rPr>
                        <w:t>. Composition data and recent yields for major field crops</w:t>
                      </w:r>
                    </w:p>
                    <w:tbl>
                      <w:tblPr>
                        <w:tblW w:w="9000" w:type="dxa"/>
                        <w:tblCellMar>
                          <w:top w:w="15" w:type="dxa"/>
                          <w:left w:w="15" w:type="dxa"/>
                          <w:bottom w:w="15" w:type="dxa"/>
                          <w:right w:w="15" w:type="dxa"/>
                        </w:tblCellMar>
                        <w:tblLook w:val="04A0" w:firstRow="1" w:lastRow="0" w:firstColumn="1" w:lastColumn="0" w:noHBand="0" w:noVBand="1"/>
                      </w:tblPr>
                      <w:tblGrid>
                        <w:gridCol w:w="1571"/>
                        <w:gridCol w:w="1898"/>
                        <w:gridCol w:w="1931"/>
                        <w:gridCol w:w="1800"/>
                        <w:gridCol w:w="1800"/>
                      </w:tblGrid>
                      <w:tr w:rsidR="002E7D3D" w:rsidRPr="009755E6" w:rsidTr="00E238FD">
                        <w:trPr>
                          <w:trHeight w:val="432"/>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2E7D3D" w:rsidRPr="009755E6" w:rsidRDefault="002E7D3D" w:rsidP="009755E6">
                            <w:pPr>
                              <w:tabs>
                                <w:tab w:val="clear" w:pos="720"/>
                                <w:tab w:val="clear" w:pos="9360"/>
                              </w:tabs>
                              <w:rPr>
                                <w:rFonts w:ascii="Arial" w:hAnsi="Arial" w:cs="Arial"/>
                                <w:sz w:val="20"/>
                              </w:rPr>
                            </w:pPr>
                            <w:r w:rsidRPr="009755E6">
                              <w:rPr>
                                <w:rFonts w:ascii="Arial" w:hAnsi="Arial" w:cs="Arial"/>
                                <w:b/>
                                <w:bCs/>
                                <w:color w:val="000000"/>
                                <w:sz w:val="20"/>
                              </w:rPr>
                              <w:t>Crop</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AA2549" w:rsidP="009755E6">
                            <w:pPr>
                              <w:tabs>
                                <w:tab w:val="clear" w:pos="720"/>
                                <w:tab w:val="clear" w:pos="9360"/>
                              </w:tabs>
                              <w:jc w:val="center"/>
                              <w:rPr>
                                <w:rFonts w:ascii="Arial" w:hAnsi="Arial" w:cs="Arial"/>
                                <w:sz w:val="20"/>
                              </w:rPr>
                            </w:pPr>
                            <w:r>
                              <w:rPr>
                                <w:rFonts w:ascii="Arial" w:hAnsi="Arial" w:cs="Arial"/>
                                <w:b/>
                                <w:bCs/>
                                <w:color w:val="000000"/>
                                <w:sz w:val="20"/>
                              </w:rPr>
                              <w:t xml:space="preserve">Carbon </w:t>
                            </w:r>
                            <w:r w:rsidR="000B460A">
                              <w:rPr>
                                <w:rFonts w:ascii="Arial" w:hAnsi="Arial" w:cs="Arial"/>
                                <w:b/>
                                <w:bCs/>
                                <w:color w:val="000000"/>
                                <w:sz w:val="20"/>
                              </w:rPr>
                              <w:br/>
                            </w:r>
                            <w:r>
                              <w:rPr>
                                <w:rFonts w:ascii="Arial" w:hAnsi="Arial" w:cs="Arial"/>
                                <w:b/>
                                <w:bCs/>
                                <w:color w:val="000000"/>
                                <w:sz w:val="20"/>
                              </w:rPr>
                              <w:t>Content</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AA2549" w:rsidP="009755E6">
                            <w:pPr>
                              <w:tabs>
                                <w:tab w:val="clear" w:pos="720"/>
                                <w:tab w:val="clear" w:pos="9360"/>
                              </w:tabs>
                              <w:jc w:val="center"/>
                              <w:rPr>
                                <w:rFonts w:ascii="Arial" w:hAnsi="Arial" w:cs="Arial"/>
                                <w:sz w:val="20"/>
                              </w:rPr>
                            </w:pPr>
                            <w:r>
                              <w:rPr>
                                <w:rFonts w:ascii="Arial" w:hAnsi="Arial" w:cs="Arial"/>
                                <w:b/>
                                <w:bCs/>
                                <w:color w:val="000000"/>
                                <w:sz w:val="20"/>
                              </w:rPr>
                              <w:t xml:space="preserve">Moisture </w:t>
                            </w:r>
                            <w:r w:rsidR="000B460A">
                              <w:rPr>
                                <w:rFonts w:ascii="Arial" w:hAnsi="Arial" w:cs="Arial"/>
                                <w:b/>
                                <w:bCs/>
                                <w:color w:val="000000"/>
                                <w:sz w:val="20"/>
                              </w:rPr>
                              <w:br/>
                            </w:r>
                            <w:r>
                              <w:rPr>
                                <w:rFonts w:ascii="Arial" w:hAnsi="Arial" w:cs="Arial"/>
                                <w:b/>
                                <w:bCs/>
                                <w:color w:val="000000"/>
                                <w:sz w:val="20"/>
                              </w:rPr>
                              <w:t>Content</w:t>
                            </w:r>
                            <w:r w:rsidR="000B460A" w:rsidRPr="000B460A">
                              <w:rPr>
                                <w:rFonts w:ascii="Arial" w:hAnsi="Arial" w:cs="Arial"/>
                                <w:bCs/>
                                <w:color w:val="000000"/>
                                <w:sz w:val="20"/>
                                <w:vertAlign w:val="superscript"/>
                              </w:rPr>
                              <w:t>f</w:t>
                            </w:r>
                          </w:p>
                        </w:tc>
                        <w:tc>
                          <w:tcPr>
                            <w:tcW w:w="180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2E7D3D" w:rsidP="009755E6">
                            <w:pPr>
                              <w:tabs>
                                <w:tab w:val="clear" w:pos="720"/>
                                <w:tab w:val="clear" w:pos="9360"/>
                              </w:tabs>
                              <w:jc w:val="center"/>
                              <w:rPr>
                                <w:rFonts w:ascii="Arial" w:hAnsi="Arial" w:cs="Arial"/>
                                <w:sz w:val="20"/>
                              </w:rPr>
                            </w:pPr>
                            <w:r>
                              <w:rPr>
                                <w:rFonts w:ascii="Arial" w:hAnsi="Arial" w:cs="Arial"/>
                                <w:b/>
                                <w:bCs/>
                                <w:color w:val="000000"/>
                                <w:sz w:val="20"/>
                              </w:rPr>
                              <w:t xml:space="preserve">Recent </w:t>
                            </w:r>
                            <w:r w:rsidRPr="009755E6">
                              <w:rPr>
                                <w:rFonts w:ascii="Arial" w:hAnsi="Arial" w:cs="Arial"/>
                                <w:b/>
                                <w:bCs/>
                                <w:color w:val="000000"/>
                                <w:sz w:val="20"/>
                              </w:rPr>
                              <w:t>Yield (Bushels/acre)</w:t>
                            </w:r>
                            <w:r w:rsidR="000B460A" w:rsidRPr="000B460A">
                              <w:rPr>
                                <w:rFonts w:ascii="Arial" w:hAnsi="Arial" w:cs="Arial"/>
                                <w:bCs/>
                                <w:color w:val="000000"/>
                                <w:sz w:val="20"/>
                                <w:vertAlign w:val="superscript"/>
                              </w:rPr>
                              <w:t>f</w:t>
                            </w:r>
                          </w:p>
                        </w:tc>
                        <w:tc>
                          <w:tcPr>
                            <w:tcW w:w="180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2E7D3D" w:rsidRPr="009755E6" w:rsidRDefault="002E7D3D" w:rsidP="009755E6">
                            <w:pPr>
                              <w:tabs>
                                <w:tab w:val="clear" w:pos="720"/>
                                <w:tab w:val="clear" w:pos="9360"/>
                              </w:tabs>
                              <w:jc w:val="center"/>
                              <w:rPr>
                                <w:rFonts w:ascii="Arial" w:hAnsi="Arial" w:cs="Arial"/>
                                <w:sz w:val="20"/>
                              </w:rPr>
                            </w:pPr>
                            <w:r w:rsidRPr="009755E6">
                              <w:rPr>
                                <w:rFonts w:ascii="Arial" w:hAnsi="Arial" w:cs="Arial"/>
                                <w:b/>
                                <w:bCs/>
                                <w:color w:val="000000"/>
                                <w:sz w:val="20"/>
                              </w:rPr>
                              <w:t>Carbon Yield (MgC/ha-yr)</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Corn</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48385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42.1%</w:t>
                            </w:r>
                            <w:r w:rsidRPr="00206762">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48385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15.5%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150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1E62C8" w:rsidRDefault="001E62C8" w:rsidP="001E62C8">
                            <w:pPr>
                              <w:tabs>
                                <w:tab w:val="clear" w:pos="720"/>
                                <w:tab w:val="clear" w:pos="9360"/>
                              </w:tabs>
                              <w:rPr>
                                <w:rFonts w:ascii="Arial" w:hAnsi="Arial" w:cs="Arial"/>
                                <w:color w:val="000000"/>
                                <w:sz w:val="20"/>
                              </w:rPr>
                            </w:pPr>
                            <w:r w:rsidRPr="009755E6">
                              <w:rPr>
                                <w:rFonts w:ascii="Arial" w:hAnsi="Arial" w:cs="Arial"/>
                                <w:color w:val="000000"/>
                                <w:sz w:val="20"/>
                              </w:rPr>
                              <w:t>Soybeans</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42.6%</w:t>
                            </w:r>
                            <w:r w:rsidRPr="001E62C8">
                              <w:rPr>
                                <w:rFonts w:ascii="Arial" w:hAnsi="Arial" w:cs="Arial"/>
                                <w:color w:val="000000"/>
                                <w:sz w:val="20"/>
                                <w:vertAlign w:val="superscript"/>
                              </w:rPr>
                              <w:t>b</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12.5%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Pr>
                                <w:rFonts w:ascii="Arial" w:hAnsi="Arial" w:cs="Arial"/>
                                <w:color w:val="000000"/>
                                <w:sz w:val="20"/>
                              </w:rPr>
                              <w:t>42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1E62C8" w:rsidRDefault="001E62C8" w:rsidP="001E62C8">
                            <w:pPr>
                              <w:tabs>
                                <w:tab w:val="clear" w:pos="720"/>
                                <w:tab w:val="clear" w:pos="9360"/>
                              </w:tabs>
                              <w:jc w:val="center"/>
                              <w:rPr>
                                <w:rFonts w:ascii="Arial" w:hAnsi="Arial" w:cs="Arial"/>
                                <w:color w:val="000000"/>
                                <w:sz w:val="20"/>
                              </w:rPr>
                            </w:pPr>
                            <w:r w:rsidRPr="009755E6">
                              <w:rPr>
                                <w:rFonts w:ascii="Arial" w:hAnsi="Arial" w:cs="Arial"/>
                                <w:color w:val="000000"/>
                                <w:sz w:val="20"/>
                              </w:rPr>
                              <w:t>1.1</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Wheat</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45.6%</w:t>
                            </w:r>
                            <w:r w:rsidRPr="009755E6">
                              <w:rPr>
                                <w:rFonts w:ascii="Arial" w:hAnsi="Arial" w:cs="Arial"/>
                                <w:color w:val="000000"/>
                                <w:sz w:val="20"/>
                                <w:vertAlign w:val="superscript"/>
                              </w:rPr>
                              <w:t>c</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w:t>
                            </w:r>
                            <w:r>
                              <w:rPr>
                                <w:rFonts w:ascii="Arial" w:hAnsi="Arial" w:cs="Arial"/>
                                <w:color w:val="000000"/>
                                <w:sz w:val="20"/>
                              </w:rPr>
                              <w:t>4</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Alfalfa</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45.9%</w:t>
                            </w:r>
                            <w:r w:rsidRPr="009755E6">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3.7</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Cotton</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40</w:t>
                            </w:r>
                            <w:r>
                              <w:rPr>
                                <w:rFonts w:ascii="Arial" w:hAnsi="Arial" w:cs="Arial"/>
                                <w:color w:val="000000"/>
                                <w:sz w:val="20"/>
                              </w:rPr>
                              <w:t>.0</w:t>
                            </w:r>
                            <w:r w:rsidRPr="009755E6">
                              <w:rPr>
                                <w:rFonts w:ascii="Arial" w:hAnsi="Arial" w:cs="Arial"/>
                                <w:color w:val="000000"/>
                                <w:sz w:val="20"/>
                              </w:rPr>
                              <w:t>%</w:t>
                            </w:r>
                            <w:r w:rsidRPr="009755E6">
                              <w:rPr>
                                <w:rFonts w:ascii="Arial" w:hAnsi="Arial" w:cs="Arial"/>
                                <w:color w:val="000000"/>
                                <w:sz w:val="20"/>
                                <w:vertAlign w:val="superscript"/>
                              </w:rPr>
                              <w:t>g</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w:t>
                            </w:r>
                            <w:r>
                              <w:rPr>
                                <w:rFonts w:ascii="Arial" w:hAnsi="Arial" w:cs="Arial"/>
                                <w:color w:val="000000"/>
                                <w:sz w:val="20"/>
                              </w:rPr>
                              <w:t>.0</w:t>
                            </w:r>
                            <w:r w:rsidRPr="009755E6">
                              <w:rPr>
                                <w:rFonts w:ascii="Arial" w:hAnsi="Arial" w:cs="Arial"/>
                                <w:color w:val="000000"/>
                                <w:sz w:val="20"/>
                              </w:rPr>
                              <w:t>%</w:t>
                            </w:r>
                            <w:r w:rsidRPr="009755E6">
                              <w:rPr>
                                <w:rFonts w:ascii="Arial" w:hAnsi="Arial" w:cs="Arial"/>
                                <w:color w:val="000000"/>
                                <w:sz w:val="20"/>
                                <w:vertAlign w:val="superscript"/>
                              </w:rPr>
                              <w:t>g</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28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0.3</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Sorghum</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45.8%</w:t>
                            </w:r>
                            <w:r w:rsidRPr="009755E6">
                              <w:rPr>
                                <w:rFonts w:ascii="Arial" w:hAnsi="Arial" w:cs="Arial"/>
                                <w:color w:val="000000"/>
                                <w:sz w:val="20"/>
                                <w:vertAlign w:val="superscript"/>
                              </w:rPr>
                              <w:t>a</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14</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1.6</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Barley</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47.5%</w:t>
                            </w:r>
                            <w:r w:rsidRPr="009755E6">
                              <w:rPr>
                                <w:rFonts w:ascii="Arial" w:hAnsi="Arial" w:cs="Arial"/>
                                <w:color w:val="000000"/>
                                <w:sz w:val="20"/>
                                <w:vertAlign w:val="superscript"/>
                              </w:rPr>
                              <w:t>c</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14.5%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6</w:t>
                            </w:r>
                            <w:r>
                              <w:rPr>
                                <w:rFonts w:ascii="Arial" w:hAnsi="Arial" w:cs="Arial"/>
                                <w:color w:val="000000"/>
                                <w:sz w:val="20"/>
                              </w:rPr>
                              <w:t>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3.2</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Rice</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42.9%</w:t>
                            </w:r>
                            <w:r w:rsidRPr="009755E6">
                              <w:rPr>
                                <w:rFonts w:ascii="Arial" w:hAnsi="Arial" w:cs="Arial"/>
                                <w:color w:val="000000"/>
                                <w:sz w:val="20"/>
                                <w:vertAlign w:val="superscript"/>
                              </w:rPr>
                              <w:t>d</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157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1.3</w:t>
                            </w:r>
                          </w:p>
                        </w:tc>
                      </w:tr>
                      <w:tr w:rsidR="001E62C8" w:rsidRPr="009755E6" w:rsidTr="00E238FD">
                        <w:trPr>
                          <w:trHeight w:hRule="exact" w:val="288"/>
                        </w:trPr>
                        <w:tc>
                          <w:tcPr>
                            <w:tcW w:w="1571" w:type="dxa"/>
                            <w:tcBorders>
                              <w:top w:val="single" w:sz="6" w:space="0" w:color="000000"/>
                              <w:left w:val="single" w:sz="6" w:space="0" w:color="000000"/>
                              <w:bottom w:val="single" w:sz="6" w:space="0" w:color="000000"/>
                              <w:right w:val="single" w:sz="6" w:space="0" w:color="000000"/>
                            </w:tcBorders>
                            <w:tcMar>
                              <w:top w:w="45" w:type="dxa"/>
                              <w:left w:w="115" w:type="dxa"/>
                              <w:bottom w:w="45" w:type="dxa"/>
                              <w:right w:w="45" w:type="dxa"/>
                            </w:tcMar>
                            <w:vAlign w:val="center"/>
                            <w:hideMark/>
                          </w:tcPr>
                          <w:p w:rsidR="001E62C8" w:rsidRPr="009755E6" w:rsidRDefault="001E62C8" w:rsidP="001E62C8">
                            <w:pPr>
                              <w:tabs>
                                <w:tab w:val="clear" w:pos="720"/>
                                <w:tab w:val="clear" w:pos="9360"/>
                              </w:tabs>
                              <w:rPr>
                                <w:rFonts w:ascii="Arial" w:hAnsi="Arial" w:cs="Arial"/>
                                <w:sz w:val="20"/>
                              </w:rPr>
                            </w:pPr>
                            <w:r w:rsidRPr="009755E6">
                              <w:rPr>
                                <w:rFonts w:ascii="Arial" w:hAnsi="Arial" w:cs="Arial"/>
                                <w:color w:val="000000"/>
                                <w:sz w:val="20"/>
                              </w:rPr>
                              <w:t>Sunflower</w:t>
                            </w:r>
                          </w:p>
                        </w:tc>
                        <w:tc>
                          <w:tcPr>
                            <w:tcW w:w="18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43.7%</w:t>
                            </w:r>
                            <w:r w:rsidRPr="009755E6">
                              <w:rPr>
                                <w:rFonts w:ascii="Arial" w:hAnsi="Arial" w:cs="Arial"/>
                                <w:color w:val="000000"/>
                                <w:sz w:val="20"/>
                                <w:vertAlign w:val="superscript"/>
                              </w:rPr>
                              <w:t>e</w:t>
                            </w:r>
                          </w:p>
                        </w:tc>
                        <w:tc>
                          <w:tcPr>
                            <w:tcW w:w="193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8</w:t>
                            </w:r>
                            <w:r>
                              <w:rPr>
                                <w:rFonts w:ascii="Arial" w:hAnsi="Arial" w:cs="Arial"/>
                                <w:color w:val="000000"/>
                                <w:sz w:val="20"/>
                              </w:rPr>
                              <w:t>.0</w:t>
                            </w:r>
                            <w:r w:rsidRPr="009755E6">
                              <w:rPr>
                                <w:rFonts w:ascii="Arial" w:hAnsi="Arial" w:cs="Arial"/>
                                <w:color w:val="000000"/>
                                <w:sz w:val="20"/>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Pr>
                                <w:rFonts w:ascii="Arial" w:hAnsi="Arial" w:cs="Arial"/>
                                <w:color w:val="000000"/>
                                <w:sz w:val="20"/>
                              </w:rPr>
                              <w:t>45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hideMark/>
                          </w:tcPr>
                          <w:p w:rsidR="001E62C8" w:rsidRPr="009755E6" w:rsidRDefault="001E62C8" w:rsidP="001E62C8">
                            <w:pPr>
                              <w:tabs>
                                <w:tab w:val="clear" w:pos="720"/>
                                <w:tab w:val="clear" w:pos="9360"/>
                              </w:tabs>
                              <w:jc w:val="center"/>
                              <w:rPr>
                                <w:rFonts w:ascii="Arial" w:hAnsi="Arial" w:cs="Arial"/>
                                <w:sz w:val="20"/>
                              </w:rPr>
                            </w:pPr>
                            <w:r w:rsidRPr="009755E6">
                              <w:rPr>
                                <w:rFonts w:ascii="Arial" w:hAnsi="Arial" w:cs="Arial"/>
                                <w:color w:val="000000"/>
                                <w:sz w:val="20"/>
                              </w:rPr>
                              <w:t>0.7</w:t>
                            </w:r>
                          </w:p>
                        </w:tc>
                      </w:tr>
                    </w:tbl>
                    <w:p w:rsidR="002E7D3D" w:rsidRPr="008350EE" w:rsidRDefault="00AE5859" w:rsidP="005D6A63">
                      <w:pPr>
                        <w:tabs>
                          <w:tab w:val="clear" w:pos="720"/>
                        </w:tabs>
                        <w:spacing w:before="120" w:line="264" w:lineRule="auto"/>
                        <w:ind w:left="900" w:hanging="810"/>
                        <w:rPr>
                          <w:rFonts w:ascii="Arial" w:hAnsi="Arial" w:cs="Arial"/>
                          <w:sz w:val="18"/>
                          <w:szCs w:val="18"/>
                        </w:rPr>
                      </w:pPr>
                      <w:r>
                        <w:rPr>
                          <w:rFonts w:ascii="Arial" w:hAnsi="Arial" w:cs="Arial"/>
                          <w:sz w:val="18"/>
                          <w:szCs w:val="18"/>
                        </w:rPr>
                        <w:t xml:space="preserve">Sources:  </w:t>
                      </w:r>
                      <w:r w:rsidR="002E7D3D" w:rsidRPr="008350EE">
                        <w:rPr>
                          <w:rFonts w:ascii="Arial" w:hAnsi="Arial" w:cs="Arial"/>
                          <w:sz w:val="18"/>
                          <w:szCs w:val="18"/>
                        </w:rPr>
                        <w:t>a</w:t>
                      </w:r>
                      <w:r w:rsidR="002E7D3D">
                        <w:rPr>
                          <w:rFonts w:ascii="Arial" w:hAnsi="Arial" w:cs="Arial"/>
                          <w:sz w:val="18"/>
                          <w:szCs w:val="18"/>
                        </w:rPr>
                        <w:t>.</w:t>
                      </w:r>
                      <w:r w:rsidR="002E7D3D" w:rsidRPr="008350EE">
                        <w:rPr>
                          <w:rFonts w:ascii="Arial" w:hAnsi="Arial" w:cs="Arial"/>
                          <w:sz w:val="18"/>
                          <w:szCs w:val="18"/>
                        </w:rPr>
                        <w:t xml:space="preserve"> Clarke</w:t>
                      </w:r>
                      <w:r w:rsidR="002E7D3D">
                        <w:rPr>
                          <w:rFonts w:ascii="Arial" w:hAnsi="Arial" w:cs="Arial"/>
                          <w:sz w:val="18"/>
                          <w:szCs w:val="18"/>
                        </w:rPr>
                        <w:t xml:space="preserve"> </w:t>
                      </w:r>
                      <w:r w:rsidR="002E7D3D" w:rsidRPr="008350EE">
                        <w:rPr>
                          <w:rFonts w:ascii="Arial" w:hAnsi="Arial" w:cs="Arial"/>
                          <w:sz w:val="18"/>
                          <w:szCs w:val="18"/>
                        </w:rPr>
                        <w:t>&amp; Preto</w:t>
                      </w:r>
                      <w:r w:rsidR="002E7D3D">
                        <w:rPr>
                          <w:rFonts w:ascii="Arial" w:hAnsi="Arial" w:cs="Arial"/>
                          <w:sz w:val="18"/>
                          <w:szCs w:val="18"/>
                        </w:rPr>
                        <w:t xml:space="preserve"> (</w:t>
                      </w:r>
                      <w:r w:rsidR="002E7D3D" w:rsidRPr="008350EE">
                        <w:rPr>
                          <w:rFonts w:ascii="Arial" w:hAnsi="Arial" w:cs="Arial"/>
                          <w:sz w:val="18"/>
                          <w:szCs w:val="18"/>
                        </w:rPr>
                        <w:t>2011</w:t>
                      </w:r>
                      <w:r w:rsidR="002E7D3D">
                        <w:rPr>
                          <w:rFonts w:ascii="Arial" w:hAnsi="Arial" w:cs="Arial"/>
                          <w:sz w:val="18"/>
                          <w:szCs w:val="18"/>
                        </w:rPr>
                        <w:t>);</w:t>
                      </w:r>
                      <w:r w:rsidR="002E7D3D" w:rsidRPr="008350EE">
                        <w:rPr>
                          <w:rFonts w:ascii="Arial" w:hAnsi="Arial" w:cs="Arial"/>
                          <w:sz w:val="18"/>
                          <w:szCs w:val="18"/>
                        </w:rPr>
                        <w:t xml:space="preserve"> b</w:t>
                      </w:r>
                      <w:r w:rsidR="002E7D3D">
                        <w:rPr>
                          <w:rFonts w:ascii="Arial" w:hAnsi="Arial" w:cs="Arial"/>
                          <w:sz w:val="18"/>
                          <w:szCs w:val="18"/>
                        </w:rPr>
                        <w:t>.</w:t>
                      </w:r>
                      <w:r w:rsidR="002E7D3D" w:rsidRPr="008350EE">
                        <w:rPr>
                          <w:rFonts w:ascii="Arial" w:hAnsi="Arial" w:cs="Arial"/>
                          <w:sz w:val="18"/>
                          <w:szCs w:val="18"/>
                        </w:rPr>
                        <w:t xml:space="preserve"> </w:t>
                      </w:r>
                      <w:r w:rsidR="00241FEF">
                        <w:rPr>
                          <w:rFonts w:ascii="Arial" w:hAnsi="Arial" w:cs="Arial"/>
                          <w:sz w:val="18"/>
                          <w:szCs w:val="18"/>
                        </w:rPr>
                        <w:t xml:space="preserve">C. </w:t>
                      </w:r>
                      <w:r w:rsidR="002E7D3D" w:rsidRPr="008350EE">
                        <w:rPr>
                          <w:rFonts w:ascii="Arial" w:hAnsi="Arial" w:cs="Arial"/>
                          <w:sz w:val="18"/>
                          <w:szCs w:val="18"/>
                        </w:rPr>
                        <w:t>Wang</w:t>
                      </w:r>
                      <w:r w:rsidR="002E7D3D">
                        <w:rPr>
                          <w:rFonts w:ascii="Arial" w:hAnsi="Arial" w:cs="Arial"/>
                          <w:sz w:val="18"/>
                          <w:szCs w:val="18"/>
                        </w:rPr>
                        <w:t xml:space="preserve"> et al</w:t>
                      </w:r>
                      <w:r w:rsidR="002E7D3D" w:rsidRPr="008350EE">
                        <w:rPr>
                          <w:rFonts w:ascii="Arial" w:hAnsi="Arial" w:cs="Arial"/>
                          <w:sz w:val="18"/>
                          <w:szCs w:val="18"/>
                        </w:rPr>
                        <w:t xml:space="preserve"> </w:t>
                      </w:r>
                      <w:r w:rsidR="002E7D3D">
                        <w:rPr>
                          <w:rFonts w:ascii="Arial" w:hAnsi="Arial" w:cs="Arial"/>
                          <w:sz w:val="18"/>
                          <w:szCs w:val="18"/>
                        </w:rPr>
                        <w:t>(</w:t>
                      </w:r>
                      <w:r w:rsidR="002E7D3D" w:rsidRPr="008350EE">
                        <w:rPr>
                          <w:rFonts w:ascii="Arial" w:hAnsi="Arial" w:cs="Arial"/>
                          <w:sz w:val="18"/>
                          <w:szCs w:val="18"/>
                        </w:rPr>
                        <w:t>2012</w:t>
                      </w:r>
                      <w:r w:rsidR="002E7D3D">
                        <w:rPr>
                          <w:rFonts w:ascii="Arial" w:hAnsi="Arial" w:cs="Arial"/>
                          <w:sz w:val="18"/>
                          <w:szCs w:val="18"/>
                        </w:rPr>
                        <w:t>);</w:t>
                      </w:r>
                      <w:r w:rsidR="002E7D3D" w:rsidRPr="008350EE">
                        <w:rPr>
                          <w:rFonts w:ascii="Arial" w:hAnsi="Arial" w:cs="Arial"/>
                          <w:sz w:val="18"/>
                          <w:szCs w:val="18"/>
                        </w:rPr>
                        <w:t xml:space="preserve"> (c) Teagasc </w:t>
                      </w:r>
                      <w:r w:rsidR="002E7D3D">
                        <w:rPr>
                          <w:rFonts w:ascii="Arial" w:hAnsi="Arial" w:cs="Arial"/>
                          <w:sz w:val="18"/>
                          <w:szCs w:val="18"/>
                        </w:rPr>
                        <w:t>(</w:t>
                      </w:r>
                      <w:r w:rsidR="002E7D3D" w:rsidRPr="008350EE">
                        <w:rPr>
                          <w:rFonts w:ascii="Arial" w:hAnsi="Arial" w:cs="Arial"/>
                          <w:sz w:val="18"/>
                          <w:szCs w:val="18"/>
                        </w:rPr>
                        <w:t>2010</w:t>
                      </w:r>
                      <w:r w:rsidR="002E7D3D">
                        <w:rPr>
                          <w:rFonts w:ascii="Arial" w:hAnsi="Arial" w:cs="Arial"/>
                          <w:sz w:val="18"/>
                          <w:szCs w:val="18"/>
                        </w:rPr>
                        <w:t>)</w:t>
                      </w:r>
                      <w:r w:rsidR="002E7D3D" w:rsidRPr="008350EE">
                        <w:rPr>
                          <w:rFonts w:ascii="Arial" w:hAnsi="Arial" w:cs="Arial"/>
                          <w:sz w:val="18"/>
                          <w:szCs w:val="18"/>
                        </w:rPr>
                        <w:t xml:space="preserve">. (d) </w:t>
                      </w:r>
                      <w:r w:rsidR="00241FEF">
                        <w:rPr>
                          <w:rFonts w:ascii="Arial" w:hAnsi="Arial" w:cs="Arial"/>
                          <w:sz w:val="18"/>
                          <w:szCs w:val="18"/>
                        </w:rPr>
                        <w:t xml:space="preserve">He </w:t>
                      </w:r>
                      <w:r w:rsidR="002E7D3D">
                        <w:rPr>
                          <w:rFonts w:ascii="Arial" w:hAnsi="Arial" w:cs="Arial"/>
                          <w:sz w:val="18"/>
                          <w:szCs w:val="18"/>
                        </w:rPr>
                        <w:t>et al</w:t>
                      </w:r>
                      <w:r w:rsidR="002E7D3D" w:rsidRPr="008350EE">
                        <w:rPr>
                          <w:rFonts w:ascii="Arial" w:hAnsi="Arial" w:cs="Arial"/>
                          <w:sz w:val="18"/>
                          <w:szCs w:val="18"/>
                        </w:rPr>
                        <w:t xml:space="preserve"> </w:t>
                      </w:r>
                      <w:r w:rsidR="002E7D3D">
                        <w:rPr>
                          <w:rFonts w:ascii="Arial" w:hAnsi="Arial" w:cs="Arial"/>
                          <w:sz w:val="18"/>
                          <w:szCs w:val="18"/>
                        </w:rPr>
                        <w:t>(</w:t>
                      </w:r>
                      <w:r w:rsidR="002E7D3D" w:rsidRPr="008350EE">
                        <w:rPr>
                          <w:rFonts w:ascii="Arial" w:hAnsi="Arial" w:cs="Arial"/>
                          <w:sz w:val="18"/>
                          <w:szCs w:val="18"/>
                        </w:rPr>
                        <w:t>2005</w:t>
                      </w:r>
                      <w:r w:rsidR="002E7D3D">
                        <w:rPr>
                          <w:rFonts w:ascii="Arial" w:hAnsi="Arial" w:cs="Arial"/>
                          <w:sz w:val="18"/>
                          <w:szCs w:val="18"/>
                        </w:rPr>
                        <w:t>);</w:t>
                      </w:r>
                      <w:r w:rsidR="002E7D3D" w:rsidRPr="008350EE">
                        <w:rPr>
                          <w:rFonts w:ascii="Arial" w:hAnsi="Arial" w:cs="Arial"/>
                          <w:sz w:val="18"/>
                          <w:szCs w:val="18"/>
                        </w:rPr>
                        <w:t xml:space="preserve"> </w:t>
                      </w:r>
                      <w:r w:rsidR="002E7D3D">
                        <w:rPr>
                          <w:rFonts w:ascii="Arial" w:hAnsi="Arial" w:cs="Arial"/>
                          <w:sz w:val="18"/>
                          <w:szCs w:val="18"/>
                        </w:rPr>
                        <w:br/>
                      </w:r>
                      <w:r w:rsidR="002E7D3D" w:rsidRPr="008350EE">
                        <w:rPr>
                          <w:rFonts w:ascii="Arial" w:hAnsi="Arial" w:cs="Arial"/>
                          <w:sz w:val="18"/>
                          <w:szCs w:val="18"/>
                        </w:rPr>
                        <w:t>e</w:t>
                      </w:r>
                      <w:r w:rsidR="002E7D3D">
                        <w:rPr>
                          <w:rFonts w:ascii="Arial" w:hAnsi="Arial" w:cs="Arial"/>
                          <w:sz w:val="18"/>
                          <w:szCs w:val="18"/>
                        </w:rPr>
                        <w:t>.</w:t>
                      </w:r>
                      <w:r w:rsidR="002E7D3D" w:rsidRPr="008350EE">
                        <w:rPr>
                          <w:rFonts w:ascii="Arial" w:hAnsi="Arial" w:cs="Arial"/>
                          <w:sz w:val="18"/>
                          <w:szCs w:val="18"/>
                        </w:rPr>
                        <w:t xml:space="preserve"> European Combustion Meeting</w:t>
                      </w:r>
                      <w:r w:rsidR="002E7D3D">
                        <w:rPr>
                          <w:rFonts w:ascii="Arial" w:hAnsi="Arial" w:cs="Arial"/>
                          <w:sz w:val="18"/>
                          <w:szCs w:val="18"/>
                        </w:rPr>
                        <w:t xml:space="preserve"> (</w:t>
                      </w:r>
                      <w:r w:rsidR="002E7D3D" w:rsidRPr="008350EE">
                        <w:rPr>
                          <w:rFonts w:ascii="Arial" w:hAnsi="Arial" w:cs="Arial"/>
                          <w:sz w:val="18"/>
                          <w:szCs w:val="18"/>
                        </w:rPr>
                        <w:t>2015</w:t>
                      </w:r>
                      <w:r w:rsidR="002E7D3D">
                        <w:rPr>
                          <w:rFonts w:ascii="Arial" w:hAnsi="Arial" w:cs="Arial"/>
                          <w:sz w:val="18"/>
                          <w:szCs w:val="18"/>
                        </w:rPr>
                        <w:t>);</w:t>
                      </w:r>
                      <w:r w:rsidR="002E7D3D" w:rsidRPr="008350EE">
                        <w:rPr>
                          <w:rFonts w:ascii="Arial" w:hAnsi="Arial" w:cs="Arial"/>
                          <w:sz w:val="18"/>
                          <w:szCs w:val="18"/>
                        </w:rPr>
                        <w:t xml:space="preserve"> f</w:t>
                      </w:r>
                      <w:r w:rsidR="002E7D3D">
                        <w:rPr>
                          <w:rFonts w:ascii="Arial" w:hAnsi="Arial" w:cs="Arial"/>
                          <w:sz w:val="18"/>
                          <w:szCs w:val="18"/>
                        </w:rPr>
                        <w:t>.</w:t>
                      </w:r>
                      <w:r w:rsidR="002E7D3D" w:rsidRPr="008350EE">
                        <w:rPr>
                          <w:rFonts w:ascii="Arial" w:hAnsi="Arial" w:cs="Arial"/>
                          <w:sz w:val="18"/>
                          <w:szCs w:val="18"/>
                        </w:rPr>
                        <w:t xml:space="preserve"> </w:t>
                      </w:r>
                      <w:r w:rsidR="005D6A63">
                        <w:rPr>
                          <w:rFonts w:ascii="Arial" w:hAnsi="Arial" w:cs="Arial"/>
                          <w:sz w:val="18"/>
                          <w:szCs w:val="18"/>
                        </w:rPr>
                        <w:t xml:space="preserve">derived from </w:t>
                      </w:r>
                      <w:r w:rsidR="002E7D3D">
                        <w:rPr>
                          <w:rFonts w:ascii="Arial" w:hAnsi="Arial" w:cs="Arial"/>
                          <w:sz w:val="18"/>
                          <w:szCs w:val="18"/>
                        </w:rPr>
                        <w:t xml:space="preserve">USDA </w:t>
                      </w:r>
                      <w:r w:rsidR="002E7D3D" w:rsidRPr="008350EE">
                        <w:rPr>
                          <w:rFonts w:ascii="Arial" w:hAnsi="Arial" w:cs="Arial"/>
                          <w:sz w:val="18"/>
                          <w:szCs w:val="18"/>
                        </w:rPr>
                        <w:t>NASS</w:t>
                      </w:r>
                      <w:r w:rsidR="005D6A63">
                        <w:rPr>
                          <w:rFonts w:ascii="Arial" w:hAnsi="Arial" w:cs="Arial"/>
                          <w:sz w:val="18"/>
                          <w:szCs w:val="18"/>
                        </w:rPr>
                        <w:t xml:space="preserve"> unless otherwise indicated</w:t>
                      </w:r>
                      <w:r w:rsidR="002E7D3D">
                        <w:rPr>
                          <w:rFonts w:ascii="Arial" w:hAnsi="Arial" w:cs="Arial"/>
                          <w:sz w:val="18"/>
                          <w:szCs w:val="18"/>
                        </w:rPr>
                        <w:t>;</w:t>
                      </w:r>
                      <w:r w:rsidR="002E7D3D" w:rsidRPr="008350EE">
                        <w:rPr>
                          <w:rFonts w:ascii="Arial" w:hAnsi="Arial" w:cs="Arial"/>
                          <w:sz w:val="18"/>
                          <w:szCs w:val="18"/>
                        </w:rPr>
                        <w:t xml:space="preserve"> </w:t>
                      </w:r>
                      <w:r>
                        <w:rPr>
                          <w:rFonts w:ascii="Arial" w:hAnsi="Arial" w:cs="Arial"/>
                          <w:sz w:val="18"/>
                          <w:szCs w:val="18"/>
                        </w:rPr>
                        <w:br/>
                      </w:r>
                      <w:r w:rsidR="002E7D3D" w:rsidRPr="008350EE">
                        <w:rPr>
                          <w:rFonts w:ascii="Arial" w:hAnsi="Arial" w:cs="Arial"/>
                          <w:sz w:val="18"/>
                          <w:szCs w:val="18"/>
                        </w:rPr>
                        <w:t>g</w:t>
                      </w:r>
                      <w:r w:rsidR="002E7D3D">
                        <w:rPr>
                          <w:rFonts w:ascii="Arial" w:hAnsi="Arial" w:cs="Arial"/>
                          <w:sz w:val="18"/>
                          <w:szCs w:val="18"/>
                        </w:rPr>
                        <w:t>.</w:t>
                      </w:r>
                      <w:r w:rsidR="002E7D3D" w:rsidRPr="008350EE">
                        <w:rPr>
                          <w:rFonts w:ascii="Arial" w:hAnsi="Arial" w:cs="Arial"/>
                          <w:sz w:val="18"/>
                          <w:szCs w:val="18"/>
                        </w:rPr>
                        <w:t xml:space="preserve"> Hegde et al </w:t>
                      </w:r>
                      <w:r w:rsidR="002E7D3D">
                        <w:rPr>
                          <w:rFonts w:ascii="Arial" w:hAnsi="Arial" w:cs="Arial"/>
                          <w:sz w:val="18"/>
                          <w:szCs w:val="18"/>
                        </w:rPr>
                        <w:t>(</w:t>
                      </w:r>
                      <w:r w:rsidR="002E7D3D" w:rsidRPr="008350EE">
                        <w:rPr>
                          <w:rFonts w:ascii="Arial" w:hAnsi="Arial" w:cs="Arial"/>
                          <w:sz w:val="18"/>
                          <w:szCs w:val="18"/>
                        </w:rPr>
                        <w:t>2004</w:t>
                      </w:r>
                      <w:r w:rsidR="005D6A63">
                        <w:rPr>
                          <w:rFonts w:ascii="Arial" w:hAnsi="Arial" w:cs="Arial"/>
                          <w:sz w:val="18"/>
                          <w:szCs w:val="18"/>
                        </w:rPr>
                        <w:t>)</w:t>
                      </w:r>
                      <w:r w:rsidR="002E7D3D">
                        <w:rPr>
                          <w:rFonts w:ascii="Arial" w:hAnsi="Arial" w:cs="Arial"/>
                          <w:sz w:val="18"/>
                          <w:szCs w:val="18"/>
                        </w:rPr>
                        <w:t>.</w:t>
                      </w:r>
                      <w:r w:rsidR="002E7D3D" w:rsidRPr="008350EE">
                        <w:rPr>
                          <w:rFonts w:ascii="Arial" w:hAnsi="Arial" w:cs="Arial"/>
                          <w:sz w:val="18"/>
                          <w:szCs w:val="18"/>
                        </w:rPr>
                        <w:t xml:space="preserve"> </w:t>
                      </w:r>
                    </w:p>
                  </w:txbxContent>
                </v:textbox>
                <w10:wrap type="square" anchorx="margin" anchory="margin"/>
              </v:shape>
            </w:pict>
          </mc:Fallback>
        </mc:AlternateContent>
      </w:r>
      <w:r w:rsidR="002E7D3D">
        <w:t>Carbon harvest</w:t>
      </w:r>
    </w:p>
    <w:p w:rsidR="002E7D3D" w:rsidRPr="004023EE" w:rsidRDefault="002E7D3D" w:rsidP="002E7D3D">
      <w:pPr>
        <w:tabs>
          <w:tab w:val="clear" w:pos="720"/>
          <w:tab w:val="clear" w:pos="9360"/>
        </w:tabs>
        <w:spacing w:line="360" w:lineRule="auto"/>
      </w:pPr>
      <w:r>
        <w:rPr>
          <w:color w:val="000000"/>
          <w:szCs w:val="24"/>
        </w:rPr>
        <w:t xml:space="preserve">Using these composition parameters, </w:t>
      </w:r>
      <w:r>
        <w:t>t</w:t>
      </w:r>
      <w:r w:rsidRPr="0087553A">
        <w:t xml:space="preserve">he carbon </w:t>
      </w:r>
      <w:r w:rsidR="000601A5">
        <w:t xml:space="preserve">embodied </w:t>
      </w:r>
      <w:r w:rsidRPr="0087553A">
        <w:t xml:space="preserve">in </w:t>
      </w:r>
      <w:r>
        <w:t xml:space="preserve">a </w:t>
      </w:r>
      <w:r w:rsidRPr="0087553A">
        <w:t>crop harves</w:t>
      </w:r>
      <w:r>
        <w:t xml:space="preserve">t is computed as: </w:t>
      </w:r>
    </w:p>
    <w:p w:rsidR="002E7D3D" w:rsidRPr="000601A5" w:rsidRDefault="002E7D3D" w:rsidP="002E7D3D">
      <w:pPr>
        <w:tabs>
          <w:tab w:val="clear" w:pos="720"/>
          <w:tab w:val="clear" w:pos="9360"/>
        </w:tabs>
        <w:spacing w:line="360" w:lineRule="auto"/>
        <w:ind w:firstLine="720"/>
        <w:rPr>
          <w:szCs w:val="24"/>
        </w:rPr>
      </w:pPr>
      <w:r w:rsidRPr="0087553A">
        <w:rPr>
          <w:color w:val="000000"/>
          <w:szCs w:val="24"/>
        </w:rPr>
        <w:t>H</w:t>
      </w:r>
      <w:r w:rsidRPr="0087553A">
        <w:rPr>
          <w:color w:val="000000"/>
          <w:szCs w:val="24"/>
          <w:vertAlign w:val="subscript"/>
        </w:rPr>
        <w:t>i</w:t>
      </w:r>
      <w:r w:rsidRPr="0087553A">
        <w:rPr>
          <w:color w:val="000000"/>
          <w:szCs w:val="24"/>
        </w:rPr>
        <w:t xml:space="preserve"> = </w:t>
      </w:r>
      <w:r>
        <w:rPr>
          <w:color w:val="000000"/>
          <w:szCs w:val="24"/>
        </w:rPr>
        <w:t>Q</w:t>
      </w:r>
      <w:r w:rsidRPr="0087553A">
        <w:rPr>
          <w:color w:val="000000"/>
          <w:szCs w:val="24"/>
          <w:vertAlign w:val="subscript"/>
        </w:rPr>
        <w:t>i</w:t>
      </w:r>
      <w:r w:rsidRPr="0087553A">
        <w:rPr>
          <w:color w:val="000000"/>
          <w:szCs w:val="24"/>
        </w:rPr>
        <w:t xml:space="preserve"> x (1 - M</w:t>
      </w:r>
      <w:r w:rsidRPr="0087553A">
        <w:rPr>
          <w:color w:val="000000"/>
          <w:szCs w:val="24"/>
          <w:vertAlign w:val="subscript"/>
        </w:rPr>
        <w:t>i</w:t>
      </w:r>
      <w:r w:rsidRPr="0087553A">
        <w:rPr>
          <w:color w:val="000000"/>
          <w:szCs w:val="24"/>
        </w:rPr>
        <w:t>) x C</w:t>
      </w:r>
      <w:r w:rsidRPr="0087553A">
        <w:rPr>
          <w:color w:val="000000"/>
          <w:szCs w:val="24"/>
          <w:vertAlign w:val="subscript"/>
        </w:rPr>
        <w:t>i</w:t>
      </w:r>
      <w:r w:rsidR="000601A5">
        <w:rPr>
          <w:color w:val="000000"/>
          <w:szCs w:val="24"/>
        </w:rPr>
        <w:t xml:space="preserve"> </w:t>
      </w:r>
    </w:p>
    <w:p w:rsidR="002E7D3D" w:rsidRPr="0087553A" w:rsidRDefault="002E7D3D" w:rsidP="002E7D3D">
      <w:pPr>
        <w:tabs>
          <w:tab w:val="clear" w:pos="720"/>
          <w:tab w:val="clear" w:pos="9360"/>
        </w:tabs>
        <w:spacing w:line="360" w:lineRule="auto"/>
        <w:rPr>
          <w:szCs w:val="24"/>
        </w:rPr>
      </w:pPr>
      <w:r>
        <w:rPr>
          <w:color w:val="000000"/>
          <w:szCs w:val="24"/>
        </w:rPr>
        <w:t xml:space="preserve">where </w:t>
      </w:r>
    </w:p>
    <w:p w:rsidR="002E7D3D" w:rsidRPr="004023EE" w:rsidRDefault="002E7D3D" w:rsidP="002E7D3D">
      <w:pPr>
        <w:tabs>
          <w:tab w:val="clear" w:pos="720"/>
          <w:tab w:val="clear" w:pos="9360"/>
        </w:tabs>
        <w:spacing w:line="360" w:lineRule="auto"/>
        <w:ind w:firstLine="720"/>
        <w:rPr>
          <w:color w:val="000000"/>
          <w:szCs w:val="24"/>
        </w:rPr>
      </w:pPr>
      <w:r w:rsidRPr="0087553A">
        <w:rPr>
          <w:color w:val="000000"/>
          <w:szCs w:val="24"/>
        </w:rPr>
        <w:t>H</w:t>
      </w:r>
      <w:r w:rsidRPr="00802546">
        <w:rPr>
          <w:color w:val="000000"/>
          <w:szCs w:val="24"/>
          <w:vertAlign w:val="subscript"/>
        </w:rPr>
        <w:t>i</w:t>
      </w:r>
      <w:r>
        <w:rPr>
          <w:color w:val="000000"/>
          <w:szCs w:val="24"/>
        </w:rPr>
        <w:t xml:space="preserve"> =</w:t>
      </w:r>
      <w:r w:rsidRPr="0087553A">
        <w:rPr>
          <w:color w:val="000000"/>
          <w:szCs w:val="24"/>
        </w:rPr>
        <w:t xml:space="preserve"> Carbon present in crop i’s harvest</w:t>
      </w:r>
    </w:p>
    <w:p w:rsidR="002E7D3D" w:rsidRPr="004023EE" w:rsidRDefault="002E7D3D" w:rsidP="002E7D3D">
      <w:pPr>
        <w:tabs>
          <w:tab w:val="clear" w:pos="720"/>
          <w:tab w:val="clear" w:pos="9360"/>
        </w:tabs>
        <w:spacing w:line="360" w:lineRule="auto"/>
        <w:ind w:firstLine="720"/>
        <w:rPr>
          <w:color w:val="000000"/>
          <w:szCs w:val="24"/>
        </w:rPr>
      </w:pPr>
      <w:r>
        <w:rPr>
          <w:color w:val="000000"/>
          <w:szCs w:val="24"/>
        </w:rPr>
        <w:t>Q</w:t>
      </w:r>
      <w:r w:rsidRPr="00802546">
        <w:rPr>
          <w:color w:val="000000"/>
          <w:szCs w:val="24"/>
          <w:vertAlign w:val="subscript"/>
        </w:rPr>
        <w:t>i</w:t>
      </w:r>
      <w:r w:rsidRPr="0087553A">
        <w:rPr>
          <w:color w:val="000000"/>
          <w:szCs w:val="24"/>
        </w:rPr>
        <w:t xml:space="preserve"> </w:t>
      </w:r>
      <w:r>
        <w:rPr>
          <w:color w:val="000000"/>
          <w:szCs w:val="24"/>
        </w:rPr>
        <w:t>=</w:t>
      </w:r>
      <w:r w:rsidRPr="0087553A">
        <w:rPr>
          <w:color w:val="000000"/>
          <w:szCs w:val="24"/>
        </w:rPr>
        <w:t xml:space="preserve"> Annual </w:t>
      </w:r>
      <w:r>
        <w:rPr>
          <w:color w:val="000000"/>
          <w:szCs w:val="24"/>
        </w:rPr>
        <w:t xml:space="preserve">quantity of crop </w:t>
      </w:r>
      <w:r w:rsidRPr="0087553A">
        <w:rPr>
          <w:color w:val="000000"/>
          <w:szCs w:val="24"/>
        </w:rPr>
        <w:t>product</w:t>
      </w:r>
      <w:r>
        <w:rPr>
          <w:color w:val="000000"/>
          <w:szCs w:val="24"/>
        </w:rPr>
        <w:t>ion (in Mg, i.e., metric tons)</w:t>
      </w:r>
    </w:p>
    <w:p w:rsidR="002E7D3D" w:rsidRPr="0087553A" w:rsidRDefault="002E7D3D" w:rsidP="002E7D3D">
      <w:pPr>
        <w:tabs>
          <w:tab w:val="clear" w:pos="720"/>
          <w:tab w:val="clear" w:pos="9360"/>
        </w:tabs>
        <w:spacing w:line="360" w:lineRule="auto"/>
        <w:ind w:firstLine="720"/>
        <w:rPr>
          <w:szCs w:val="24"/>
        </w:rPr>
      </w:pPr>
      <w:r w:rsidRPr="0087553A">
        <w:rPr>
          <w:color w:val="000000"/>
          <w:szCs w:val="24"/>
        </w:rPr>
        <w:t>M</w:t>
      </w:r>
      <w:r w:rsidRPr="00802546">
        <w:rPr>
          <w:color w:val="000000"/>
          <w:szCs w:val="24"/>
          <w:vertAlign w:val="subscript"/>
        </w:rPr>
        <w:t>i</w:t>
      </w:r>
      <w:r w:rsidRPr="0087553A">
        <w:rPr>
          <w:color w:val="000000"/>
          <w:szCs w:val="24"/>
        </w:rPr>
        <w:t xml:space="preserve"> </w:t>
      </w:r>
      <w:r>
        <w:rPr>
          <w:color w:val="000000"/>
          <w:szCs w:val="24"/>
        </w:rPr>
        <w:t>=</w:t>
      </w:r>
      <w:r w:rsidRPr="0087553A">
        <w:rPr>
          <w:color w:val="000000"/>
          <w:szCs w:val="24"/>
        </w:rPr>
        <w:t xml:space="preserve"> Percent moisture present crop i </w:t>
      </w:r>
    </w:p>
    <w:p w:rsidR="002E7D3D" w:rsidRPr="0087553A" w:rsidRDefault="002E7D3D" w:rsidP="002E7D3D">
      <w:pPr>
        <w:tabs>
          <w:tab w:val="clear" w:pos="720"/>
          <w:tab w:val="clear" w:pos="9360"/>
        </w:tabs>
        <w:spacing w:line="360" w:lineRule="auto"/>
        <w:ind w:firstLine="720"/>
        <w:rPr>
          <w:szCs w:val="24"/>
        </w:rPr>
      </w:pPr>
      <w:r w:rsidRPr="0087553A">
        <w:rPr>
          <w:color w:val="000000"/>
          <w:szCs w:val="24"/>
        </w:rPr>
        <w:t>C</w:t>
      </w:r>
      <w:r w:rsidRPr="0087553A">
        <w:rPr>
          <w:color w:val="000000"/>
          <w:szCs w:val="24"/>
          <w:vertAlign w:val="subscript"/>
        </w:rPr>
        <w:t>i</w:t>
      </w:r>
      <w:r w:rsidRPr="0087553A">
        <w:rPr>
          <w:color w:val="000000"/>
          <w:szCs w:val="24"/>
        </w:rPr>
        <w:t xml:space="preserve"> </w:t>
      </w:r>
      <w:r>
        <w:rPr>
          <w:color w:val="000000"/>
          <w:szCs w:val="24"/>
        </w:rPr>
        <w:t>=</w:t>
      </w:r>
      <w:r w:rsidRPr="0087553A">
        <w:rPr>
          <w:color w:val="000000"/>
          <w:szCs w:val="24"/>
        </w:rPr>
        <w:t xml:space="preserve"> Percent carbon present in </w:t>
      </w:r>
      <w:r>
        <w:rPr>
          <w:color w:val="000000"/>
          <w:szCs w:val="24"/>
        </w:rPr>
        <w:t xml:space="preserve">dry matter of </w:t>
      </w:r>
      <w:r w:rsidRPr="0087553A">
        <w:rPr>
          <w:color w:val="000000"/>
          <w:szCs w:val="24"/>
        </w:rPr>
        <w:t xml:space="preserve">crop i </w:t>
      </w:r>
    </w:p>
    <w:p w:rsidR="002E7D3D" w:rsidRDefault="002E7D3D" w:rsidP="002E7D3D">
      <w:pPr>
        <w:pStyle w:val="BodyText"/>
        <w:rPr>
          <w:szCs w:val="24"/>
        </w:rPr>
      </w:pPr>
      <w:r>
        <w:rPr>
          <w:szCs w:val="24"/>
        </w:rPr>
        <w:t>Applying this formula to Q</w:t>
      </w:r>
      <w:r>
        <w:rPr>
          <w:szCs w:val="24"/>
          <w:vertAlign w:val="subscript"/>
        </w:rPr>
        <w:t>i</w:t>
      </w:r>
      <w:r>
        <w:rPr>
          <w:szCs w:val="24"/>
        </w:rPr>
        <w:t xml:space="preserve"> </w:t>
      </w:r>
      <w:r w:rsidR="009201B8">
        <w:rPr>
          <w:szCs w:val="24"/>
        </w:rPr>
        <w:t>values</w:t>
      </w:r>
      <w:r>
        <w:rPr>
          <w:szCs w:val="24"/>
        </w:rPr>
        <w:t xml:space="preserve"> </w:t>
      </w:r>
      <w:r w:rsidR="009201B8">
        <w:rPr>
          <w:szCs w:val="24"/>
        </w:rPr>
        <w:t xml:space="preserve">obtained </w:t>
      </w:r>
      <w:r>
        <w:rPr>
          <w:szCs w:val="24"/>
        </w:rPr>
        <w:t xml:space="preserve">from the ACP reports </w:t>
      </w:r>
      <w:r w:rsidR="000601A5">
        <w:rPr>
          <w:szCs w:val="24"/>
        </w:rPr>
        <w:t xml:space="preserve">yields the </w:t>
      </w:r>
      <w:r>
        <w:rPr>
          <w:szCs w:val="24"/>
        </w:rPr>
        <w:t>estimates of carbon harvest</w:t>
      </w:r>
      <w:r w:rsidR="000601A5">
        <w:rPr>
          <w:szCs w:val="24"/>
        </w:rPr>
        <w:t xml:space="preserve"> that</w:t>
      </w:r>
      <w:r>
        <w:rPr>
          <w:szCs w:val="24"/>
        </w:rPr>
        <w:t xml:space="preserve"> are shown in Figure 3 in the main text. </w:t>
      </w:r>
    </w:p>
    <w:p w:rsidR="0063650D" w:rsidRDefault="0063650D" w:rsidP="0063650D">
      <w:pPr>
        <w:pStyle w:val="Heading1"/>
      </w:pPr>
      <w:r>
        <w:t>A.</w:t>
      </w:r>
      <w:r w:rsidR="00DA13F3">
        <w:t xml:space="preserve">3  </w:t>
      </w:r>
      <w:r>
        <w:t>Comparing material carbon and direct process emissions flows</w:t>
      </w:r>
    </w:p>
    <w:p w:rsidR="00815DCF" w:rsidRDefault="00815DCF" w:rsidP="00815DCF">
      <w:pPr>
        <w:pStyle w:val="BodyText"/>
      </w:pPr>
      <w:r>
        <w:t xml:space="preserve">The </w:t>
      </w:r>
      <w:r w:rsidR="00CC7F06">
        <w:t xml:space="preserve">significance of </w:t>
      </w:r>
      <w:r w:rsidR="000D2471">
        <w:t xml:space="preserve">the </w:t>
      </w:r>
      <w:r>
        <w:t xml:space="preserve">material carbon flows evaluated by ABC accounting </w:t>
      </w:r>
      <w:r w:rsidR="00CC7F06">
        <w:t xml:space="preserve">in comparison to </w:t>
      </w:r>
      <w:r>
        <w:t>the process GHG emission</w:t>
      </w:r>
      <w:r w:rsidR="000D2471">
        <w:t xml:space="preserve"> flows evaluated </w:t>
      </w:r>
      <w:r>
        <w:t xml:space="preserve">by conventional LCA can be seen by </w:t>
      </w:r>
      <w:r w:rsidR="00CC7F06">
        <w:t xml:space="preserve">using </w:t>
      </w:r>
      <w:r>
        <w:t xml:space="preserve">estimates </w:t>
      </w:r>
      <w:r w:rsidR="00CC7F06">
        <w:t xml:space="preserve">derived from EPA's process emissions factors as described above. </w:t>
      </w:r>
      <w:r>
        <w:t xml:space="preserve">This analysis is </w:t>
      </w:r>
      <w:r w:rsidRPr="00815DCF">
        <w:t xml:space="preserve">summarized </w:t>
      </w:r>
      <w:r>
        <w:t xml:space="preserve">here </w:t>
      </w:r>
      <w:r w:rsidRPr="00815DCF">
        <w:t xml:space="preserve">Table </w:t>
      </w:r>
      <w:r>
        <w:t>A</w:t>
      </w:r>
      <w:r w:rsidRPr="00815DCF">
        <w:t xml:space="preserve">2 for the base </w:t>
      </w:r>
      <w:r>
        <w:t xml:space="preserve">(2005) and final </w:t>
      </w:r>
      <w:r w:rsidR="000D2471">
        <w:t xml:space="preserve">year </w:t>
      </w:r>
      <w:r>
        <w:t xml:space="preserve">(2013) </w:t>
      </w:r>
      <w:r w:rsidRPr="00815DCF">
        <w:t>of the evaluation period</w:t>
      </w:r>
      <w:r>
        <w:t xml:space="preserve">, </w:t>
      </w:r>
      <w:r w:rsidR="000D2471">
        <w:t xml:space="preserve">with </w:t>
      </w:r>
      <w:r>
        <w:t xml:space="preserve">the last column of the table showing the </w:t>
      </w:r>
      <w:r w:rsidR="000D2471">
        <w:t xml:space="preserve">change </w:t>
      </w:r>
      <w:r>
        <w:t>between these two years</w:t>
      </w:r>
      <w:r w:rsidRPr="00815DCF">
        <w:t>.</w:t>
      </w:r>
      <w:r>
        <w:t xml:space="preserve"> </w:t>
      </w:r>
    </w:p>
    <w:p w:rsidR="00981C1C" w:rsidRDefault="000D2471" w:rsidP="00493A3D">
      <w:pPr>
        <w:pStyle w:val="BodyText"/>
        <w:rPr>
          <w:color w:val="000000"/>
        </w:rPr>
      </w:pPr>
      <w:r>
        <w:rPr>
          <w:color w:val="000000"/>
        </w:rPr>
        <w:t xml:space="preserve">The first line of Table A2 gives the carbon harvest </w:t>
      </w:r>
      <w:r w:rsidR="00F36562">
        <w:rPr>
          <w:color w:val="000000"/>
        </w:rPr>
        <w:t xml:space="preserve">evaluated as above and </w:t>
      </w:r>
      <w:r>
        <w:rPr>
          <w:color w:val="000000"/>
        </w:rPr>
        <w:t>shown in Figure 2</w:t>
      </w:r>
      <w:r w:rsidR="00F36562">
        <w:rPr>
          <w:color w:val="000000"/>
        </w:rPr>
        <w:t xml:space="preserve"> of the paper</w:t>
      </w:r>
      <w:r>
        <w:rPr>
          <w:color w:val="000000"/>
        </w:rPr>
        <w:t>. It is tabulated as a debit, i.e., a negative emission, in contrast to discharges into the atmosphere which are shown as positive numbers. The next three lines of the table give the GHG emissions associated with fuel processing, starting with the biogenic CO</w:t>
      </w:r>
      <w:r>
        <w:rPr>
          <w:color w:val="000000"/>
          <w:vertAlign w:val="subscript"/>
        </w:rPr>
        <w:t>2</w:t>
      </w:r>
      <w:r>
        <w:rPr>
          <w:color w:val="000000"/>
        </w:rPr>
        <w:t xml:space="preserve"> emitted during fermentation. Other biofuel-related process emissions include CO</w:t>
      </w:r>
      <w:r>
        <w:rPr>
          <w:color w:val="000000"/>
          <w:vertAlign w:val="subscript"/>
        </w:rPr>
        <w:t>2</w:t>
      </w:r>
      <w:r>
        <w:rPr>
          <w:color w:val="000000"/>
        </w:rPr>
        <w:t xml:space="preserve"> and other greenhouse gases </w:t>
      </w:r>
      <w:r>
        <w:rPr>
          <w:color w:val="000000"/>
        </w:rPr>
        <w:lastRenderedPageBreak/>
        <w:t>(such as N</w:t>
      </w:r>
      <w:r w:rsidRPr="008E325A">
        <w:rPr>
          <w:color w:val="000000"/>
          <w:vertAlign w:val="subscript"/>
        </w:rPr>
        <w:t>2</w:t>
      </w:r>
      <w:r>
        <w:rPr>
          <w:color w:val="000000"/>
        </w:rPr>
        <w:t xml:space="preserve">O from farm soils) from farming, biorefining and inputs to biofuel supply chains such as electricity, fertilizer, fossil fuels used in farming, feedstock and fuel transportation and other processing activities. These emissions rose from 3.1 TgC/yr to 10.3 TgC/yr over 2005-2013. Process emissions from petroleum fuel production dropped by roughly 10 TgC/yr, reflecting the displacement of gasoline and diesel by ethanol and biodiesel as well as </w:t>
      </w:r>
      <w:r w:rsidR="00F36562">
        <w:rPr>
          <w:color w:val="000000"/>
        </w:rPr>
        <w:t xml:space="preserve">the </w:t>
      </w:r>
      <w:r>
        <w:rPr>
          <w:color w:val="000000"/>
        </w:rPr>
        <w:t xml:space="preserve">drop in fuel demand over the period. The </w:t>
      </w:r>
      <w:r w:rsidR="00F36562">
        <w:rPr>
          <w:color w:val="000000"/>
        </w:rPr>
        <w:t xml:space="preserve">next </w:t>
      </w:r>
      <w:r>
        <w:rPr>
          <w:color w:val="000000"/>
        </w:rPr>
        <w:t>line gives vehicle tailpipe CO</w:t>
      </w:r>
      <w:r>
        <w:rPr>
          <w:color w:val="000000"/>
          <w:vertAlign w:val="subscript"/>
        </w:rPr>
        <w:t>2</w:t>
      </w:r>
      <w:r>
        <w:rPr>
          <w:color w:val="000000"/>
        </w:rPr>
        <w:t xml:space="preserve"> emissions. </w:t>
      </w:r>
    </w:p>
    <w:p w:rsidR="00981C1C" w:rsidRDefault="000D2471" w:rsidP="00493A3D">
      <w:pPr>
        <w:pStyle w:val="BodyText"/>
        <w:rPr>
          <w:color w:val="000000"/>
        </w:rPr>
      </w:pPr>
      <w:r>
        <w:rPr>
          <w:color w:val="000000"/>
        </w:rPr>
        <w:t xml:space="preserve">The </w:t>
      </w:r>
      <w:r w:rsidR="00981C1C">
        <w:rPr>
          <w:color w:val="000000"/>
        </w:rPr>
        <w:t xml:space="preserve">last line in part (a) of the table is the </w:t>
      </w:r>
      <w:r>
        <w:rPr>
          <w:color w:val="000000"/>
        </w:rPr>
        <w:t>vehicle-fuel system total</w:t>
      </w:r>
      <w:r w:rsidR="00981C1C">
        <w:rPr>
          <w:color w:val="000000"/>
        </w:rPr>
        <w:t>,</w:t>
      </w:r>
      <w:r>
        <w:rPr>
          <w:color w:val="000000"/>
        </w:rPr>
        <w:t xml:space="preserve"> </w:t>
      </w:r>
      <w:r w:rsidR="00981C1C">
        <w:rPr>
          <w:color w:val="000000"/>
        </w:rPr>
        <w:t xml:space="preserve">representing </w:t>
      </w:r>
      <w:r>
        <w:rPr>
          <w:color w:val="000000"/>
        </w:rPr>
        <w:t>the sum of direct GHG exchanges with the atmosphere including the CO</w:t>
      </w:r>
      <w:r>
        <w:rPr>
          <w:color w:val="000000"/>
          <w:vertAlign w:val="subscript"/>
        </w:rPr>
        <w:t>2</w:t>
      </w:r>
      <w:r>
        <w:rPr>
          <w:color w:val="000000"/>
        </w:rPr>
        <w:t xml:space="preserve"> uptake (negative emissions) on cropland. </w:t>
      </w:r>
      <w:r w:rsidR="00F36562">
        <w:rPr>
          <w:color w:val="000000"/>
        </w:rPr>
        <w:t>Net emissions fell from 375 TgC/yr in 2005 to 337 TgC/yr in 2013, i.e., by 38 TgC/yr (about 10%) over the period. More than half of this drop (</w:t>
      </w:r>
      <w:r w:rsidR="00F36562" w:rsidRPr="00C84972">
        <w:rPr>
          <w:color w:val="000000"/>
        </w:rPr>
        <w:t>22.6</w:t>
      </w:r>
      <w:r w:rsidR="00F36562">
        <w:rPr>
          <w:color w:val="000000"/>
        </w:rPr>
        <w:t xml:space="preserve"> TgC/yr) is due to lower fuel demand. The rest is from changes in other carbon flows to and from the system, including gains in CO</w:t>
      </w:r>
      <w:r w:rsidR="00F36562">
        <w:rPr>
          <w:color w:val="000000"/>
          <w:vertAlign w:val="subscript"/>
        </w:rPr>
        <w:t>2</w:t>
      </w:r>
      <w:r w:rsidR="00F36562">
        <w:rPr>
          <w:color w:val="000000"/>
        </w:rPr>
        <w:t xml:space="preserve"> uptake on cropland as well as reductions in the flows of fixed carbon imported and exported across the vehicle-fuel system boundary. </w:t>
      </w:r>
    </w:p>
    <w:p w:rsidR="000D2471" w:rsidRPr="00815DCF" w:rsidRDefault="00F36562" w:rsidP="00493A3D">
      <w:pPr>
        <w:pStyle w:val="BodyText"/>
      </w:pPr>
      <w:r>
        <w:rPr>
          <w:color w:val="000000"/>
        </w:rPr>
        <w:t xml:space="preserve">These fixed carbon flows are shown in </w:t>
      </w:r>
      <w:r w:rsidR="00981C1C">
        <w:rPr>
          <w:color w:val="000000"/>
        </w:rPr>
        <w:t xml:space="preserve">part </w:t>
      </w:r>
      <w:r>
        <w:rPr>
          <w:color w:val="000000"/>
        </w:rPr>
        <w:t xml:space="preserve">(b) of Table </w:t>
      </w:r>
      <w:r w:rsidR="00981C1C">
        <w:rPr>
          <w:color w:val="000000"/>
        </w:rPr>
        <w:t>A</w:t>
      </w:r>
      <w:r>
        <w:rPr>
          <w:color w:val="000000"/>
        </w:rPr>
        <w:t>2. Although the carbon input as CO</w:t>
      </w:r>
      <w:r>
        <w:rPr>
          <w:color w:val="000000"/>
          <w:vertAlign w:val="subscript"/>
        </w:rPr>
        <w:t>2</w:t>
      </w:r>
      <w:r>
        <w:rPr>
          <w:color w:val="000000"/>
        </w:rPr>
        <w:t xml:space="preserve"> from the atmosphere rose by </w:t>
      </w:r>
      <w:r w:rsidR="00981C1C">
        <w:rPr>
          <w:color w:val="000000"/>
        </w:rPr>
        <w:t>19.8</w:t>
      </w:r>
      <w:r>
        <w:rPr>
          <w:color w:val="000000"/>
        </w:rPr>
        <w:t xml:space="preserve"> TgC/yr, the net flow of fixed carbon into the system fell by 44</w:t>
      </w:r>
      <w:r w:rsidR="00981C1C">
        <w:rPr>
          <w:color w:val="000000"/>
        </w:rPr>
        <w:t>.3</w:t>
      </w:r>
      <w:r>
        <w:rPr>
          <w:color w:val="000000"/>
        </w:rPr>
        <w:t xml:space="preserve"> TgC/yr, as shown in the last cell of the table. </w:t>
      </w:r>
      <w:r w:rsidR="00981C1C">
        <w:rPr>
          <w:color w:val="000000"/>
        </w:rPr>
        <w:t>This value is the difference between the 49.2 TgC/yr drop in fossil fuel input and the 4.8 TgC/yr reduction in biomass outputs from the system. Thus, t</w:t>
      </w:r>
      <w:r>
        <w:rPr>
          <w:color w:val="000000"/>
        </w:rPr>
        <w:t xml:space="preserve">he net overall rate at which carbon entered the system </w:t>
      </w:r>
      <w:r w:rsidR="00981C1C">
        <w:rPr>
          <w:color w:val="000000"/>
        </w:rPr>
        <w:t xml:space="preserve">as </w:t>
      </w:r>
      <w:r>
        <w:rPr>
          <w:color w:val="000000"/>
        </w:rPr>
        <w:t xml:space="preserve">both </w:t>
      </w:r>
      <w:r w:rsidR="00981C1C">
        <w:rPr>
          <w:color w:val="000000"/>
        </w:rPr>
        <w:t>CO</w:t>
      </w:r>
      <w:r w:rsidR="00981C1C">
        <w:rPr>
          <w:color w:val="000000"/>
          <w:vertAlign w:val="subscript"/>
        </w:rPr>
        <w:t>2</w:t>
      </w:r>
      <w:r w:rsidR="00981C1C">
        <w:rPr>
          <w:color w:val="000000"/>
        </w:rPr>
        <w:t xml:space="preserve"> from </w:t>
      </w:r>
      <w:r>
        <w:rPr>
          <w:color w:val="000000"/>
        </w:rPr>
        <w:t xml:space="preserve">the atmosphere and </w:t>
      </w:r>
      <w:r w:rsidR="00981C1C">
        <w:rPr>
          <w:color w:val="000000"/>
        </w:rPr>
        <w:t xml:space="preserve">as net fixed carbon </w:t>
      </w:r>
      <w:r w:rsidR="00AB6CCA">
        <w:rPr>
          <w:color w:val="000000"/>
        </w:rPr>
        <w:t>(</w:t>
      </w:r>
      <w:r>
        <w:rPr>
          <w:color w:val="000000"/>
        </w:rPr>
        <w:t xml:space="preserve">fossil </w:t>
      </w:r>
      <w:r w:rsidR="00AB6CCA">
        <w:rPr>
          <w:color w:val="000000"/>
        </w:rPr>
        <w:t xml:space="preserve">input minus </w:t>
      </w:r>
      <w:r w:rsidR="00981C1C">
        <w:rPr>
          <w:color w:val="000000"/>
        </w:rPr>
        <w:t>biomass output</w:t>
      </w:r>
      <w:r w:rsidR="00AB6CCA">
        <w:rPr>
          <w:color w:val="000000"/>
        </w:rPr>
        <w:t>)</w:t>
      </w:r>
      <w:r>
        <w:rPr>
          <w:color w:val="000000"/>
        </w:rPr>
        <w:t xml:space="preserve"> </w:t>
      </w:r>
      <w:r w:rsidR="00981C1C">
        <w:rPr>
          <w:color w:val="000000"/>
        </w:rPr>
        <w:t xml:space="preserve">decreased </w:t>
      </w:r>
      <w:r>
        <w:rPr>
          <w:color w:val="000000"/>
        </w:rPr>
        <w:t>by 24 TgC/yr</w:t>
      </w:r>
      <w:r w:rsidR="00981C1C">
        <w:rPr>
          <w:color w:val="000000"/>
        </w:rPr>
        <w:t xml:space="preserve"> (the rounded difference of 44.3 minus 19.8, not shown in the table)</w:t>
      </w:r>
      <w:r>
        <w:rPr>
          <w:color w:val="000000"/>
        </w:rPr>
        <w:t xml:space="preserve">. </w:t>
      </w:r>
    </w:p>
    <w:p w:rsidR="00C400BE" w:rsidRDefault="00C400BE" w:rsidP="00C400BE">
      <w:pPr>
        <w:pStyle w:val="Heading1"/>
      </w:pPr>
      <w:r>
        <w:t>A.</w:t>
      </w:r>
      <w:r w:rsidR="0063650D">
        <w:t>4</w:t>
      </w:r>
      <w:r w:rsidR="00DA13F3">
        <w:t xml:space="preserve">  </w:t>
      </w:r>
      <w:r>
        <w:t>Soil Carbon</w:t>
      </w:r>
      <w:r w:rsidR="00DA13F3">
        <w:t xml:space="preserve"> and Other Factors</w:t>
      </w:r>
    </w:p>
    <w:p w:rsidR="00DA13F3" w:rsidRDefault="00812701" w:rsidP="00F62465">
      <w:pPr>
        <w:pStyle w:val="BodyText"/>
      </w:pPr>
      <w:r>
        <w:rPr>
          <w:noProof/>
        </w:rPr>
        <mc:AlternateContent>
          <mc:Choice Requires="wps">
            <w:drawing>
              <wp:anchor distT="0" distB="0" distL="114300" distR="114300" simplePos="0" relativeHeight="251663360" behindDoc="0" locked="0" layoutInCell="1" allowOverlap="1" wp14:anchorId="5964477C" wp14:editId="77174F76">
                <wp:simplePos x="0" y="0"/>
                <wp:positionH relativeFrom="margin">
                  <wp:posOffset>0</wp:posOffset>
                </wp:positionH>
                <wp:positionV relativeFrom="margin">
                  <wp:posOffset>0</wp:posOffset>
                </wp:positionV>
                <wp:extent cx="5989320" cy="318325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989320" cy="3183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7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55"/>
                              <w:gridCol w:w="1260"/>
                              <w:gridCol w:w="1260"/>
                              <w:gridCol w:w="1350"/>
                            </w:tblGrid>
                            <w:tr w:rsidR="00812701" w:rsidRPr="00F80969" w:rsidTr="00F80969">
                              <w:trPr>
                                <w:trHeight w:val="360"/>
                              </w:trPr>
                              <w:tc>
                                <w:tcPr>
                                  <w:tcW w:w="8725" w:type="dxa"/>
                                  <w:gridSpan w:val="4"/>
                                  <w:tcBorders>
                                    <w:top w:val="single" w:sz="4" w:space="0" w:color="auto"/>
                                    <w:bottom w:val="single" w:sz="4" w:space="0" w:color="auto"/>
                                  </w:tcBorders>
                                  <w:shd w:val="clear" w:color="auto" w:fill="auto"/>
                                  <w:noWrap/>
                                  <w:vAlign w:val="center"/>
                                </w:tcPr>
                                <w:p w:rsidR="00812701" w:rsidRPr="00F80969" w:rsidRDefault="00812701" w:rsidP="00812701">
                                  <w:pPr>
                                    <w:tabs>
                                      <w:tab w:val="clear" w:pos="720"/>
                                      <w:tab w:val="clear" w:pos="9360"/>
                                    </w:tabs>
                                    <w:spacing w:before="60" w:after="60"/>
                                    <w:rPr>
                                      <w:rFonts w:ascii="Arial" w:hAnsi="Arial" w:cs="Arial"/>
                                      <w:b/>
                                      <w:sz w:val="20"/>
                                    </w:rPr>
                                  </w:pPr>
                                  <w:r w:rsidRPr="00F80969">
                                    <w:rPr>
                                      <w:rFonts w:ascii="Arial" w:hAnsi="Arial" w:cs="Arial"/>
                                      <w:b/>
                                      <w:sz w:val="20"/>
                                    </w:rPr>
                                    <w:t xml:space="preserve">Table </w:t>
                                  </w:r>
                                  <w:r>
                                    <w:rPr>
                                      <w:rFonts w:ascii="Arial" w:hAnsi="Arial" w:cs="Arial"/>
                                      <w:b/>
                                      <w:sz w:val="20"/>
                                    </w:rPr>
                                    <w:t>A</w:t>
                                  </w:r>
                                  <w:r w:rsidRPr="00F80969">
                                    <w:rPr>
                                      <w:rFonts w:ascii="Arial" w:hAnsi="Arial" w:cs="Arial"/>
                                      <w:b/>
                                      <w:sz w:val="20"/>
                                    </w:rPr>
                                    <w:t xml:space="preserve">2. </w:t>
                                  </w:r>
                                  <w:r>
                                    <w:rPr>
                                      <w:rFonts w:ascii="Arial" w:hAnsi="Arial" w:cs="Arial"/>
                                      <w:b/>
                                      <w:sz w:val="20"/>
                                    </w:rPr>
                                    <w:t xml:space="preserve">Summary </w:t>
                                  </w:r>
                                  <w:r w:rsidRPr="00F80969">
                                    <w:rPr>
                                      <w:rFonts w:ascii="Arial" w:hAnsi="Arial" w:cs="Arial"/>
                                      <w:b/>
                                      <w:sz w:val="20"/>
                                    </w:rPr>
                                    <w:t xml:space="preserve">of vehicle-fuel system ABC analysis </w:t>
                                  </w:r>
                                  <w:r>
                                    <w:rPr>
                                      <w:rFonts w:ascii="Arial" w:hAnsi="Arial" w:cs="Arial"/>
                                      <w:b/>
                                      <w:sz w:val="20"/>
                                    </w:rPr>
                                    <w:t xml:space="preserve">for </w:t>
                                  </w:r>
                                  <w:r w:rsidRPr="00F80969">
                                    <w:rPr>
                                      <w:rFonts w:ascii="Arial" w:hAnsi="Arial" w:cs="Arial"/>
                                      <w:b/>
                                      <w:sz w:val="20"/>
                                    </w:rPr>
                                    <w:t>2005 and 2013</w:t>
                                  </w:r>
                                </w:p>
                              </w:tc>
                            </w:tr>
                            <w:tr w:rsidR="00812701" w:rsidRPr="00F80969" w:rsidTr="003062CB">
                              <w:trPr>
                                <w:trHeight w:val="360"/>
                              </w:trPr>
                              <w:tc>
                                <w:tcPr>
                                  <w:tcW w:w="7375" w:type="dxa"/>
                                  <w:gridSpan w:val="3"/>
                                  <w:tcBorders>
                                    <w:top w:val="single" w:sz="4" w:space="0" w:color="auto"/>
                                    <w:bottom w:val="nil"/>
                                  </w:tcBorders>
                                  <w:shd w:val="clear" w:color="auto" w:fill="auto"/>
                                  <w:noWrap/>
                                  <w:vAlign w:val="center"/>
                                  <w:hideMark/>
                                </w:tcPr>
                                <w:p w:rsidR="00812701" w:rsidRPr="00F80969" w:rsidRDefault="00812701" w:rsidP="00F36562">
                                  <w:pPr>
                                    <w:tabs>
                                      <w:tab w:val="clear" w:pos="720"/>
                                      <w:tab w:val="clear" w:pos="9360"/>
                                    </w:tabs>
                                    <w:rPr>
                                      <w:rFonts w:ascii="Arial" w:hAnsi="Arial" w:cs="Arial"/>
                                      <w:b/>
                                      <w:sz w:val="20"/>
                                    </w:rPr>
                                  </w:pPr>
                                  <w:r w:rsidRPr="00F80969">
                                    <w:rPr>
                                      <w:rFonts w:ascii="Arial" w:hAnsi="Arial" w:cs="Arial"/>
                                      <w:b/>
                                      <w:sz w:val="20"/>
                                    </w:rPr>
                                    <w:t>(a) GHG exchange with the atmosphere</w:t>
                                  </w:r>
                                  <w:r w:rsidRPr="00F36562">
                                    <w:rPr>
                                      <w:rFonts w:ascii="Arial" w:hAnsi="Arial" w:cs="Arial"/>
                                      <w:sz w:val="20"/>
                                    </w:rPr>
                                    <w:t xml:space="preserve"> </w:t>
                                  </w:r>
                                  <w:r w:rsidR="00F36562">
                                    <w:rPr>
                                      <w:rFonts w:ascii="Arial" w:hAnsi="Arial" w:cs="Arial"/>
                                      <w:sz w:val="20"/>
                                    </w:rPr>
                                    <w:t>(</w:t>
                                  </w:r>
                                  <w:r w:rsidRPr="00F36562">
                                    <w:rPr>
                                      <w:rFonts w:ascii="Arial" w:hAnsi="Arial" w:cs="Arial"/>
                                      <w:sz w:val="20"/>
                                    </w:rPr>
                                    <w:t>TgC/yr</w:t>
                                  </w:r>
                                  <w:r w:rsidR="00F36562">
                                    <w:rPr>
                                      <w:rFonts w:ascii="Arial" w:hAnsi="Arial" w:cs="Arial"/>
                                      <w:sz w:val="20"/>
                                    </w:rPr>
                                    <w:t>)</w:t>
                                  </w:r>
                                </w:p>
                              </w:tc>
                              <w:tc>
                                <w:tcPr>
                                  <w:tcW w:w="1350" w:type="dxa"/>
                                  <w:tcBorders>
                                    <w:top w:val="single" w:sz="4" w:space="0" w:color="auto"/>
                                    <w:bottom w:val="nil"/>
                                  </w:tcBorders>
                                  <w:shd w:val="clear" w:color="auto" w:fill="auto"/>
                                  <w:noWrap/>
                                  <w:vAlign w:val="center"/>
                                  <w:hideMark/>
                                </w:tcPr>
                                <w:p w:rsidR="00812701" w:rsidRPr="00DB2F44" w:rsidRDefault="00812701" w:rsidP="00F36562">
                                  <w:pPr>
                                    <w:tabs>
                                      <w:tab w:val="clear" w:pos="720"/>
                                      <w:tab w:val="clear" w:pos="9360"/>
                                    </w:tabs>
                                    <w:ind w:right="72"/>
                                    <w:jc w:val="right"/>
                                    <w:rPr>
                                      <w:rFonts w:ascii="Arial" w:hAnsi="Arial" w:cs="Arial"/>
                                      <w:sz w:val="20"/>
                                    </w:rPr>
                                  </w:pPr>
                                  <w:r w:rsidRPr="00DB2F44">
                                    <w:rPr>
                                      <w:rFonts w:ascii="Arial" w:hAnsi="Arial" w:cs="Arial"/>
                                      <w:sz w:val="20"/>
                                    </w:rPr>
                                    <w:t>Change</w:t>
                                  </w:r>
                                </w:p>
                              </w:tc>
                            </w:tr>
                            <w:tr w:rsidR="00812701" w:rsidRPr="00F80969" w:rsidTr="00F36562">
                              <w:trPr>
                                <w:trHeight w:val="172"/>
                              </w:trPr>
                              <w:tc>
                                <w:tcPr>
                                  <w:tcW w:w="4855"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Pr>
                                      <w:rFonts w:ascii="Arial" w:hAnsi="Arial" w:cs="Arial"/>
                                      <w:sz w:val="20"/>
                                    </w:rPr>
                                    <w:t xml:space="preserve">     </w:t>
                                  </w:r>
                                  <w:r w:rsidRPr="00F80969">
                                    <w:rPr>
                                      <w:rFonts w:ascii="Arial" w:hAnsi="Arial" w:cs="Arial"/>
                                      <w:sz w:val="20"/>
                                    </w:rPr>
                                    <w:t>(emissions positive, uptake negative)</w:t>
                                  </w:r>
                                </w:p>
                              </w:tc>
                              <w:tc>
                                <w:tcPr>
                                  <w:tcW w:w="1260"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2005</w:t>
                                  </w:r>
                                </w:p>
                              </w:tc>
                              <w:tc>
                                <w:tcPr>
                                  <w:tcW w:w="1260"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2013</w:t>
                                  </w:r>
                                </w:p>
                              </w:tc>
                              <w:tc>
                                <w:tcPr>
                                  <w:tcW w:w="1350" w:type="dxa"/>
                                  <w:tcBorders>
                                    <w:top w:val="nil"/>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2005-13</w:t>
                                  </w:r>
                                </w:p>
                              </w:tc>
                            </w:tr>
                            <w:tr w:rsidR="00812701" w:rsidRPr="00F80969" w:rsidTr="00F36562">
                              <w:trPr>
                                <w:trHeight w:val="360"/>
                              </w:trPr>
                              <w:tc>
                                <w:tcPr>
                                  <w:tcW w:w="4855"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Harvest carbon uptake</w:t>
                                  </w:r>
                                </w:p>
                              </w:tc>
                              <w:tc>
                                <w:tcPr>
                                  <w:tcW w:w="1260"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(195.5)</w:t>
                                  </w:r>
                                </w:p>
                              </w:tc>
                              <w:tc>
                                <w:tcPr>
                                  <w:tcW w:w="1260"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(215.4)</w:t>
                                  </w:r>
                                </w:p>
                              </w:tc>
                              <w:tc>
                                <w:tcPr>
                                  <w:tcW w:w="1350" w:type="dxa"/>
                                  <w:tcBorders>
                                    <w:top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(19.8)</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biogenic</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10.2</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7.1</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other biofuel related</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10.3</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7.2</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petroleum fuels</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109.2</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99.3</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(9.9)</w:t>
                                  </w:r>
                                </w:p>
                              </w:tc>
                            </w:tr>
                            <w:tr w:rsidR="00812701" w:rsidRPr="00F80969" w:rsidTr="00F36562">
                              <w:trPr>
                                <w:trHeight w:val="360"/>
                              </w:trPr>
                              <w:tc>
                                <w:tcPr>
                                  <w:tcW w:w="4855" w:type="dxa"/>
                                  <w:tcBorders>
                                    <w:bottom w:val="single" w:sz="4" w:space="0" w:color="auto"/>
                                  </w:tcBorders>
                                  <w:shd w:val="clear" w:color="auto" w:fill="auto"/>
                                  <w:noWrap/>
                                  <w:vAlign w:val="center"/>
                                  <w:hideMark/>
                                </w:tcPr>
                                <w:p w:rsidR="00812701" w:rsidRPr="00F80969" w:rsidRDefault="00812701" w:rsidP="00CA13C5">
                                  <w:pPr>
                                    <w:tabs>
                                      <w:tab w:val="clear" w:pos="720"/>
                                      <w:tab w:val="clear" w:pos="9360"/>
                                    </w:tabs>
                                    <w:rPr>
                                      <w:rFonts w:ascii="Arial" w:hAnsi="Arial" w:cs="Arial"/>
                                      <w:sz w:val="20"/>
                                    </w:rPr>
                                  </w:pPr>
                                  <w:r w:rsidRPr="00F80969">
                                    <w:rPr>
                                      <w:rFonts w:ascii="Arial" w:hAnsi="Arial" w:cs="Arial"/>
                                      <w:sz w:val="20"/>
                                    </w:rPr>
                                    <w:t>Vehicle tailpipe (end-use) emissions</w:t>
                                  </w:r>
                                </w:p>
                              </w:tc>
                              <w:tc>
                                <w:tcPr>
                                  <w:tcW w:w="1260" w:type="dxa"/>
                                  <w:tcBorders>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455.0</w:t>
                                  </w:r>
                                </w:p>
                              </w:tc>
                              <w:tc>
                                <w:tcPr>
                                  <w:tcW w:w="1260" w:type="dxa"/>
                                  <w:tcBorders>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432.5</w:t>
                                  </w:r>
                                </w:p>
                              </w:tc>
                              <w:tc>
                                <w:tcPr>
                                  <w:tcW w:w="1350" w:type="dxa"/>
                                  <w:tcBorders>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(22.6)</w:t>
                                  </w:r>
                                </w:p>
                              </w:tc>
                            </w:tr>
                            <w:tr w:rsidR="00812701" w:rsidRPr="00F80969" w:rsidTr="00F36562">
                              <w:trPr>
                                <w:trHeight w:val="360"/>
                              </w:trPr>
                              <w:tc>
                                <w:tcPr>
                                  <w:tcW w:w="4855"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Vehicle-fuel system total</w:t>
                                  </w:r>
                                </w:p>
                              </w:tc>
                              <w:tc>
                                <w:tcPr>
                                  <w:tcW w:w="1260"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374.9</w:t>
                                  </w:r>
                                </w:p>
                              </w:tc>
                              <w:tc>
                                <w:tcPr>
                                  <w:tcW w:w="1260"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337.0</w:t>
                                  </w:r>
                                </w:p>
                              </w:tc>
                              <w:tc>
                                <w:tcPr>
                                  <w:tcW w:w="1350" w:type="dxa"/>
                                  <w:tcBorders>
                                    <w:top w:val="single" w:sz="4" w:space="0" w:color="auto"/>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(38.0)</w:t>
                                  </w:r>
                                </w:p>
                              </w:tc>
                            </w:tr>
                            <w:tr w:rsidR="00812701" w:rsidRPr="00F80969" w:rsidTr="00F36562">
                              <w:trPr>
                                <w:trHeight w:val="360"/>
                              </w:trPr>
                              <w:tc>
                                <w:tcPr>
                                  <w:tcW w:w="8725" w:type="dxa"/>
                                  <w:gridSpan w:val="4"/>
                                  <w:tcBorders>
                                    <w:top w:val="single" w:sz="4" w:space="0" w:color="auto"/>
                                  </w:tcBorders>
                                  <w:shd w:val="clear" w:color="auto" w:fill="auto"/>
                                  <w:noWrap/>
                                  <w:tcMar>
                                    <w:left w:w="115" w:type="dxa"/>
                                    <w:right w:w="144" w:type="dxa"/>
                                  </w:tcMar>
                                  <w:vAlign w:val="center"/>
                                </w:tcPr>
                                <w:p w:rsidR="00812701" w:rsidRPr="00F80969" w:rsidRDefault="00812701" w:rsidP="00F36562">
                                  <w:pPr>
                                    <w:tabs>
                                      <w:tab w:val="clear" w:pos="720"/>
                                      <w:tab w:val="clear" w:pos="9360"/>
                                    </w:tabs>
                                    <w:ind w:right="72"/>
                                    <w:rPr>
                                      <w:rFonts w:ascii="Arial" w:hAnsi="Arial" w:cs="Arial"/>
                                      <w:sz w:val="20"/>
                                    </w:rPr>
                                  </w:pPr>
                                  <w:r w:rsidRPr="00F80969">
                                    <w:rPr>
                                      <w:rFonts w:ascii="Arial" w:hAnsi="Arial" w:cs="Arial"/>
                                      <w:sz w:val="20"/>
                                    </w:rPr>
                                    <w:t>(</w:t>
                                  </w:r>
                                  <w:r w:rsidRPr="00F80969">
                                    <w:rPr>
                                      <w:rFonts w:ascii="Arial" w:hAnsi="Arial" w:cs="Arial"/>
                                      <w:b/>
                                      <w:sz w:val="20"/>
                                    </w:rPr>
                                    <w:t>b) Exchanges of fixed carbon with external systems</w:t>
                                  </w:r>
                                  <w:r>
                                    <w:rPr>
                                      <w:rFonts w:ascii="Arial" w:hAnsi="Arial" w:cs="Arial"/>
                                      <w:b/>
                                      <w:sz w:val="20"/>
                                    </w:rPr>
                                    <w:t xml:space="preserve"> </w:t>
                                  </w:r>
                                  <w:r w:rsidR="00F36562" w:rsidRPr="00F36562">
                                    <w:rPr>
                                      <w:rFonts w:ascii="Arial" w:hAnsi="Arial" w:cs="Arial"/>
                                      <w:sz w:val="20"/>
                                    </w:rPr>
                                    <w:t>(</w:t>
                                  </w:r>
                                  <w:r w:rsidRPr="00F36562">
                                    <w:rPr>
                                      <w:rFonts w:ascii="Arial" w:hAnsi="Arial" w:cs="Arial"/>
                                      <w:sz w:val="20"/>
                                    </w:rPr>
                                    <w:t>TgC/yr</w:t>
                                  </w:r>
                                  <w:r w:rsidR="00F36562" w:rsidRPr="00F36562">
                                    <w:rPr>
                                      <w:rFonts w:ascii="Arial" w:hAnsi="Arial" w:cs="Arial"/>
                                      <w:sz w:val="20"/>
                                    </w:rPr>
                                    <w:t>)</w:t>
                                  </w:r>
                                </w:p>
                              </w:tc>
                            </w:tr>
                            <w:tr w:rsidR="00812701" w:rsidRPr="00F80969" w:rsidTr="00F36562">
                              <w:trPr>
                                <w:trHeight w:val="360"/>
                              </w:trPr>
                              <w:tc>
                                <w:tcPr>
                                  <w:tcW w:w="4855" w:type="dxa"/>
                                  <w:tcBorders>
                                    <w:bottom w:val="nil"/>
                                  </w:tcBorders>
                                  <w:shd w:val="clear" w:color="auto" w:fill="auto"/>
                                  <w:noWrap/>
                                  <w:vAlign w:val="center"/>
                                </w:tcPr>
                                <w:p w:rsidR="00812701" w:rsidRPr="00F80969" w:rsidRDefault="00812701" w:rsidP="00F80969">
                                  <w:pPr>
                                    <w:tabs>
                                      <w:tab w:val="clear" w:pos="720"/>
                                      <w:tab w:val="clear" w:pos="9360"/>
                                    </w:tabs>
                                    <w:rPr>
                                      <w:rFonts w:ascii="Arial" w:hAnsi="Arial" w:cs="Arial"/>
                                      <w:sz w:val="20"/>
                                    </w:rPr>
                                  </w:pPr>
                                  <w:r w:rsidRPr="00F80969">
                                    <w:rPr>
                                      <w:rFonts w:ascii="Arial" w:hAnsi="Arial" w:cs="Arial"/>
                                      <w:sz w:val="20"/>
                                    </w:rPr>
                                    <w:t>Biogenic carbon output</w:t>
                                  </w:r>
                                  <w:r w:rsidRPr="00F80969">
                                    <w:rPr>
                                      <w:rFonts w:ascii="Arial" w:hAnsi="Arial" w:cs="Arial"/>
                                      <w:sz w:val="20"/>
                                    </w:rPr>
                                    <w:tab/>
                                  </w:r>
                                </w:p>
                              </w:tc>
                              <w:tc>
                                <w:tcPr>
                                  <w:tcW w:w="1260" w:type="dxa"/>
                                  <w:tcBorders>
                                    <w:bottom w:val="nil"/>
                                  </w:tcBorders>
                                  <w:shd w:val="clear" w:color="auto" w:fill="auto"/>
                                  <w:noWrap/>
                                  <w:vAlign w:val="center"/>
                                </w:tcPr>
                                <w:p w:rsidR="00812701" w:rsidRPr="00F80969" w:rsidRDefault="00A818A3" w:rsidP="00A818A3">
                                  <w:pPr>
                                    <w:tabs>
                                      <w:tab w:val="clear" w:pos="720"/>
                                      <w:tab w:val="clear" w:pos="9360"/>
                                    </w:tabs>
                                    <w:jc w:val="right"/>
                                    <w:rPr>
                                      <w:rFonts w:ascii="Arial" w:hAnsi="Arial" w:cs="Arial"/>
                                      <w:sz w:val="20"/>
                                    </w:rPr>
                                  </w:pPr>
                                  <w:r w:rsidRPr="00F80969">
                                    <w:rPr>
                                      <w:rFonts w:ascii="Arial" w:hAnsi="Arial" w:cs="Arial"/>
                                      <w:sz w:val="20"/>
                                    </w:rPr>
                                    <w:t>185.9</w:t>
                                  </w:r>
                                </w:p>
                              </w:tc>
                              <w:tc>
                                <w:tcPr>
                                  <w:tcW w:w="1260" w:type="dxa"/>
                                  <w:tcBorders>
                                    <w:bottom w:val="nil"/>
                                  </w:tcBorders>
                                  <w:shd w:val="clear" w:color="auto" w:fill="auto"/>
                                  <w:noWrap/>
                                  <w:vAlign w:val="center"/>
                                </w:tcPr>
                                <w:p w:rsidR="00812701" w:rsidRPr="00F80969" w:rsidRDefault="00A818A3" w:rsidP="00F80969">
                                  <w:pPr>
                                    <w:tabs>
                                      <w:tab w:val="clear" w:pos="720"/>
                                      <w:tab w:val="clear" w:pos="9360"/>
                                    </w:tabs>
                                    <w:jc w:val="right"/>
                                    <w:rPr>
                                      <w:rFonts w:ascii="Arial" w:hAnsi="Arial" w:cs="Arial"/>
                                      <w:sz w:val="20"/>
                                    </w:rPr>
                                  </w:pPr>
                                  <w:r w:rsidRPr="00F80969">
                                    <w:rPr>
                                      <w:rFonts w:ascii="Arial" w:hAnsi="Arial" w:cs="Arial"/>
                                      <w:sz w:val="20"/>
                                    </w:rPr>
                                    <w:t>181.0</w:t>
                                  </w:r>
                                </w:p>
                              </w:tc>
                              <w:tc>
                                <w:tcPr>
                                  <w:tcW w:w="1350" w:type="dxa"/>
                                  <w:tcBorders>
                                    <w:bottom w:val="nil"/>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(4.8)</w:t>
                                  </w:r>
                                </w:p>
                              </w:tc>
                            </w:tr>
                            <w:tr w:rsidR="00812701" w:rsidRPr="00F80969" w:rsidTr="00F36562">
                              <w:trPr>
                                <w:trHeight w:val="360"/>
                              </w:trPr>
                              <w:tc>
                                <w:tcPr>
                                  <w:tcW w:w="4855"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Fossil carbon input</w:t>
                                  </w:r>
                                </w:p>
                              </w:tc>
                              <w:tc>
                                <w:tcPr>
                                  <w:tcW w:w="1260"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549.0</w:t>
                                  </w:r>
                                </w:p>
                              </w:tc>
                              <w:tc>
                                <w:tcPr>
                                  <w:tcW w:w="1260"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499.8</w:t>
                                  </w:r>
                                </w:p>
                              </w:tc>
                              <w:tc>
                                <w:tcPr>
                                  <w:tcW w:w="1350" w:type="dxa"/>
                                  <w:tcBorders>
                                    <w:top w:val="nil"/>
                                    <w:bottom w:val="single" w:sz="4" w:space="0" w:color="auto"/>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(49.2)</w:t>
                                  </w:r>
                                </w:p>
                              </w:tc>
                            </w:tr>
                            <w:tr w:rsidR="00812701" w:rsidRPr="00F80969" w:rsidTr="00F36562">
                              <w:trPr>
                                <w:trHeight w:val="360"/>
                              </w:trPr>
                              <w:tc>
                                <w:tcPr>
                                  <w:tcW w:w="4855" w:type="dxa"/>
                                  <w:tcBorders>
                                    <w:top w:val="single" w:sz="4" w:space="0" w:color="auto"/>
                                  </w:tcBorders>
                                  <w:shd w:val="clear" w:color="auto" w:fill="auto"/>
                                  <w:noWrap/>
                                  <w:vAlign w:val="center"/>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Net fixed carbon input</w:t>
                                  </w:r>
                                  <w:r w:rsidR="00F36562">
                                    <w:rPr>
                                      <w:rFonts w:ascii="Arial" w:hAnsi="Arial" w:cs="Arial"/>
                                      <w:sz w:val="20"/>
                                    </w:rPr>
                                    <w:t xml:space="preserve"> (fossil in minus biogenic out)</w:t>
                                  </w:r>
                                </w:p>
                              </w:tc>
                              <w:tc>
                                <w:tcPr>
                                  <w:tcW w:w="1260" w:type="dxa"/>
                                  <w:tcBorders>
                                    <w:top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363.1</w:t>
                                  </w:r>
                                </w:p>
                              </w:tc>
                              <w:tc>
                                <w:tcPr>
                                  <w:tcW w:w="1260" w:type="dxa"/>
                                  <w:tcBorders>
                                    <w:top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318.8</w:t>
                                  </w:r>
                                </w:p>
                              </w:tc>
                              <w:tc>
                                <w:tcPr>
                                  <w:tcW w:w="1350" w:type="dxa"/>
                                  <w:tcBorders>
                                    <w:top w:val="single" w:sz="4" w:space="0" w:color="auto"/>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(44.3)</w:t>
                                  </w:r>
                                </w:p>
                              </w:tc>
                            </w:tr>
                          </w:tbl>
                          <w:p w:rsidR="00812701" w:rsidRPr="00170038" w:rsidRDefault="00812701" w:rsidP="00812701">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4477C" id="Text Box 2" o:spid="_x0000_s1027" type="#_x0000_t202" style="position:absolute;margin-left:0;margin-top:0;width:471.6pt;height:250.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" fillcolor="#f0f0ff [3201]" stroked="f" strokeweight=".5pt">
                <v:textbox>
                  <w:txbxContent>
                    <w:tbl>
                      <w:tblPr>
                        <w:tblW w:w="87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55"/>
                        <w:gridCol w:w="1260"/>
                        <w:gridCol w:w="1260"/>
                        <w:gridCol w:w="1350"/>
                      </w:tblGrid>
                      <w:tr w:rsidR="00812701" w:rsidRPr="00F80969" w:rsidTr="00F80969">
                        <w:trPr>
                          <w:trHeight w:val="360"/>
                        </w:trPr>
                        <w:tc>
                          <w:tcPr>
                            <w:tcW w:w="8725" w:type="dxa"/>
                            <w:gridSpan w:val="4"/>
                            <w:tcBorders>
                              <w:top w:val="single" w:sz="4" w:space="0" w:color="auto"/>
                              <w:bottom w:val="single" w:sz="4" w:space="0" w:color="auto"/>
                            </w:tcBorders>
                            <w:shd w:val="clear" w:color="auto" w:fill="auto"/>
                            <w:noWrap/>
                            <w:vAlign w:val="center"/>
                          </w:tcPr>
                          <w:p w:rsidR="00812701" w:rsidRPr="00F80969" w:rsidRDefault="00812701" w:rsidP="00812701">
                            <w:pPr>
                              <w:tabs>
                                <w:tab w:val="clear" w:pos="720"/>
                                <w:tab w:val="clear" w:pos="9360"/>
                              </w:tabs>
                              <w:spacing w:before="60" w:after="60"/>
                              <w:rPr>
                                <w:rFonts w:ascii="Arial" w:hAnsi="Arial" w:cs="Arial"/>
                                <w:b/>
                                <w:sz w:val="20"/>
                              </w:rPr>
                            </w:pPr>
                            <w:r w:rsidRPr="00F80969">
                              <w:rPr>
                                <w:rFonts w:ascii="Arial" w:hAnsi="Arial" w:cs="Arial"/>
                                <w:b/>
                                <w:sz w:val="20"/>
                              </w:rPr>
                              <w:t xml:space="preserve">Table </w:t>
                            </w:r>
                            <w:r>
                              <w:rPr>
                                <w:rFonts w:ascii="Arial" w:hAnsi="Arial" w:cs="Arial"/>
                                <w:b/>
                                <w:sz w:val="20"/>
                              </w:rPr>
                              <w:t>A</w:t>
                            </w:r>
                            <w:r w:rsidRPr="00F80969">
                              <w:rPr>
                                <w:rFonts w:ascii="Arial" w:hAnsi="Arial" w:cs="Arial"/>
                                <w:b/>
                                <w:sz w:val="20"/>
                              </w:rPr>
                              <w:t xml:space="preserve">2. </w:t>
                            </w:r>
                            <w:r>
                              <w:rPr>
                                <w:rFonts w:ascii="Arial" w:hAnsi="Arial" w:cs="Arial"/>
                                <w:b/>
                                <w:sz w:val="20"/>
                              </w:rPr>
                              <w:t xml:space="preserve">Summary </w:t>
                            </w:r>
                            <w:r w:rsidRPr="00F80969">
                              <w:rPr>
                                <w:rFonts w:ascii="Arial" w:hAnsi="Arial" w:cs="Arial"/>
                                <w:b/>
                                <w:sz w:val="20"/>
                              </w:rPr>
                              <w:t xml:space="preserve">of vehicle-fuel system ABC analysis </w:t>
                            </w:r>
                            <w:r>
                              <w:rPr>
                                <w:rFonts w:ascii="Arial" w:hAnsi="Arial" w:cs="Arial"/>
                                <w:b/>
                                <w:sz w:val="20"/>
                              </w:rPr>
                              <w:t xml:space="preserve">for </w:t>
                            </w:r>
                            <w:r w:rsidRPr="00F80969">
                              <w:rPr>
                                <w:rFonts w:ascii="Arial" w:hAnsi="Arial" w:cs="Arial"/>
                                <w:b/>
                                <w:sz w:val="20"/>
                              </w:rPr>
                              <w:t>2005 and 2013</w:t>
                            </w:r>
                          </w:p>
                        </w:tc>
                      </w:tr>
                      <w:tr w:rsidR="00812701" w:rsidRPr="00F80969" w:rsidTr="003062CB">
                        <w:trPr>
                          <w:trHeight w:val="360"/>
                        </w:trPr>
                        <w:tc>
                          <w:tcPr>
                            <w:tcW w:w="7375" w:type="dxa"/>
                            <w:gridSpan w:val="3"/>
                            <w:tcBorders>
                              <w:top w:val="single" w:sz="4" w:space="0" w:color="auto"/>
                              <w:bottom w:val="nil"/>
                            </w:tcBorders>
                            <w:shd w:val="clear" w:color="auto" w:fill="auto"/>
                            <w:noWrap/>
                            <w:vAlign w:val="center"/>
                            <w:hideMark/>
                          </w:tcPr>
                          <w:p w:rsidR="00812701" w:rsidRPr="00F80969" w:rsidRDefault="00812701" w:rsidP="00F36562">
                            <w:pPr>
                              <w:tabs>
                                <w:tab w:val="clear" w:pos="720"/>
                                <w:tab w:val="clear" w:pos="9360"/>
                              </w:tabs>
                              <w:rPr>
                                <w:rFonts w:ascii="Arial" w:hAnsi="Arial" w:cs="Arial"/>
                                <w:b/>
                                <w:sz w:val="20"/>
                              </w:rPr>
                            </w:pPr>
                            <w:r w:rsidRPr="00F80969">
                              <w:rPr>
                                <w:rFonts w:ascii="Arial" w:hAnsi="Arial" w:cs="Arial"/>
                                <w:b/>
                                <w:sz w:val="20"/>
                              </w:rPr>
                              <w:t>(a) GHG exchange with the atmosphere</w:t>
                            </w:r>
                            <w:r w:rsidRPr="00F36562">
                              <w:rPr>
                                <w:rFonts w:ascii="Arial" w:hAnsi="Arial" w:cs="Arial"/>
                                <w:sz w:val="20"/>
                              </w:rPr>
                              <w:t xml:space="preserve"> </w:t>
                            </w:r>
                            <w:r w:rsidR="00F36562">
                              <w:rPr>
                                <w:rFonts w:ascii="Arial" w:hAnsi="Arial" w:cs="Arial"/>
                                <w:sz w:val="20"/>
                              </w:rPr>
                              <w:t>(</w:t>
                            </w:r>
                            <w:r w:rsidRPr="00F36562">
                              <w:rPr>
                                <w:rFonts w:ascii="Arial" w:hAnsi="Arial" w:cs="Arial"/>
                                <w:sz w:val="20"/>
                              </w:rPr>
                              <w:t>TgC/yr</w:t>
                            </w:r>
                            <w:r w:rsidR="00F36562">
                              <w:rPr>
                                <w:rFonts w:ascii="Arial" w:hAnsi="Arial" w:cs="Arial"/>
                                <w:sz w:val="20"/>
                              </w:rPr>
                              <w:t>)</w:t>
                            </w:r>
                          </w:p>
                        </w:tc>
                        <w:tc>
                          <w:tcPr>
                            <w:tcW w:w="1350" w:type="dxa"/>
                            <w:tcBorders>
                              <w:top w:val="single" w:sz="4" w:space="0" w:color="auto"/>
                              <w:bottom w:val="nil"/>
                            </w:tcBorders>
                            <w:shd w:val="clear" w:color="auto" w:fill="auto"/>
                            <w:noWrap/>
                            <w:vAlign w:val="center"/>
                            <w:hideMark/>
                          </w:tcPr>
                          <w:p w:rsidR="00812701" w:rsidRPr="00DB2F44" w:rsidRDefault="00812701" w:rsidP="00F36562">
                            <w:pPr>
                              <w:tabs>
                                <w:tab w:val="clear" w:pos="720"/>
                                <w:tab w:val="clear" w:pos="9360"/>
                              </w:tabs>
                              <w:ind w:right="72"/>
                              <w:jc w:val="right"/>
                              <w:rPr>
                                <w:rFonts w:ascii="Arial" w:hAnsi="Arial" w:cs="Arial"/>
                                <w:sz w:val="20"/>
                              </w:rPr>
                            </w:pPr>
                            <w:r w:rsidRPr="00DB2F44">
                              <w:rPr>
                                <w:rFonts w:ascii="Arial" w:hAnsi="Arial" w:cs="Arial"/>
                                <w:sz w:val="20"/>
                              </w:rPr>
                              <w:t>Change</w:t>
                            </w:r>
                          </w:p>
                        </w:tc>
                      </w:tr>
                      <w:tr w:rsidR="00812701" w:rsidRPr="00F80969" w:rsidTr="00F36562">
                        <w:trPr>
                          <w:trHeight w:val="172"/>
                        </w:trPr>
                        <w:tc>
                          <w:tcPr>
                            <w:tcW w:w="4855"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Pr>
                                <w:rFonts w:ascii="Arial" w:hAnsi="Arial" w:cs="Arial"/>
                                <w:sz w:val="20"/>
                              </w:rPr>
                              <w:t xml:space="preserve">     </w:t>
                            </w:r>
                            <w:r w:rsidRPr="00F80969">
                              <w:rPr>
                                <w:rFonts w:ascii="Arial" w:hAnsi="Arial" w:cs="Arial"/>
                                <w:sz w:val="20"/>
                              </w:rPr>
                              <w:t>(emissions positive, uptake negative)</w:t>
                            </w:r>
                          </w:p>
                        </w:tc>
                        <w:tc>
                          <w:tcPr>
                            <w:tcW w:w="1260"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2005</w:t>
                            </w:r>
                          </w:p>
                        </w:tc>
                        <w:tc>
                          <w:tcPr>
                            <w:tcW w:w="1260" w:type="dxa"/>
                            <w:tcBorders>
                              <w:top w:val="nil"/>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2013</w:t>
                            </w:r>
                          </w:p>
                        </w:tc>
                        <w:tc>
                          <w:tcPr>
                            <w:tcW w:w="1350" w:type="dxa"/>
                            <w:tcBorders>
                              <w:top w:val="nil"/>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2005-13</w:t>
                            </w:r>
                          </w:p>
                        </w:tc>
                      </w:tr>
                      <w:tr w:rsidR="00812701" w:rsidRPr="00F80969" w:rsidTr="00F36562">
                        <w:trPr>
                          <w:trHeight w:val="360"/>
                        </w:trPr>
                        <w:tc>
                          <w:tcPr>
                            <w:tcW w:w="4855"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Harvest carbon uptake</w:t>
                            </w:r>
                          </w:p>
                        </w:tc>
                        <w:tc>
                          <w:tcPr>
                            <w:tcW w:w="1260"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(195.5)</w:t>
                            </w:r>
                          </w:p>
                        </w:tc>
                        <w:tc>
                          <w:tcPr>
                            <w:tcW w:w="1260" w:type="dxa"/>
                            <w:tcBorders>
                              <w:top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(215.4)</w:t>
                            </w:r>
                          </w:p>
                        </w:tc>
                        <w:tc>
                          <w:tcPr>
                            <w:tcW w:w="1350" w:type="dxa"/>
                            <w:tcBorders>
                              <w:top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(19.8)</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biogenic</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10.2</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7.1</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other biofuel related</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10.3</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7.2</w:t>
                            </w:r>
                          </w:p>
                        </w:tc>
                      </w:tr>
                      <w:tr w:rsidR="00812701" w:rsidRPr="00F80969" w:rsidTr="00F36562">
                        <w:trPr>
                          <w:trHeight w:val="360"/>
                        </w:trPr>
                        <w:tc>
                          <w:tcPr>
                            <w:tcW w:w="4855" w:type="dxa"/>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Process emissions, petroleum fuels</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109.2</w:t>
                            </w:r>
                          </w:p>
                        </w:tc>
                        <w:tc>
                          <w:tcPr>
                            <w:tcW w:w="1260" w:type="dxa"/>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99.3</w:t>
                            </w:r>
                          </w:p>
                        </w:tc>
                        <w:tc>
                          <w:tcPr>
                            <w:tcW w:w="1350" w:type="dxa"/>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(9.9)</w:t>
                            </w:r>
                          </w:p>
                        </w:tc>
                      </w:tr>
                      <w:tr w:rsidR="00812701" w:rsidRPr="00F80969" w:rsidTr="00F36562">
                        <w:trPr>
                          <w:trHeight w:val="360"/>
                        </w:trPr>
                        <w:tc>
                          <w:tcPr>
                            <w:tcW w:w="4855" w:type="dxa"/>
                            <w:tcBorders>
                              <w:bottom w:val="single" w:sz="4" w:space="0" w:color="auto"/>
                            </w:tcBorders>
                            <w:shd w:val="clear" w:color="auto" w:fill="auto"/>
                            <w:noWrap/>
                            <w:vAlign w:val="center"/>
                            <w:hideMark/>
                          </w:tcPr>
                          <w:p w:rsidR="00812701" w:rsidRPr="00F80969" w:rsidRDefault="00812701" w:rsidP="00CA13C5">
                            <w:pPr>
                              <w:tabs>
                                <w:tab w:val="clear" w:pos="720"/>
                                <w:tab w:val="clear" w:pos="9360"/>
                              </w:tabs>
                              <w:rPr>
                                <w:rFonts w:ascii="Arial" w:hAnsi="Arial" w:cs="Arial"/>
                                <w:sz w:val="20"/>
                              </w:rPr>
                            </w:pPr>
                            <w:r w:rsidRPr="00F80969">
                              <w:rPr>
                                <w:rFonts w:ascii="Arial" w:hAnsi="Arial" w:cs="Arial"/>
                                <w:sz w:val="20"/>
                              </w:rPr>
                              <w:t>Vehicle tailpipe (end-use) emissions</w:t>
                            </w:r>
                          </w:p>
                        </w:tc>
                        <w:tc>
                          <w:tcPr>
                            <w:tcW w:w="1260" w:type="dxa"/>
                            <w:tcBorders>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455.0</w:t>
                            </w:r>
                          </w:p>
                        </w:tc>
                        <w:tc>
                          <w:tcPr>
                            <w:tcW w:w="1260" w:type="dxa"/>
                            <w:tcBorders>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432.5</w:t>
                            </w:r>
                          </w:p>
                        </w:tc>
                        <w:tc>
                          <w:tcPr>
                            <w:tcW w:w="1350" w:type="dxa"/>
                            <w:tcBorders>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(22.6)</w:t>
                            </w:r>
                          </w:p>
                        </w:tc>
                      </w:tr>
                      <w:tr w:rsidR="00812701" w:rsidRPr="00F80969" w:rsidTr="00F36562">
                        <w:trPr>
                          <w:trHeight w:val="360"/>
                        </w:trPr>
                        <w:tc>
                          <w:tcPr>
                            <w:tcW w:w="4855"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Vehicle-fuel system total</w:t>
                            </w:r>
                          </w:p>
                        </w:tc>
                        <w:tc>
                          <w:tcPr>
                            <w:tcW w:w="1260"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374.9</w:t>
                            </w:r>
                          </w:p>
                        </w:tc>
                        <w:tc>
                          <w:tcPr>
                            <w:tcW w:w="1260" w:type="dxa"/>
                            <w:tcBorders>
                              <w:top w:val="single" w:sz="4" w:space="0" w:color="auto"/>
                              <w:bottom w:val="single" w:sz="4" w:space="0" w:color="auto"/>
                            </w:tcBorders>
                            <w:shd w:val="clear" w:color="auto" w:fill="auto"/>
                            <w:noWrap/>
                            <w:vAlign w:val="center"/>
                            <w:hideMark/>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337.0</w:t>
                            </w:r>
                          </w:p>
                        </w:tc>
                        <w:tc>
                          <w:tcPr>
                            <w:tcW w:w="1350" w:type="dxa"/>
                            <w:tcBorders>
                              <w:top w:val="single" w:sz="4" w:space="0" w:color="auto"/>
                              <w:bottom w:val="single" w:sz="4" w:space="0" w:color="auto"/>
                            </w:tcBorders>
                            <w:shd w:val="clear" w:color="auto" w:fill="auto"/>
                            <w:noWrap/>
                            <w:vAlign w:val="center"/>
                            <w:hideMark/>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(38.0)</w:t>
                            </w:r>
                          </w:p>
                        </w:tc>
                      </w:tr>
                      <w:tr w:rsidR="00812701" w:rsidRPr="00F80969" w:rsidTr="00F36562">
                        <w:trPr>
                          <w:trHeight w:val="360"/>
                        </w:trPr>
                        <w:tc>
                          <w:tcPr>
                            <w:tcW w:w="8725" w:type="dxa"/>
                            <w:gridSpan w:val="4"/>
                            <w:tcBorders>
                              <w:top w:val="single" w:sz="4" w:space="0" w:color="auto"/>
                            </w:tcBorders>
                            <w:shd w:val="clear" w:color="auto" w:fill="auto"/>
                            <w:noWrap/>
                            <w:tcMar>
                              <w:left w:w="115" w:type="dxa"/>
                              <w:right w:w="144" w:type="dxa"/>
                            </w:tcMar>
                            <w:vAlign w:val="center"/>
                          </w:tcPr>
                          <w:p w:rsidR="00812701" w:rsidRPr="00F80969" w:rsidRDefault="00812701" w:rsidP="00F36562">
                            <w:pPr>
                              <w:tabs>
                                <w:tab w:val="clear" w:pos="720"/>
                                <w:tab w:val="clear" w:pos="9360"/>
                              </w:tabs>
                              <w:ind w:right="72"/>
                              <w:rPr>
                                <w:rFonts w:ascii="Arial" w:hAnsi="Arial" w:cs="Arial"/>
                                <w:sz w:val="20"/>
                              </w:rPr>
                            </w:pPr>
                            <w:r w:rsidRPr="00F80969">
                              <w:rPr>
                                <w:rFonts w:ascii="Arial" w:hAnsi="Arial" w:cs="Arial"/>
                                <w:sz w:val="20"/>
                              </w:rPr>
                              <w:t>(</w:t>
                            </w:r>
                            <w:r w:rsidRPr="00F80969">
                              <w:rPr>
                                <w:rFonts w:ascii="Arial" w:hAnsi="Arial" w:cs="Arial"/>
                                <w:b/>
                                <w:sz w:val="20"/>
                              </w:rPr>
                              <w:t>b) Exchanges of fixed carbon with external systems</w:t>
                            </w:r>
                            <w:r>
                              <w:rPr>
                                <w:rFonts w:ascii="Arial" w:hAnsi="Arial" w:cs="Arial"/>
                                <w:b/>
                                <w:sz w:val="20"/>
                              </w:rPr>
                              <w:t xml:space="preserve"> </w:t>
                            </w:r>
                            <w:r w:rsidR="00F36562" w:rsidRPr="00F36562">
                              <w:rPr>
                                <w:rFonts w:ascii="Arial" w:hAnsi="Arial" w:cs="Arial"/>
                                <w:sz w:val="20"/>
                              </w:rPr>
                              <w:t>(</w:t>
                            </w:r>
                            <w:r w:rsidRPr="00F36562">
                              <w:rPr>
                                <w:rFonts w:ascii="Arial" w:hAnsi="Arial" w:cs="Arial"/>
                                <w:sz w:val="20"/>
                              </w:rPr>
                              <w:t>TgC/yr</w:t>
                            </w:r>
                            <w:r w:rsidR="00F36562" w:rsidRPr="00F36562">
                              <w:rPr>
                                <w:rFonts w:ascii="Arial" w:hAnsi="Arial" w:cs="Arial"/>
                                <w:sz w:val="20"/>
                              </w:rPr>
                              <w:t>)</w:t>
                            </w:r>
                          </w:p>
                        </w:tc>
                      </w:tr>
                      <w:tr w:rsidR="00812701" w:rsidRPr="00F80969" w:rsidTr="00F36562">
                        <w:trPr>
                          <w:trHeight w:val="360"/>
                        </w:trPr>
                        <w:tc>
                          <w:tcPr>
                            <w:tcW w:w="4855" w:type="dxa"/>
                            <w:tcBorders>
                              <w:bottom w:val="nil"/>
                            </w:tcBorders>
                            <w:shd w:val="clear" w:color="auto" w:fill="auto"/>
                            <w:noWrap/>
                            <w:vAlign w:val="center"/>
                          </w:tcPr>
                          <w:p w:rsidR="00812701" w:rsidRPr="00F80969" w:rsidRDefault="00812701" w:rsidP="00F80969">
                            <w:pPr>
                              <w:tabs>
                                <w:tab w:val="clear" w:pos="720"/>
                                <w:tab w:val="clear" w:pos="9360"/>
                              </w:tabs>
                              <w:rPr>
                                <w:rFonts w:ascii="Arial" w:hAnsi="Arial" w:cs="Arial"/>
                                <w:sz w:val="20"/>
                              </w:rPr>
                            </w:pPr>
                            <w:r w:rsidRPr="00F80969">
                              <w:rPr>
                                <w:rFonts w:ascii="Arial" w:hAnsi="Arial" w:cs="Arial"/>
                                <w:sz w:val="20"/>
                              </w:rPr>
                              <w:t>Biogenic carbon output</w:t>
                            </w:r>
                            <w:r w:rsidRPr="00F80969">
                              <w:rPr>
                                <w:rFonts w:ascii="Arial" w:hAnsi="Arial" w:cs="Arial"/>
                                <w:sz w:val="20"/>
                              </w:rPr>
                              <w:tab/>
                            </w:r>
                          </w:p>
                        </w:tc>
                        <w:tc>
                          <w:tcPr>
                            <w:tcW w:w="1260" w:type="dxa"/>
                            <w:tcBorders>
                              <w:bottom w:val="nil"/>
                            </w:tcBorders>
                            <w:shd w:val="clear" w:color="auto" w:fill="auto"/>
                            <w:noWrap/>
                            <w:vAlign w:val="center"/>
                          </w:tcPr>
                          <w:p w:rsidR="00812701" w:rsidRPr="00F80969" w:rsidRDefault="00A818A3" w:rsidP="00A818A3">
                            <w:pPr>
                              <w:tabs>
                                <w:tab w:val="clear" w:pos="720"/>
                                <w:tab w:val="clear" w:pos="9360"/>
                              </w:tabs>
                              <w:jc w:val="right"/>
                              <w:rPr>
                                <w:rFonts w:ascii="Arial" w:hAnsi="Arial" w:cs="Arial"/>
                                <w:sz w:val="20"/>
                              </w:rPr>
                            </w:pPr>
                            <w:r w:rsidRPr="00F80969">
                              <w:rPr>
                                <w:rFonts w:ascii="Arial" w:hAnsi="Arial" w:cs="Arial"/>
                                <w:sz w:val="20"/>
                              </w:rPr>
                              <w:t>185.9</w:t>
                            </w:r>
                          </w:p>
                        </w:tc>
                        <w:tc>
                          <w:tcPr>
                            <w:tcW w:w="1260" w:type="dxa"/>
                            <w:tcBorders>
                              <w:bottom w:val="nil"/>
                            </w:tcBorders>
                            <w:shd w:val="clear" w:color="auto" w:fill="auto"/>
                            <w:noWrap/>
                            <w:vAlign w:val="center"/>
                          </w:tcPr>
                          <w:p w:rsidR="00812701" w:rsidRPr="00F80969" w:rsidRDefault="00A818A3" w:rsidP="00F80969">
                            <w:pPr>
                              <w:tabs>
                                <w:tab w:val="clear" w:pos="720"/>
                                <w:tab w:val="clear" w:pos="9360"/>
                              </w:tabs>
                              <w:jc w:val="right"/>
                              <w:rPr>
                                <w:rFonts w:ascii="Arial" w:hAnsi="Arial" w:cs="Arial"/>
                                <w:sz w:val="20"/>
                              </w:rPr>
                            </w:pPr>
                            <w:r w:rsidRPr="00F80969">
                              <w:rPr>
                                <w:rFonts w:ascii="Arial" w:hAnsi="Arial" w:cs="Arial"/>
                                <w:sz w:val="20"/>
                              </w:rPr>
                              <w:t>181.0</w:t>
                            </w:r>
                          </w:p>
                        </w:tc>
                        <w:tc>
                          <w:tcPr>
                            <w:tcW w:w="1350" w:type="dxa"/>
                            <w:tcBorders>
                              <w:bottom w:val="nil"/>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(4.8)</w:t>
                            </w:r>
                          </w:p>
                        </w:tc>
                      </w:tr>
                      <w:tr w:rsidR="00812701" w:rsidRPr="00F80969" w:rsidTr="00F36562">
                        <w:trPr>
                          <w:trHeight w:val="360"/>
                        </w:trPr>
                        <w:tc>
                          <w:tcPr>
                            <w:tcW w:w="4855"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Fossil carbon input</w:t>
                            </w:r>
                          </w:p>
                        </w:tc>
                        <w:tc>
                          <w:tcPr>
                            <w:tcW w:w="1260"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549.0</w:t>
                            </w:r>
                          </w:p>
                        </w:tc>
                        <w:tc>
                          <w:tcPr>
                            <w:tcW w:w="1260" w:type="dxa"/>
                            <w:tcBorders>
                              <w:top w:val="nil"/>
                              <w:bottom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499.8</w:t>
                            </w:r>
                          </w:p>
                        </w:tc>
                        <w:tc>
                          <w:tcPr>
                            <w:tcW w:w="1350" w:type="dxa"/>
                            <w:tcBorders>
                              <w:top w:val="nil"/>
                              <w:bottom w:val="single" w:sz="4" w:space="0" w:color="auto"/>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(49.2)</w:t>
                            </w:r>
                          </w:p>
                        </w:tc>
                      </w:tr>
                      <w:tr w:rsidR="00812701" w:rsidRPr="00F80969" w:rsidTr="00F36562">
                        <w:trPr>
                          <w:trHeight w:val="360"/>
                        </w:trPr>
                        <w:tc>
                          <w:tcPr>
                            <w:tcW w:w="4855" w:type="dxa"/>
                            <w:tcBorders>
                              <w:top w:val="single" w:sz="4" w:space="0" w:color="auto"/>
                            </w:tcBorders>
                            <w:shd w:val="clear" w:color="auto" w:fill="auto"/>
                            <w:noWrap/>
                            <w:vAlign w:val="center"/>
                          </w:tcPr>
                          <w:p w:rsidR="00812701" w:rsidRPr="00F80969" w:rsidRDefault="00812701" w:rsidP="003F26E6">
                            <w:pPr>
                              <w:tabs>
                                <w:tab w:val="clear" w:pos="720"/>
                                <w:tab w:val="clear" w:pos="9360"/>
                              </w:tabs>
                              <w:rPr>
                                <w:rFonts w:ascii="Arial" w:hAnsi="Arial" w:cs="Arial"/>
                                <w:sz w:val="20"/>
                              </w:rPr>
                            </w:pPr>
                            <w:r w:rsidRPr="00F80969">
                              <w:rPr>
                                <w:rFonts w:ascii="Arial" w:hAnsi="Arial" w:cs="Arial"/>
                                <w:sz w:val="20"/>
                              </w:rPr>
                              <w:t>Net fixed carbon input</w:t>
                            </w:r>
                            <w:r w:rsidR="00F36562">
                              <w:rPr>
                                <w:rFonts w:ascii="Arial" w:hAnsi="Arial" w:cs="Arial"/>
                                <w:sz w:val="20"/>
                              </w:rPr>
                              <w:t xml:space="preserve"> (fossil in minus biogenic out)</w:t>
                            </w:r>
                          </w:p>
                        </w:tc>
                        <w:tc>
                          <w:tcPr>
                            <w:tcW w:w="1260" w:type="dxa"/>
                            <w:tcBorders>
                              <w:top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363.1</w:t>
                            </w:r>
                          </w:p>
                        </w:tc>
                        <w:tc>
                          <w:tcPr>
                            <w:tcW w:w="1260" w:type="dxa"/>
                            <w:tcBorders>
                              <w:top w:val="single" w:sz="4" w:space="0" w:color="auto"/>
                            </w:tcBorders>
                            <w:shd w:val="clear" w:color="auto" w:fill="auto"/>
                            <w:noWrap/>
                            <w:vAlign w:val="center"/>
                          </w:tcPr>
                          <w:p w:rsidR="00812701" w:rsidRPr="00F80969" w:rsidRDefault="00812701" w:rsidP="003F26E6">
                            <w:pPr>
                              <w:tabs>
                                <w:tab w:val="clear" w:pos="720"/>
                                <w:tab w:val="clear" w:pos="9360"/>
                              </w:tabs>
                              <w:jc w:val="right"/>
                              <w:rPr>
                                <w:rFonts w:ascii="Arial" w:hAnsi="Arial" w:cs="Arial"/>
                                <w:sz w:val="20"/>
                              </w:rPr>
                            </w:pPr>
                            <w:r w:rsidRPr="00F80969">
                              <w:rPr>
                                <w:rFonts w:ascii="Arial" w:hAnsi="Arial" w:cs="Arial"/>
                                <w:sz w:val="20"/>
                              </w:rPr>
                              <w:t>318.8</w:t>
                            </w:r>
                          </w:p>
                        </w:tc>
                        <w:tc>
                          <w:tcPr>
                            <w:tcW w:w="1350" w:type="dxa"/>
                            <w:tcBorders>
                              <w:top w:val="single" w:sz="4" w:space="0" w:color="auto"/>
                            </w:tcBorders>
                            <w:shd w:val="clear" w:color="auto" w:fill="auto"/>
                            <w:noWrap/>
                            <w:vAlign w:val="center"/>
                          </w:tcPr>
                          <w:p w:rsidR="00812701" w:rsidRPr="00F80969" w:rsidRDefault="00812701" w:rsidP="00F36562">
                            <w:pPr>
                              <w:tabs>
                                <w:tab w:val="clear" w:pos="720"/>
                                <w:tab w:val="clear" w:pos="9360"/>
                              </w:tabs>
                              <w:ind w:right="72"/>
                              <w:jc w:val="right"/>
                              <w:rPr>
                                <w:rFonts w:ascii="Arial" w:hAnsi="Arial" w:cs="Arial"/>
                                <w:sz w:val="20"/>
                              </w:rPr>
                            </w:pPr>
                            <w:r w:rsidRPr="00F80969">
                              <w:rPr>
                                <w:rFonts w:ascii="Arial" w:hAnsi="Arial" w:cs="Arial"/>
                                <w:sz w:val="20"/>
                              </w:rPr>
                              <w:t>(44.3)</w:t>
                            </w:r>
                          </w:p>
                        </w:tc>
                      </w:tr>
                    </w:tbl>
                    <w:p w:rsidR="00812701" w:rsidRPr="00170038" w:rsidRDefault="00812701" w:rsidP="00812701">
                      <w:pPr>
                        <w:rPr>
                          <w:rFonts w:ascii="Arial" w:hAnsi="Arial" w:cs="Arial"/>
                          <w:sz w:val="22"/>
                          <w:szCs w:val="22"/>
                        </w:rPr>
                      </w:pPr>
                    </w:p>
                  </w:txbxContent>
                </v:textbox>
                <w10:wrap type="square" anchorx="margin" anchory="margin"/>
              </v:shape>
            </w:pict>
          </mc:Fallback>
        </mc:AlternateContent>
      </w:r>
      <w:r w:rsidR="00DA13F3">
        <w:t xml:space="preserve">As seen in Equation (3) of the main text, other potential </w:t>
      </w:r>
      <w:r w:rsidR="00B97A8B">
        <w:t xml:space="preserve">dispositions of </w:t>
      </w:r>
      <w:r w:rsidR="00DA0A47">
        <w:t xml:space="preserve">the </w:t>
      </w:r>
      <w:r w:rsidR="00B97A8B">
        <w:t>carbon take</w:t>
      </w:r>
      <w:r w:rsidR="00DA0A47">
        <w:t>n up</w:t>
      </w:r>
      <w:r w:rsidR="00B97A8B" w:rsidRPr="00B97A8B">
        <w:rPr>
          <w:color w:val="000000"/>
          <w:szCs w:val="24"/>
        </w:rPr>
        <w:t xml:space="preserve"> </w:t>
      </w:r>
      <w:r w:rsidR="00B97A8B">
        <w:rPr>
          <w:color w:val="000000"/>
          <w:szCs w:val="24"/>
        </w:rPr>
        <w:t>on cropland</w:t>
      </w:r>
      <w:r w:rsidR="00B97A8B">
        <w:t xml:space="preserve"> </w:t>
      </w:r>
      <w:r w:rsidR="00DA13F3">
        <w:t xml:space="preserve">include </w:t>
      </w:r>
      <w:r w:rsidR="00DA0A47">
        <w:rPr>
          <w:color w:val="000000"/>
          <w:szCs w:val="24"/>
        </w:rPr>
        <w:t xml:space="preserve">gains </w:t>
      </w:r>
      <w:r w:rsidR="00DA13F3" w:rsidRPr="007C2466">
        <w:rPr>
          <w:color w:val="000000"/>
          <w:szCs w:val="24"/>
        </w:rPr>
        <w:t xml:space="preserve">in soil </w:t>
      </w:r>
      <w:r w:rsidR="00DA13F3">
        <w:rPr>
          <w:color w:val="000000"/>
          <w:szCs w:val="24"/>
        </w:rPr>
        <w:t xml:space="preserve">organic </w:t>
      </w:r>
      <w:r w:rsidR="00DA13F3" w:rsidRPr="007C2466">
        <w:rPr>
          <w:color w:val="000000"/>
          <w:szCs w:val="24"/>
        </w:rPr>
        <w:t>carbon</w:t>
      </w:r>
      <w:r w:rsidR="00DA13F3">
        <w:rPr>
          <w:color w:val="000000"/>
          <w:szCs w:val="24"/>
        </w:rPr>
        <w:t xml:space="preserve"> (</w:t>
      </w:r>
      <w:r w:rsidR="00DA13F3" w:rsidRPr="007C2466">
        <w:rPr>
          <w:color w:val="000000"/>
          <w:szCs w:val="24"/>
        </w:rPr>
        <w:t>ΔS</w:t>
      </w:r>
      <w:r w:rsidR="00DA13F3">
        <w:rPr>
          <w:color w:val="000000"/>
          <w:szCs w:val="24"/>
        </w:rPr>
        <w:t xml:space="preserve">OC); carbon </w:t>
      </w:r>
      <w:r w:rsidR="00B97A8B">
        <w:rPr>
          <w:color w:val="000000"/>
          <w:szCs w:val="24"/>
        </w:rPr>
        <w:t xml:space="preserve">in organic material transported away </w:t>
      </w:r>
      <w:r w:rsidR="00DA13F3">
        <w:rPr>
          <w:color w:val="000000"/>
          <w:szCs w:val="24"/>
        </w:rPr>
        <w:t xml:space="preserve">from fields </w:t>
      </w:r>
      <w:r w:rsidR="00B97A8B">
        <w:rPr>
          <w:color w:val="000000"/>
          <w:szCs w:val="24"/>
        </w:rPr>
        <w:t>(E</w:t>
      </w:r>
      <w:r w:rsidR="00B97A8B" w:rsidRPr="00904E4D">
        <w:rPr>
          <w:color w:val="000000"/>
          <w:szCs w:val="24"/>
          <w:vertAlign w:val="subscript"/>
        </w:rPr>
        <w:t>x</w:t>
      </w:r>
      <w:r w:rsidR="00B97A8B">
        <w:rPr>
          <w:color w:val="000000"/>
          <w:szCs w:val="24"/>
        </w:rPr>
        <w:t xml:space="preserve">), e.g., by erosion and other forms of </w:t>
      </w:r>
      <w:r w:rsidR="00DA13F3">
        <w:rPr>
          <w:color w:val="000000"/>
          <w:szCs w:val="24"/>
        </w:rPr>
        <w:t xml:space="preserve">runoff, </w:t>
      </w:r>
      <w:r w:rsidR="00B97A8B">
        <w:rPr>
          <w:color w:val="000000"/>
          <w:szCs w:val="24"/>
        </w:rPr>
        <w:t xml:space="preserve">into groundwater through </w:t>
      </w:r>
      <w:r w:rsidR="00DA13F3">
        <w:rPr>
          <w:color w:val="000000"/>
          <w:szCs w:val="24"/>
        </w:rPr>
        <w:t>leaching</w:t>
      </w:r>
      <w:r w:rsidR="00B97A8B">
        <w:rPr>
          <w:color w:val="000000"/>
          <w:szCs w:val="24"/>
        </w:rPr>
        <w:t>,</w:t>
      </w:r>
      <w:r w:rsidR="00DA13F3">
        <w:rPr>
          <w:color w:val="000000"/>
          <w:szCs w:val="24"/>
        </w:rPr>
        <w:t xml:space="preserve"> </w:t>
      </w:r>
      <w:r w:rsidR="00B97A8B">
        <w:rPr>
          <w:color w:val="000000"/>
          <w:szCs w:val="24"/>
        </w:rPr>
        <w:t xml:space="preserve">blown away by </w:t>
      </w:r>
      <w:r w:rsidR="00DA13F3">
        <w:rPr>
          <w:color w:val="000000"/>
          <w:szCs w:val="24"/>
        </w:rPr>
        <w:t xml:space="preserve">wind; and </w:t>
      </w:r>
      <w:r w:rsidR="00DA0A47">
        <w:rPr>
          <w:color w:val="000000"/>
          <w:szCs w:val="24"/>
        </w:rPr>
        <w:t xml:space="preserve">carbon </w:t>
      </w:r>
      <w:r w:rsidR="00DA13F3">
        <w:rPr>
          <w:color w:val="000000"/>
          <w:szCs w:val="24"/>
        </w:rPr>
        <w:t>oxidized non-biologically</w:t>
      </w:r>
      <w:r w:rsidR="00B97A8B">
        <w:rPr>
          <w:color w:val="000000"/>
          <w:szCs w:val="24"/>
        </w:rPr>
        <w:t xml:space="preserve"> (O</w:t>
      </w:r>
      <w:r w:rsidR="00B97A8B" w:rsidRPr="00904E4D">
        <w:rPr>
          <w:color w:val="000000"/>
          <w:szCs w:val="24"/>
          <w:vertAlign w:val="subscript"/>
        </w:rPr>
        <w:t>x</w:t>
      </w:r>
      <w:r w:rsidR="00B97A8B">
        <w:rPr>
          <w:color w:val="000000"/>
          <w:szCs w:val="24"/>
        </w:rPr>
        <w:t>)</w:t>
      </w:r>
      <w:r w:rsidR="00DA13F3">
        <w:rPr>
          <w:color w:val="000000"/>
          <w:szCs w:val="24"/>
        </w:rPr>
        <w:t xml:space="preserve">, e.g., </w:t>
      </w:r>
      <w:r w:rsidR="00B97A8B">
        <w:rPr>
          <w:color w:val="000000"/>
          <w:szCs w:val="24"/>
        </w:rPr>
        <w:t xml:space="preserve">by </w:t>
      </w:r>
      <w:r w:rsidR="00DA13F3">
        <w:rPr>
          <w:color w:val="000000"/>
          <w:szCs w:val="24"/>
        </w:rPr>
        <w:t xml:space="preserve">fire. </w:t>
      </w:r>
      <w:r w:rsidR="00B97A8B">
        <w:rPr>
          <w:color w:val="000000"/>
          <w:szCs w:val="24"/>
        </w:rPr>
        <w:t xml:space="preserve">For </w:t>
      </w:r>
      <w:r w:rsidR="00B97A8B">
        <w:rPr>
          <w:color w:val="000000"/>
          <w:szCs w:val="24"/>
        </w:rPr>
        <w:lastRenderedPageBreak/>
        <w:t>purposes of our analysis we assume</w:t>
      </w:r>
      <w:r w:rsidR="00DA0A47">
        <w:rPr>
          <w:color w:val="000000"/>
          <w:szCs w:val="24"/>
        </w:rPr>
        <w:t>d</w:t>
      </w:r>
      <w:r w:rsidR="00B97A8B">
        <w:rPr>
          <w:color w:val="000000"/>
          <w:szCs w:val="24"/>
        </w:rPr>
        <w:t xml:space="preserve"> that, compared to carbon harvest (H) values, these items are negligibly small based on the literature reviewed here. </w:t>
      </w:r>
    </w:p>
    <w:p w:rsidR="00F62465" w:rsidRDefault="00F62465" w:rsidP="00F62465">
      <w:pPr>
        <w:pStyle w:val="BodyText"/>
      </w:pPr>
      <w:r>
        <w:t xml:space="preserve">Changes in soil organic carbon (∆SOC) are a component of NEP but one that entails a great deal of uncertainty. Spatial and temporal heterogeneity in soils and agricultural practices makes it very difficult to obtain a conclusive national-scale estimate of ∆SOC for annual cropland. </w:t>
      </w:r>
    </w:p>
    <w:p w:rsidR="00F62465" w:rsidRDefault="00F62465" w:rsidP="00F62465">
      <w:pPr>
        <w:pStyle w:val="BodyText"/>
      </w:pPr>
      <w:r>
        <w:t xml:space="preserve">The U.S. Greenhouse Gas Emissions Inventory addresses soil carbon stocks within the categories of </w:t>
      </w:r>
      <w:r w:rsidRPr="00F62465">
        <w:rPr>
          <w:i/>
        </w:rPr>
        <w:t>Cropland Remaining Cropland</w:t>
      </w:r>
      <w:r>
        <w:t xml:space="preserve"> and </w:t>
      </w:r>
      <w:r w:rsidRPr="00F62465">
        <w:rPr>
          <w:i/>
        </w:rPr>
        <w:t>Land Converted to Cropland</w:t>
      </w:r>
      <w:r>
        <w:t xml:space="preserve"> (EPA 2015, p. 6-41). The uncertainty of all such estimates is very high, stated as ±150% for annual soil carbon flux values (EPA 2015, p. 6-47). For </w:t>
      </w:r>
      <w:r w:rsidRPr="00F62465">
        <w:rPr>
          <w:i/>
        </w:rPr>
        <w:t>Cropland Remaining Cropland,</w:t>
      </w:r>
      <w:r>
        <w:t xml:space="preserve"> the inventory reported a reduction in the rate of soil carbon sequestration from 7.6 TgC/yr in 2005 to 6.4 TgC/yr in 2013, implying a decrease of 1.2 TgC/yr for this component of NEP.  For </w:t>
      </w:r>
      <w:r w:rsidRPr="00F62465">
        <w:rPr>
          <w:i/>
        </w:rPr>
        <w:t>Land Converted to Cropland</w:t>
      </w:r>
      <w:r>
        <w:t>, the inventory estimated that the rate of soil carbon loss dec</w:t>
      </w:r>
      <w:r w:rsidR="00493A3D">
        <w:t>lin</w:t>
      </w:r>
      <w:r>
        <w:t xml:space="preserve">ed from 5.4 TgC/yr in 2005 to 4.4 TgC/yr in 2013 (EPA 2015, p. 6-55), implying an gain of 1.0 TgC/yr in that component of NEP. Combining both components implies a net reduction in ∆SOC of 0.2 TgC/yr over the 2005-2013, which is clearly negligible relative carbon harvest levels on the order of 200 TgC/yr (see Figure 3 in the main text). Therefore, </w:t>
      </w:r>
      <w:r w:rsidR="00493A3D">
        <w:t xml:space="preserve">the aggregate change </w:t>
      </w:r>
      <w:r>
        <w:t xml:space="preserve">in the amount of carbon retained or lost from </w:t>
      </w:r>
      <w:r w:rsidR="00493A3D">
        <w:t>the soil for annual cropland</w:t>
      </w:r>
      <w:r>
        <w:t xml:space="preserve"> </w:t>
      </w:r>
      <w:r w:rsidR="00493A3D">
        <w:t xml:space="preserve">is </w:t>
      </w:r>
      <w:r>
        <w:t xml:space="preserve">at least two orders of magnitude smaller than the </w:t>
      </w:r>
      <w:r w:rsidR="001F1066">
        <w:t>carbon harvest</w:t>
      </w:r>
      <w:r>
        <w:t xml:space="preserve">. </w:t>
      </w:r>
      <w:r w:rsidR="00493A3D">
        <w:t>T</w:t>
      </w:r>
      <w:r>
        <w:t xml:space="preserve">he very high levels of uncertainty </w:t>
      </w:r>
      <w:r w:rsidR="0004622C">
        <w:t xml:space="preserve">in ∆SOC </w:t>
      </w:r>
      <w:r>
        <w:t>preclude a</w:t>
      </w:r>
      <w:r w:rsidR="0004622C">
        <w:t>n</w:t>
      </w:r>
      <w:r>
        <w:t xml:space="preserve"> estimate that differs statistically from zero, and so we treat it as zero in our analysis. </w:t>
      </w:r>
    </w:p>
    <w:p w:rsidR="00DA0A47" w:rsidRPr="002B4E7F" w:rsidRDefault="00DA0A47" w:rsidP="00F62465">
      <w:pPr>
        <w:pStyle w:val="BodyText"/>
      </w:pPr>
      <w:r>
        <w:t>The organic carbon physically transported away from cropland (E</w:t>
      </w:r>
      <w:r>
        <w:rPr>
          <w:vertAlign w:val="subscript"/>
        </w:rPr>
        <w:t>x</w:t>
      </w:r>
      <w:r>
        <w:t xml:space="preserve">) is also highly variable and uncertain. </w:t>
      </w:r>
      <w:r w:rsidR="00207759">
        <w:t xml:space="preserve">Some of it gets metabolized elsewhere and some of it ends up in sediments. It </w:t>
      </w:r>
      <w:r>
        <w:t>is not generally considered to contribute to terrestrial carbon stocks</w:t>
      </w:r>
      <w:r w:rsidR="00207759">
        <w:t xml:space="preserve"> except perhaps in areas where eroded sediments are deposited</w:t>
      </w:r>
      <w:r>
        <w:t xml:space="preserve"> and so</w:t>
      </w:r>
      <w:r w:rsidR="00207759">
        <w:t>,</w:t>
      </w:r>
      <w:r>
        <w:t xml:space="preserve"> </w:t>
      </w:r>
      <w:r w:rsidR="00207759">
        <w:t>unlike SOC, aggregate values of E</w:t>
      </w:r>
      <w:r w:rsidR="00207759">
        <w:rPr>
          <w:vertAlign w:val="subscript"/>
        </w:rPr>
        <w:t>x</w:t>
      </w:r>
      <w:r w:rsidR="00207759">
        <w:t xml:space="preserve"> are </w:t>
      </w:r>
      <w:r>
        <w:t xml:space="preserve">not tracked </w:t>
      </w:r>
      <w:r w:rsidR="00BD26D2">
        <w:t xml:space="preserve">in </w:t>
      </w:r>
      <w:r>
        <w:t>GHG inventor</w:t>
      </w:r>
      <w:r w:rsidR="00207759">
        <w:t>ies</w:t>
      </w:r>
      <w:r>
        <w:t xml:space="preserve">. </w:t>
      </w:r>
      <w:r w:rsidR="00C51CFD">
        <w:t xml:space="preserve">On an overall global basis, </w:t>
      </w:r>
      <w:r w:rsidR="00EE0DF2" w:rsidRPr="00EE0DF2">
        <w:t>Schlesinger</w:t>
      </w:r>
      <w:r w:rsidR="00EE0DF2">
        <w:t xml:space="preserve"> &amp; </w:t>
      </w:r>
      <w:r w:rsidR="00EE0DF2" w:rsidRPr="00EE0DF2">
        <w:t>Bernhardt</w:t>
      </w:r>
      <w:r w:rsidR="00EE0DF2">
        <w:t xml:space="preserve"> (</w:t>
      </w:r>
      <w:r w:rsidR="00EE0DF2" w:rsidRPr="00EE0DF2">
        <w:t>2013</w:t>
      </w:r>
      <w:r w:rsidR="00EE0DF2">
        <w:t>, p. 150) report a range of 0.01-0.1 MgC∙ha</w:t>
      </w:r>
      <w:r w:rsidR="00EE0DF2">
        <w:rPr>
          <w:vertAlign w:val="superscript"/>
        </w:rPr>
        <w:t>-1</w:t>
      </w:r>
      <w:r w:rsidR="00EE0DF2">
        <w:t>∙yr</w:t>
      </w:r>
      <w:r w:rsidR="00EE0DF2">
        <w:rPr>
          <w:vertAlign w:val="superscript"/>
        </w:rPr>
        <w:t>-1</w:t>
      </w:r>
      <w:r w:rsidR="00EE0DF2">
        <w:t xml:space="preserve"> for this term</w:t>
      </w:r>
      <w:r w:rsidR="00207759">
        <w:t xml:space="preserve">. </w:t>
      </w:r>
      <w:r w:rsidR="00C51CFD">
        <w:t xml:space="preserve">For the net export of SOC from agricultural watersheds, </w:t>
      </w:r>
      <w:r w:rsidR="00207759">
        <w:t>Van Oost et al (2007) estimated a range of zero to ~0.07 MgC∙ha</w:t>
      </w:r>
      <w:r w:rsidR="00207759">
        <w:rPr>
          <w:vertAlign w:val="superscript"/>
        </w:rPr>
        <w:t>-1</w:t>
      </w:r>
      <w:r w:rsidR="00207759">
        <w:t>∙yr</w:t>
      </w:r>
      <w:r w:rsidR="00207759">
        <w:rPr>
          <w:vertAlign w:val="superscript"/>
        </w:rPr>
        <w:t>-1</w:t>
      </w:r>
      <w:r w:rsidR="00207759">
        <w:t xml:space="preserve">. </w:t>
      </w:r>
      <w:r w:rsidR="002B4E7F">
        <w:t>Thus, E</w:t>
      </w:r>
      <w:r w:rsidR="002B4E7F">
        <w:rPr>
          <w:vertAlign w:val="subscript"/>
        </w:rPr>
        <w:t>x</w:t>
      </w:r>
      <w:r w:rsidR="002B4E7F">
        <w:t xml:space="preserve"> </w:t>
      </w:r>
      <w:r w:rsidR="00051CAF">
        <w:t xml:space="preserve">is at </w:t>
      </w:r>
      <w:r w:rsidR="002B4E7F">
        <w:t xml:space="preserve">least </w:t>
      </w:r>
      <w:r w:rsidR="00051CAF">
        <w:t>an order of magnitude less than the carbon harvest values for major crops</w:t>
      </w:r>
      <w:r w:rsidR="002B4E7F">
        <w:t xml:space="preserve">, </w:t>
      </w:r>
      <w:r w:rsidR="00051CAF">
        <w:t>which are of the order 1-4 MgC∙ha</w:t>
      </w:r>
      <w:r w:rsidR="00051CAF">
        <w:rPr>
          <w:vertAlign w:val="superscript"/>
        </w:rPr>
        <w:t>-1</w:t>
      </w:r>
      <w:r w:rsidR="00051CAF">
        <w:t>∙yr</w:t>
      </w:r>
      <w:r w:rsidR="00051CAF">
        <w:rPr>
          <w:vertAlign w:val="superscript"/>
        </w:rPr>
        <w:t>-1</w:t>
      </w:r>
      <w:r w:rsidR="00EE0DF2">
        <w:t xml:space="preserve"> </w:t>
      </w:r>
      <w:r w:rsidR="00051CAF">
        <w:t xml:space="preserve">(Table A1). </w:t>
      </w:r>
      <w:bookmarkStart w:id="1" w:name="BkmkTemp"/>
      <w:bookmarkEnd w:id="1"/>
      <w:r w:rsidR="002B4E7F">
        <w:t>In any case, no systematic data are available for making specific estimates of E</w:t>
      </w:r>
      <w:r w:rsidR="002B4E7F">
        <w:rPr>
          <w:vertAlign w:val="subscript"/>
        </w:rPr>
        <w:t>x</w:t>
      </w:r>
      <w:r w:rsidR="002B4E7F" w:rsidRPr="002B4E7F">
        <w:t xml:space="preserve"> </w:t>
      </w:r>
      <w:r w:rsidR="002B4E7F">
        <w:t xml:space="preserve">and there is no reason to believe omitting it </w:t>
      </w:r>
      <w:r w:rsidR="002B4E7F" w:rsidRPr="002B4E7F">
        <w:t>would</w:t>
      </w:r>
      <w:r w:rsidR="002B4E7F">
        <w:t xml:space="preserve"> bias the estimates of cropland NEP one way or another. Finally, unlike for forest</w:t>
      </w:r>
      <w:r w:rsidR="00C51CFD">
        <w:t>s</w:t>
      </w:r>
      <w:r w:rsidR="002B4E7F">
        <w:t xml:space="preserve">, </w:t>
      </w:r>
      <w:r w:rsidR="00C51CFD">
        <w:t xml:space="preserve">biomass </w:t>
      </w:r>
      <w:r w:rsidR="00840563">
        <w:t>loss</w:t>
      </w:r>
      <w:r w:rsidR="002B4E7F">
        <w:t xml:space="preserve"> </w:t>
      </w:r>
      <w:r w:rsidR="00840563">
        <w:t xml:space="preserve">because of </w:t>
      </w:r>
      <w:r w:rsidR="002B4E7F">
        <w:t xml:space="preserve">fire </w:t>
      </w:r>
      <w:r w:rsidR="00840563">
        <w:t>is not significant for active</w:t>
      </w:r>
      <w:r w:rsidR="002B4E7F">
        <w:t xml:space="preserve"> </w:t>
      </w:r>
      <w:r w:rsidR="00C51CFD">
        <w:t>crop</w:t>
      </w:r>
      <w:r w:rsidR="002B4E7F">
        <w:t>la</w:t>
      </w:r>
      <w:r w:rsidR="00C51CFD">
        <w:t>nd, and so it is safe to assume</w:t>
      </w:r>
      <w:r w:rsidR="002B4E7F">
        <w:t xml:space="preserve"> that </w:t>
      </w:r>
      <w:r w:rsidR="002B4E7F">
        <w:rPr>
          <w:color w:val="000000"/>
          <w:szCs w:val="24"/>
        </w:rPr>
        <w:t>O</w:t>
      </w:r>
      <w:r w:rsidR="002B4E7F" w:rsidRPr="00904E4D">
        <w:rPr>
          <w:color w:val="000000"/>
          <w:szCs w:val="24"/>
          <w:vertAlign w:val="subscript"/>
        </w:rPr>
        <w:t>x</w:t>
      </w:r>
      <w:r w:rsidR="002B4E7F">
        <w:rPr>
          <w:color w:val="000000"/>
          <w:szCs w:val="24"/>
        </w:rPr>
        <w:t xml:space="preserve"> is zero for our analysis. </w:t>
      </w:r>
    </w:p>
    <w:p w:rsidR="00CD0788" w:rsidRDefault="00DA0A47" w:rsidP="00CD0788">
      <w:pPr>
        <w:pStyle w:val="Heading1"/>
      </w:pPr>
      <w:r>
        <w:t xml:space="preserve">A.4  </w:t>
      </w:r>
      <w:r w:rsidR="00CD0788">
        <w:t>Land Use Change</w:t>
      </w:r>
    </w:p>
    <w:p w:rsidR="00CD0788" w:rsidRPr="003E0F16" w:rsidRDefault="00CD0788" w:rsidP="00CD0788">
      <w:pPr>
        <w:pStyle w:val="BodyText"/>
        <w:rPr>
          <w:b/>
        </w:rPr>
      </w:pPr>
      <w:r w:rsidRPr="003E0F16">
        <w:rPr>
          <w:b/>
        </w:rPr>
        <w:t>(a) Direct land-use change</w:t>
      </w:r>
      <w:r w:rsidR="003E0F16" w:rsidRPr="003E0F16">
        <w:rPr>
          <w:b/>
        </w:rPr>
        <w:t xml:space="preserve"> (DLUC) </w:t>
      </w:r>
    </w:p>
    <w:p w:rsidR="00CD0788" w:rsidRDefault="00CD0788" w:rsidP="00CD0788">
      <w:pPr>
        <w:pStyle w:val="BodyText"/>
      </w:pPr>
      <w:r>
        <w:t xml:space="preserve">In the United States, some regions are seeing forest succession while in other locations cropland is expanding at the expense of other land uses, such as grasslands or land in the Conservation Reserve Program (CRP). Overall, the U.S. GHG inventory reports that the country's land-use sector has been a net sink, with average net carbon uptake of roughly 240 TgC/yr over the 2005-2013 period (derived from Table ES-2 in EPA 2015). Although carbon sequestration by the forest sink nationwide overshadows the carbon release from land conversion, the latter is still occurring and part of it involves cropland expansion. Little U.S. cropland expansion occurs at the expense of mature forests, which would cause a very large carbon stock release. However, a portion of it comes from grasslands and does involve a significant carbon release. </w:t>
      </w:r>
      <w:r w:rsidR="00970E5B">
        <w:t xml:space="preserve">Our analysis of USDA planted area data shows an increase of 10 million hectares (Mha), or by 8%, for major </w:t>
      </w:r>
      <w:r w:rsidR="00970E5B">
        <w:lastRenderedPageBreak/>
        <w:t xml:space="preserve">crops over the 2005-2013 period. Corn area increased by nearly 17% and soy by 6% (see the RFS-Crop-Analysis workbook). </w:t>
      </w:r>
    </w:p>
    <w:p w:rsidR="00CD0788" w:rsidRPr="00CD0788" w:rsidRDefault="00CD0788" w:rsidP="00CD0788">
      <w:pPr>
        <w:pStyle w:val="BodyText"/>
      </w:pPr>
      <w:r>
        <w:t>The literature that focuses on land-use and land-cover changes associated with U.S. cropland indicates a net loss of carbon sequestering land since the RFS took effect. Using the satellite-based CDL, Lark et al (2015) found that 3.0 million hectares (Mha; or 7.3 million acres) of land that had been uncultivated since 2001 was converted to cropland between 2008 and 2012. That gross expansion amounts to 2.6% of the roughly 120 Mha of active plus intermittent cropland in the United States. The same period saw the abandonment of 1.8 Mha of cropland, so that net expansion amounted to 1.2 Mha. However, carbon stock releases from the gross land conversion, 77% of which came from grassland, dominate sequestration in abandoned croplands. Lark et al (2015) estimated a likely net DLUC release of 131 MMT CO</w:t>
      </w:r>
      <w:r w:rsidRPr="00CD0788">
        <w:rPr>
          <w:vertAlign w:val="subscript"/>
        </w:rPr>
        <w:t>2</w:t>
      </w:r>
      <w:r>
        <w:t xml:space="preserve">e (36 TgC in the units used here) over 2008-12. Because they rely on the CDL, which starts in 2008, Lark et al did not estimate land-use change between 2005 and 2008. </w:t>
      </w:r>
      <w:r w:rsidR="004572CC">
        <w:t xml:space="preserve">Because our analysis is only using land-use change estimates for comparison purposes, </w:t>
      </w:r>
      <w:r w:rsidR="0004622C">
        <w:t>we reference the</w:t>
      </w:r>
      <w:r>
        <w:t xml:space="preserve"> Lark et al estimate for 2008-2012 </w:t>
      </w:r>
      <w:r w:rsidR="0004622C">
        <w:t xml:space="preserve">while </w:t>
      </w:r>
      <w:r w:rsidR="004572CC">
        <w:t>not</w:t>
      </w:r>
      <w:r w:rsidR="0004622C">
        <w:t>ing</w:t>
      </w:r>
      <w:r w:rsidR="004572CC">
        <w:t xml:space="preserve"> that </w:t>
      </w:r>
      <w:r>
        <w:t xml:space="preserve">the </w:t>
      </w:r>
      <w:r w:rsidR="004572CC">
        <w:t xml:space="preserve">total </w:t>
      </w:r>
      <w:r>
        <w:t xml:space="preserve">DLUC impact over 2005-2013 </w:t>
      </w:r>
      <w:r w:rsidR="0004622C">
        <w:t xml:space="preserve">was </w:t>
      </w:r>
      <w:r w:rsidR="004572CC">
        <w:t xml:space="preserve">most likely </w:t>
      </w:r>
      <w:r>
        <w:t>higher than th</w:t>
      </w:r>
      <w:r w:rsidR="004572CC">
        <w:t>at</w:t>
      </w:r>
      <w:r>
        <w:t xml:space="preserve">. </w:t>
      </w:r>
    </w:p>
    <w:p w:rsidR="003E0F16" w:rsidRPr="003E0F16" w:rsidRDefault="003E0F16" w:rsidP="00970E5B">
      <w:pPr>
        <w:pStyle w:val="BodyText"/>
        <w:keepNext/>
        <w:rPr>
          <w:b/>
        </w:rPr>
      </w:pPr>
      <w:r w:rsidRPr="003E0F16">
        <w:rPr>
          <w:b/>
        </w:rPr>
        <w:t>(b) Indirect land-use change (</w:t>
      </w:r>
      <w:r w:rsidR="002B2B5C">
        <w:rPr>
          <w:b/>
        </w:rPr>
        <w:t>I</w:t>
      </w:r>
      <w:r w:rsidRPr="003E0F16">
        <w:rPr>
          <w:b/>
        </w:rPr>
        <w:t>LUC)</w:t>
      </w:r>
    </w:p>
    <w:p w:rsidR="003E0F16" w:rsidRDefault="003E0F16" w:rsidP="003E0F16">
      <w:pPr>
        <w:pStyle w:val="BodyText"/>
      </w:pPr>
      <w:r>
        <w:t>Indirect land-use change (ILUC) has become one of the most debated and analyzed aspects of fuel</w:t>
      </w:r>
      <w:r w:rsidR="0004622C">
        <w:t xml:space="preserve">-related LCA </w:t>
      </w:r>
      <w:r>
        <w:t>since the RFS and LCFS required its determination for regulatory purposes. The range of estimates is quite large and depends on model choice and structural assumptions at least as much as it involves uncertainties in data (Plevin et al 2015). For purposes of this analysis, we do not attempt to assess which of the many ILUC modeling approaches might be the most reasonable. Rather, we use EPA's modeling outputs for the RFS and re-apply them for the year-at-a-time accounting used by the ABC method</w:t>
      </w:r>
      <w:r w:rsidR="0095409F">
        <w:t xml:space="preserve">, without presuming </w:t>
      </w:r>
      <w:r w:rsidR="0004622C">
        <w:t xml:space="preserve">that carbon stock releases due to land-use change can be amortized </w:t>
      </w:r>
      <w:r>
        <w:t xml:space="preserve">over a predetermined </w:t>
      </w:r>
      <w:r w:rsidR="0004622C">
        <w:t>period of time</w:t>
      </w:r>
      <w:r>
        <w:t>, such as the 30</w:t>
      </w:r>
      <w:r w:rsidR="0004622C">
        <w:t>-</w:t>
      </w:r>
      <w:r>
        <w:t xml:space="preserve">year </w:t>
      </w:r>
      <w:r w:rsidR="0004622C">
        <w:t xml:space="preserve">lifecycle </w:t>
      </w:r>
      <w:r>
        <w:t xml:space="preserve">assumed for the RFS. </w:t>
      </w:r>
    </w:p>
    <w:p w:rsidR="003E0F16" w:rsidRDefault="000D3F29" w:rsidP="003E0F16">
      <w:pPr>
        <w:pStyle w:val="BodyText"/>
      </w:pPr>
      <w:r>
        <w:rPr>
          <w:noProof/>
          <w:color w:val="000000"/>
        </w:rPr>
        <w:lastRenderedPageBreak/>
        <mc:AlternateContent>
          <mc:Choice Requires="wps">
            <w:drawing>
              <wp:anchor distT="91440" distB="0" distL="114300" distR="114300" simplePos="0" relativeHeight="251661312" behindDoc="0" locked="0" layoutInCell="0" allowOverlap="0" wp14:anchorId="226827F6" wp14:editId="10D1D59F">
                <wp:simplePos x="0" y="0"/>
                <wp:positionH relativeFrom="margin">
                  <wp:posOffset>0</wp:posOffset>
                </wp:positionH>
                <wp:positionV relativeFrom="margin">
                  <wp:posOffset>4381500</wp:posOffset>
                </wp:positionV>
                <wp:extent cx="6080760" cy="382905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6080760" cy="3829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0E5B" w:rsidRDefault="00EA7688" w:rsidP="00970E5B">
                            <w:pPr>
                              <w:jc w:val="center"/>
                            </w:pPr>
                            <w:r>
                              <w:rPr>
                                <w:noProof/>
                              </w:rPr>
                              <w:drawing>
                                <wp:inline distT="0" distB="0" distL="0" distR="0">
                                  <wp:extent cx="4460033" cy="2828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CC-A1.jpg"/>
                                          <pic:cNvPicPr/>
                                        </pic:nvPicPr>
                                        <pic:blipFill>
                                          <a:blip r:embed="rId7">
                                            <a:extLst>
                                              <a:ext uri="{28A0092B-C50C-407E-A947-70E740481C1C}">
                                                <a14:useLocalDpi xmlns:a14="http://schemas.microsoft.com/office/drawing/2010/main" val="0"/>
                                              </a:ext>
                                            </a:extLst>
                                          </a:blip>
                                          <a:stretch>
                                            <a:fillRect/>
                                          </a:stretch>
                                        </pic:blipFill>
                                        <pic:spPr>
                                          <a:xfrm>
                                            <a:off x="0" y="0"/>
                                            <a:ext cx="4483113" cy="2842643"/>
                                          </a:xfrm>
                                          <a:prstGeom prst="rect">
                                            <a:avLst/>
                                          </a:prstGeom>
                                        </pic:spPr>
                                      </pic:pic>
                                    </a:graphicData>
                                  </a:graphic>
                                </wp:inline>
                              </w:drawing>
                            </w:r>
                          </w:p>
                          <w:p w:rsidR="000D3F29" w:rsidRDefault="00970E5B" w:rsidP="00970E5B">
                            <w:pPr>
                              <w:tabs>
                                <w:tab w:val="clear" w:pos="720"/>
                                <w:tab w:val="left" w:pos="2250"/>
                              </w:tabs>
                              <w:spacing w:before="120"/>
                              <w:ind w:left="2250" w:hanging="1080"/>
                              <w:rPr>
                                <w:rFonts w:ascii="Arial" w:hAnsi="Arial" w:cs="Arial"/>
                                <w:b/>
                                <w:sz w:val="21"/>
                                <w:szCs w:val="21"/>
                              </w:rPr>
                            </w:pPr>
                            <w:r w:rsidRPr="006B1B77">
                              <w:rPr>
                                <w:rFonts w:ascii="Arial" w:hAnsi="Arial" w:cs="Arial"/>
                                <w:b/>
                                <w:sz w:val="21"/>
                                <w:szCs w:val="21"/>
                              </w:rPr>
                              <w:t xml:space="preserve">Figure </w:t>
                            </w:r>
                            <w:r>
                              <w:rPr>
                                <w:rFonts w:ascii="Arial" w:hAnsi="Arial" w:cs="Arial"/>
                                <w:b/>
                                <w:sz w:val="21"/>
                                <w:szCs w:val="21"/>
                              </w:rPr>
                              <w:t>A1</w:t>
                            </w:r>
                            <w:r w:rsidRPr="006B1B77">
                              <w:rPr>
                                <w:rFonts w:ascii="Arial" w:hAnsi="Arial" w:cs="Arial"/>
                                <w:b/>
                                <w:sz w:val="21"/>
                                <w:szCs w:val="21"/>
                              </w:rPr>
                              <w:t>.</w:t>
                            </w:r>
                            <w:r>
                              <w:rPr>
                                <w:rFonts w:ascii="Arial" w:hAnsi="Arial" w:cs="Arial"/>
                                <w:b/>
                                <w:sz w:val="21"/>
                                <w:szCs w:val="21"/>
                              </w:rPr>
                              <w:tab/>
                              <w:t>C</w:t>
                            </w:r>
                            <w:r w:rsidRPr="006B1B77">
                              <w:rPr>
                                <w:rFonts w:ascii="Arial" w:hAnsi="Arial" w:cs="Arial"/>
                                <w:b/>
                                <w:sz w:val="21"/>
                                <w:szCs w:val="21"/>
                              </w:rPr>
                              <w:t xml:space="preserve">arbon </w:t>
                            </w:r>
                            <w:r>
                              <w:rPr>
                                <w:rFonts w:ascii="Arial" w:hAnsi="Arial" w:cs="Arial"/>
                                <w:b/>
                                <w:sz w:val="21"/>
                                <w:szCs w:val="21"/>
                              </w:rPr>
                              <w:t xml:space="preserve">release patterns for indirect land-use change (ILUC) </w:t>
                            </w:r>
                            <w:r>
                              <w:rPr>
                                <w:rFonts w:ascii="Arial" w:hAnsi="Arial" w:cs="Arial"/>
                                <w:b/>
                                <w:sz w:val="21"/>
                                <w:szCs w:val="21"/>
                              </w:rPr>
                              <w:br/>
                              <w:t xml:space="preserve">due to expanding corn ethanol and soy biodiesel production </w:t>
                            </w:r>
                          </w:p>
                          <w:p w:rsidR="00970E5B" w:rsidRPr="00E61AF7" w:rsidRDefault="00970E5B" w:rsidP="000D3F29">
                            <w:pPr>
                              <w:tabs>
                                <w:tab w:val="clear" w:pos="720"/>
                              </w:tabs>
                              <w:spacing w:before="120"/>
                              <w:ind w:left="1170"/>
                              <w:rPr>
                                <w:rFonts w:ascii="Arial" w:hAnsi="Arial" w:cs="Arial"/>
                                <w:sz w:val="18"/>
                                <w:szCs w:val="18"/>
                              </w:rPr>
                            </w:pPr>
                            <w:r w:rsidRPr="00E61AF7">
                              <w:rPr>
                                <w:rFonts w:ascii="Arial" w:hAnsi="Arial" w:cs="Arial"/>
                                <w:sz w:val="18"/>
                                <w:szCs w:val="18"/>
                              </w:rPr>
                              <w:t>Grey arrow shows maximum extent of integration (summation of</w:t>
                            </w:r>
                            <w:r>
                              <w:rPr>
                                <w:rFonts w:ascii="Arial" w:hAnsi="Arial" w:cs="Arial"/>
                                <w:sz w:val="18"/>
                                <w:szCs w:val="18"/>
                              </w:rPr>
                              <w:t xml:space="preserve"> </w:t>
                            </w:r>
                            <w:r w:rsidRPr="00E61AF7">
                              <w:rPr>
                                <w:rFonts w:ascii="Arial" w:hAnsi="Arial" w:cs="Arial"/>
                                <w:sz w:val="18"/>
                                <w:szCs w:val="18"/>
                              </w:rPr>
                              <w:t xml:space="preserve">areas under the curves) </w:t>
                            </w:r>
                            <w:r w:rsidR="000D3F29">
                              <w:rPr>
                                <w:rFonts w:ascii="Arial" w:hAnsi="Arial" w:cs="Arial"/>
                                <w:sz w:val="18"/>
                                <w:szCs w:val="18"/>
                              </w:rPr>
                              <w:br/>
                            </w:r>
                            <w:r>
                              <w:rPr>
                                <w:rFonts w:ascii="Arial" w:hAnsi="Arial" w:cs="Arial"/>
                                <w:sz w:val="18"/>
                                <w:szCs w:val="18"/>
                              </w:rPr>
                              <w:t xml:space="preserve">used </w:t>
                            </w:r>
                            <w:r w:rsidRPr="00E61AF7">
                              <w:rPr>
                                <w:rFonts w:ascii="Arial" w:hAnsi="Arial" w:cs="Arial"/>
                                <w:sz w:val="18"/>
                                <w:szCs w:val="18"/>
                              </w:rPr>
                              <w:t xml:space="preserve">to estimate cumulative impacts through 2013. </w:t>
                            </w:r>
                            <w:r w:rsidR="000D3F29">
                              <w:rPr>
                                <w:rFonts w:ascii="Arial" w:hAnsi="Arial" w:cs="Arial"/>
                                <w:sz w:val="18"/>
                                <w:szCs w:val="18"/>
                              </w:rPr>
                              <w:br/>
                            </w:r>
                            <w:r w:rsidRPr="00E61AF7">
                              <w:rPr>
                                <w:rFonts w:ascii="Arial" w:hAnsi="Arial" w:cs="Arial"/>
                                <w:sz w:val="18"/>
                                <w:szCs w:val="18"/>
                              </w:rPr>
                              <w:t>Sourc</w:t>
                            </w:r>
                            <w:r>
                              <w:rPr>
                                <w:rFonts w:ascii="Arial" w:hAnsi="Arial" w:cs="Arial"/>
                                <w:sz w:val="18"/>
                                <w:szCs w:val="18"/>
                              </w:rPr>
                              <w:t>e: derived from EPA (2010c</w:t>
                            </w:r>
                            <w:r w:rsidRPr="00E61AF7">
                              <w:rPr>
                                <w:rFonts w:ascii="Arial" w:hAnsi="Arial" w:cs="Arial"/>
                                <w:sz w:val="18"/>
                                <w:szCs w:val="18"/>
                              </w:rPr>
                              <w:t>)</w:t>
                            </w:r>
                            <w:r>
                              <w:rPr>
                                <w:rFonts w:ascii="Arial" w:hAnsi="Arial" w:cs="Arial"/>
                                <w:sz w:val="18"/>
                                <w:szCs w:val="18"/>
                              </w:rPr>
                              <w:t xml:space="preserve"> projections for expansions in 2012.</w:t>
                            </w:r>
                            <w:r>
                              <w:rPr>
                                <w:rFonts w:ascii="Arial" w:hAnsi="Arial" w:cs="Arial"/>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26827F6" id="Text Box 27" o:spid="_x0000_s1028" type="#_x0000_t202" style="position:absolute;margin-left:0;margin-top:345pt;width:478.8pt;height:301.5pt;z-index:251661312;visibility:visible;mso-wrap-style:square;mso-width-percent:0;mso-height-percent:0;mso-wrap-distance-left:9pt;mso-wrap-distance-top:7.2pt;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" o:allowincell="f" o:allowoverlap="f" fillcolor="#f0f0ff [3201]" stroked="f" strokeweight=".5pt">
                <v:textbox>
                  <w:txbxContent>
                    <w:p w:rsidR="00970E5B" w:rsidRDefault="00EA7688" w:rsidP="00970E5B">
                      <w:pPr>
                        <w:jc w:val="center"/>
                      </w:pPr>
                      <w:r>
                        <w:rPr>
                          <w:noProof/>
                        </w:rPr>
                        <w:drawing>
                          <wp:inline distT="0" distB="0" distL="0" distR="0">
                            <wp:extent cx="4460033" cy="2828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CC-A1.jpg"/>
                                    <pic:cNvPicPr/>
                                  </pic:nvPicPr>
                                  <pic:blipFill>
                                    <a:blip r:embed="rId8">
                                      <a:extLst>
                                        <a:ext uri="{28A0092B-C50C-407E-A947-70E740481C1C}">
                                          <a14:useLocalDpi xmlns:a14="http://schemas.microsoft.com/office/drawing/2010/main" val="0"/>
                                        </a:ext>
                                      </a:extLst>
                                    </a:blip>
                                    <a:stretch>
                                      <a:fillRect/>
                                    </a:stretch>
                                  </pic:blipFill>
                                  <pic:spPr>
                                    <a:xfrm>
                                      <a:off x="0" y="0"/>
                                      <a:ext cx="4483113" cy="2842643"/>
                                    </a:xfrm>
                                    <a:prstGeom prst="rect">
                                      <a:avLst/>
                                    </a:prstGeom>
                                  </pic:spPr>
                                </pic:pic>
                              </a:graphicData>
                            </a:graphic>
                          </wp:inline>
                        </w:drawing>
                      </w:r>
                    </w:p>
                    <w:p w:rsidR="000D3F29" w:rsidRDefault="00970E5B" w:rsidP="00970E5B">
                      <w:pPr>
                        <w:tabs>
                          <w:tab w:val="clear" w:pos="720"/>
                          <w:tab w:val="left" w:pos="2250"/>
                        </w:tabs>
                        <w:spacing w:before="120"/>
                        <w:ind w:left="2250" w:hanging="1080"/>
                        <w:rPr>
                          <w:rFonts w:ascii="Arial" w:hAnsi="Arial" w:cs="Arial"/>
                          <w:b/>
                          <w:sz w:val="21"/>
                          <w:szCs w:val="21"/>
                        </w:rPr>
                      </w:pPr>
                      <w:r w:rsidRPr="006B1B77">
                        <w:rPr>
                          <w:rFonts w:ascii="Arial" w:hAnsi="Arial" w:cs="Arial"/>
                          <w:b/>
                          <w:sz w:val="21"/>
                          <w:szCs w:val="21"/>
                        </w:rPr>
                        <w:t xml:space="preserve">Figure </w:t>
                      </w:r>
                      <w:r>
                        <w:rPr>
                          <w:rFonts w:ascii="Arial" w:hAnsi="Arial" w:cs="Arial"/>
                          <w:b/>
                          <w:sz w:val="21"/>
                          <w:szCs w:val="21"/>
                        </w:rPr>
                        <w:t>A1</w:t>
                      </w:r>
                      <w:r w:rsidRPr="006B1B77">
                        <w:rPr>
                          <w:rFonts w:ascii="Arial" w:hAnsi="Arial" w:cs="Arial"/>
                          <w:b/>
                          <w:sz w:val="21"/>
                          <w:szCs w:val="21"/>
                        </w:rPr>
                        <w:t>.</w:t>
                      </w:r>
                      <w:r>
                        <w:rPr>
                          <w:rFonts w:ascii="Arial" w:hAnsi="Arial" w:cs="Arial"/>
                          <w:b/>
                          <w:sz w:val="21"/>
                          <w:szCs w:val="21"/>
                        </w:rPr>
                        <w:tab/>
                        <w:t>C</w:t>
                      </w:r>
                      <w:r w:rsidRPr="006B1B77">
                        <w:rPr>
                          <w:rFonts w:ascii="Arial" w:hAnsi="Arial" w:cs="Arial"/>
                          <w:b/>
                          <w:sz w:val="21"/>
                          <w:szCs w:val="21"/>
                        </w:rPr>
                        <w:t xml:space="preserve">arbon </w:t>
                      </w:r>
                      <w:r>
                        <w:rPr>
                          <w:rFonts w:ascii="Arial" w:hAnsi="Arial" w:cs="Arial"/>
                          <w:b/>
                          <w:sz w:val="21"/>
                          <w:szCs w:val="21"/>
                        </w:rPr>
                        <w:t xml:space="preserve">release patterns for indirect land-use change (ILUC) </w:t>
                      </w:r>
                      <w:r>
                        <w:rPr>
                          <w:rFonts w:ascii="Arial" w:hAnsi="Arial" w:cs="Arial"/>
                          <w:b/>
                          <w:sz w:val="21"/>
                          <w:szCs w:val="21"/>
                        </w:rPr>
                        <w:br/>
                        <w:t xml:space="preserve">due to expanding corn ethanol and soy biodiesel production </w:t>
                      </w:r>
                    </w:p>
                    <w:p w:rsidR="00970E5B" w:rsidRPr="00E61AF7" w:rsidRDefault="00970E5B" w:rsidP="000D3F29">
                      <w:pPr>
                        <w:tabs>
                          <w:tab w:val="clear" w:pos="720"/>
                        </w:tabs>
                        <w:spacing w:before="120"/>
                        <w:ind w:left="1170"/>
                        <w:rPr>
                          <w:rFonts w:ascii="Arial" w:hAnsi="Arial" w:cs="Arial"/>
                          <w:sz w:val="18"/>
                          <w:szCs w:val="18"/>
                        </w:rPr>
                      </w:pPr>
                      <w:r w:rsidRPr="00E61AF7">
                        <w:rPr>
                          <w:rFonts w:ascii="Arial" w:hAnsi="Arial" w:cs="Arial"/>
                          <w:sz w:val="18"/>
                          <w:szCs w:val="18"/>
                        </w:rPr>
                        <w:t>Grey arrow shows maximum extent of integration (summation of</w:t>
                      </w:r>
                      <w:r>
                        <w:rPr>
                          <w:rFonts w:ascii="Arial" w:hAnsi="Arial" w:cs="Arial"/>
                          <w:sz w:val="18"/>
                          <w:szCs w:val="18"/>
                        </w:rPr>
                        <w:t xml:space="preserve"> </w:t>
                      </w:r>
                      <w:r w:rsidRPr="00E61AF7">
                        <w:rPr>
                          <w:rFonts w:ascii="Arial" w:hAnsi="Arial" w:cs="Arial"/>
                          <w:sz w:val="18"/>
                          <w:szCs w:val="18"/>
                        </w:rPr>
                        <w:t xml:space="preserve">areas under the curves) </w:t>
                      </w:r>
                      <w:r w:rsidR="000D3F29">
                        <w:rPr>
                          <w:rFonts w:ascii="Arial" w:hAnsi="Arial" w:cs="Arial"/>
                          <w:sz w:val="18"/>
                          <w:szCs w:val="18"/>
                        </w:rPr>
                        <w:br/>
                      </w:r>
                      <w:r>
                        <w:rPr>
                          <w:rFonts w:ascii="Arial" w:hAnsi="Arial" w:cs="Arial"/>
                          <w:sz w:val="18"/>
                          <w:szCs w:val="18"/>
                        </w:rPr>
                        <w:t xml:space="preserve">used </w:t>
                      </w:r>
                      <w:r w:rsidRPr="00E61AF7">
                        <w:rPr>
                          <w:rFonts w:ascii="Arial" w:hAnsi="Arial" w:cs="Arial"/>
                          <w:sz w:val="18"/>
                          <w:szCs w:val="18"/>
                        </w:rPr>
                        <w:t xml:space="preserve">to estimate cumulative impacts through 2013. </w:t>
                      </w:r>
                      <w:r w:rsidR="000D3F29">
                        <w:rPr>
                          <w:rFonts w:ascii="Arial" w:hAnsi="Arial" w:cs="Arial"/>
                          <w:sz w:val="18"/>
                          <w:szCs w:val="18"/>
                        </w:rPr>
                        <w:br/>
                      </w:r>
                      <w:r w:rsidRPr="00E61AF7">
                        <w:rPr>
                          <w:rFonts w:ascii="Arial" w:hAnsi="Arial" w:cs="Arial"/>
                          <w:sz w:val="18"/>
                          <w:szCs w:val="18"/>
                        </w:rPr>
                        <w:t>Sourc</w:t>
                      </w:r>
                      <w:r>
                        <w:rPr>
                          <w:rFonts w:ascii="Arial" w:hAnsi="Arial" w:cs="Arial"/>
                          <w:sz w:val="18"/>
                          <w:szCs w:val="18"/>
                        </w:rPr>
                        <w:t>e: derived from EPA (2010c</w:t>
                      </w:r>
                      <w:r w:rsidRPr="00E61AF7">
                        <w:rPr>
                          <w:rFonts w:ascii="Arial" w:hAnsi="Arial" w:cs="Arial"/>
                          <w:sz w:val="18"/>
                          <w:szCs w:val="18"/>
                        </w:rPr>
                        <w:t>)</w:t>
                      </w:r>
                      <w:r>
                        <w:rPr>
                          <w:rFonts w:ascii="Arial" w:hAnsi="Arial" w:cs="Arial"/>
                          <w:sz w:val="18"/>
                          <w:szCs w:val="18"/>
                        </w:rPr>
                        <w:t xml:space="preserve"> projections for expansions in 2012.</w:t>
                      </w:r>
                      <w:r>
                        <w:rPr>
                          <w:rFonts w:ascii="Arial" w:hAnsi="Arial" w:cs="Arial"/>
                          <w:b/>
                          <w:sz w:val="18"/>
                          <w:szCs w:val="18"/>
                        </w:rPr>
                        <w:t xml:space="preserve"> </w:t>
                      </w:r>
                    </w:p>
                  </w:txbxContent>
                </v:textbox>
                <w10:wrap type="square" anchorx="margin" anchory="margin"/>
              </v:shape>
            </w:pict>
          </mc:Fallback>
        </mc:AlternateContent>
      </w:r>
      <w:r w:rsidR="003E0F16">
        <w:t xml:space="preserve">The EPA (2010c) </w:t>
      </w:r>
      <w:r w:rsidR="003E0F16" w:rsidRPr="00F92F99">
        <w:t xml:space="preserve">fuel-specific </w:t>
      </w:r>
      <w:r w:rsidR="003E0F16">
        <w:t>LCA spreadsheets provide annual projections for biofuel expansions made in the years 2012, 2017 and 2022</w:t>
      </w:r>
      <w:r w:rsidR="003E0F16" w:rsidRPr="00F92F99">
        <w:t>.</w:t>
      </w:r>
      <w:r w:rsidR="003E0F16">
        <w:t xml:space="preserve"> The 2022 results are featured in the final rule and an earlier version of the ILUC analysis conducted for the proposed rule was illustrated in Figure VI.B.5-1 of that document (EPA 2009, p. 25034). ILUC causes a very large initial carbon release due to land clearing followed by years of lower-level releases from soil carbon loss that eventually taper off to a long-term effect of foregone forest carbon sequestration. We adopt EPA's mid-range ILUC carbon release estimates for expansions that occur in 2012 in order to represent the effect during our 2005-2013 analysis period. These projected ILUC releases for corn ethanol and soy biodiesel are plotted here in Figure A1; note the use of a logarithmic vertical scale that shows how the initial carbon release is well over an order of magnitude larger than the subsequent annual releases. </w:t>
      </w:r>
    </w:p>
    <w:p w:rsidR="003E0F16" w:rsidRDefault="003E0F16" w:rsidP="003E0F16">
      <w:pPr>
        <w:pStyle w:val="BodyText"/>
      </w:pPr>
      <w:r>
        <w:t xml:space="preserve">To combine these ILUC impact estimates with our annual accounting, we integrate the area under the curve from each year of biofuel expansion through 2013. Thus, the maximum number of years summed is eight (from 2005 to 2013), as illustrated by the block arrow in the figure. For example, to estimate cumulative ILUC emissions through 2013 for an increase in corn ethanol use from 2007 to 2008, we sum the first six years under the corn ethanol curve in Figure </w:t>
      </w:r>
      <w:r w:rsidR="000321FA">
        <w:t>A</w:t>
      </w:r>
      <w:r>
        <w:t xml:space="preserve">1. The same approach is used to estimate the ILUC impact for soy biodiesel. </w:t>
      </w:r>
      <w:r w:rsidR="000321FA">
        <w:t xml:space="preserve">Details of these calculations are given in Tab L of the RFS-ABC-Analysis workbook. </w:t>
      </w:r>
    </w:p>
    <w:p w:rsidR="00B23364" w:rsidRPr="005B74C6" w:rsidRDefault="003E0F16" w:rsidP="005B74C6">
      <w:pPr>
        <w:pStyle w:val="BodyText"/>
      </w:pPr>
      <w:r>
        <w:t>Summing the results for both ethanol and biodiesel over the staggered periods of up to eight years between 2005 and 2013 yields a cumulative release of 433 TgC (million metric tons of carbon mass, which corresponds to nearly 1.6 billion tons on a CO</w:t>
      </w:r>
      <w:r>
        <w:rPr>
          <w:vertAlign w:val="subscript"/>
        </w:rPr>
        <w:t>2</w:t>
      </w:r>
      <w:r>
        <w:t xml:space="preserve"> mass basis). </w:t>
      </w:r>
      <w:r w:rsidR="00D941B7">
        <w:t xml:space="preserve">Any such ILUC projection is highly uncertain; applying </w:t>
      </w:r>
      <w:r w:rsidR="00D941B7" w:rsidRPr="00EF33A6">
        <w:rPr>
          <w:color w:val="000000"/>
        </w:rPr>
        <w:t xml:space="preserve">the uncertainty levels </w:t>
      </w:r>
      <w:r w:rsidR="00D941B7">
        <w:rPr>
          <w:color w:val="000000"/>
        </w:rPr>
        <w:t>calculated by Plevin et al (2010) suggest</w:t>
      </w:r>
      <w:r w:rsidR="00D941B7" w:rsidRPr="00EF33A6">
        <w:rPr>
          <w:color w:val="000000"/>
        </w:rPr>
        <w:t xml:space="preserve"> a range of roughly 300 TgC to 600 TgC for </w:t>
      </w:r>
      <w:r w:rsidR="00D941B7">
        <w:rPr>
          <w:color w:val="000000"/>
        </w:rPr>
        <w:t xml:space="preserve">the </w:t>
      </w:r>
      <w:r w:rsidR="00D941B7" w:rsidRPr="00EF33A6">
        <w:rPr>
          <w:color w:val="000000"/>
        </w:rPr>
        <w:t xml:space="preserve">ILUC </w:t>
      </w:r>
      <w:r w:rsidR="00D941B7">
        <w:rPr>
          <w:color w:val="000000"/>
        </w:rPr>
        <w:t xml:space="preserve">impact over the 2005-2013 period. </w:t>
      </w:r>
      <w:r w:rsidR="00D941B7">
        <w:rPr>
          <w:color w:val="000000"/>
        </w:rPr>
        <w:lastRenderedPageBreak/>
        <w:t xml:space="preserve">Nevertheless, such estimates reflect an </w:t>
      </w:r>
      <w:r>
        <w:t xml:space="preserve">impact </w:t>
      </w:r>
      <w:r w:rsidR="00D941B7">
        <w:t xml:space="preserve">that is </w:t>
      </w:r>
      <w:r>
        <w:t xml:space="preserve">is an order of magnitude greater than </w:t>
      </w:r>
      <w:r w:rsidR="00D941B7">
        <w:t xml:space="preserve">that of </w:t>
      </w:r>
      <w:r>
        <w:t>DLUC</w:t>
      </w:r>
      <w:r w:rsidR="00D941B7">
        <w:t>. Together, the CO</w:t>
      </w:r>
      <w:r w:rsidR="00D941B7">
        <w:rPr>
          <w:vertAlign w:val="subscript"/>
        </w:rPr>
        <w:t>2</w:t>
      </w:r>
      <w:r w:rsidR="00D941B7">
        <w:t xml:space="preserve"> releases related to land-use change swamp the changes in direct emissions from the vehicle-fuel system</w:t>
      </w:r>
      <w:r>
        <w:t xml:space="preserve">. Even if highly uncertain, </w:t>
      </w:r>
      <w:r w:rsidR="00D941B7">
        <w:t xml:space="preserve">they </w:t>
      </w:r>
      <w:r>
        <w:t xml:space="preserve">clearly </w:t>
      </w:r>
      <w:r w:rsidR="00D941B7">
        <w:t>serve</w:t>
      </w:r>
      <w:r>
        <w:t xml:space="preserve"> to push the overall </w:t>
      </w:r>
      <w:r w:rsidR="009E0D32">
        <w:t xml:space="preserve">GHG emissions </w:t>
      </w:r>
      <w:r>
        <w:t xml:space="preserve">impact of the renewable fuel expansion into a zone of being worse than </w:t>
      </w:r>
      <w:r w:rsidR="009E0D32">
        <w:t xml:space="preserve">the GHG emissions from </w:t>
      </w:r>
      <w:r>
        <w:t xml:space="preserve">continued use of petroleum fuels over the period. Moreover, because </w:t>
      </w:r>
      <w:r w:rsidR="00D941B7">
        <w:t xml:space="preserve">the </w:t>
      </w:r>
      <w:r>
        <w:t xml:space="preserve">increase in NEP on cropland was insufficient to </w:t>
      </w:r>
      <w:r w:rsidR="009E0D32">
        <w:t xml:space="preserve">fully </w:t>
      </w:r>
      <w:r>
        <w:t xml:space="preserve">offset the biogenic emissions, </w:t>
      </w:r>
      <w:r w:rsidR="00D941B7">
        <w:t xml:space="preserve">the </w:t>
      </w:r>
      <w:r>
        <w:t xml:space="preserve">carbon debt </w:t>
      </w:r>
      <w:r w:rsidR="00D941B7">
        <w:t xml:space="preserve">due to </w:t>
      </w:r>
      <w:r>
        <w:t>DLUC and ILUC</w:t>
      </w:r>
      <w:r w:rsidR="00D941B7">
        <w:t xml:space="preserve"> </w:t>
      </w:r>
      <w:r w:rsidR="009E0D32">
        <w:t>will take longer to repay than implied by analyses that assume biofuel carbon neutrality</w:t>
      </w:r>
      <w:r w:rsidR="00D941B7">
        <w:t>, if it can be repaid at all</w:t>
      </w:r>
      <w:r w:rsidR="009E0D32">
        <w:t xml:space="preserve">. </w:t>
      </w:r>
    </w:p>
    <w:p w:rsidR="00B23364" w:rsidRDefault="00B23364" w:rsidP="00B23364">
      <w:pPr>
        <w:pStyle w:val="Heading1"/>
      </w:pPr>
      <w:r>
        <w:t>References</w:t>
      </w:r>
    </w:p>
    <w:p w:rsidR="00B23364" w:rsidRDefault="00B23364" w:rsidP="00B23364">
      <w:pPr>
        <w:pStyle w:val="BodyText"/>
        <w:ind w:left="720" w:hanging="720"/>
      </w:pPr>
      <w:r>
        <w:t>Boryan, C.G., et al. 2014. US Geospatial Crop Frequency Data Layers. Proc. of the Third International Conference on Agro-geoinformatics (Agro-geoinformatics 2014), August 11-14 2014, Beijing, China, doi:10.1109/Agro-Geoinformatics.2014.6910657.</w:t>
      </w:r>
    </w:p>
    <w:p w:rsidR="00B23364" w:rsidRDefault="00B23364" w:rsidP="00B23364">
      <w:pPr>
        <w:pStyle w:val="BodyText"/>
        <w:ind w:left="720" w:hanging="720"/>
      </w:pPr>
      <w:r>
        <w:t xml:space="preserve">CARB. 2012. LCFS Lookup Tables as of December 2012. Sacramento, CA: California Air Resources Board. www.arb.ca.gov/fuels/lcfs/lu_tables_11282012.pdf </w:t>
      </w:r>
    </w:p>
    <w:p w:rsidR="00B23364" w:rsidRDefault="00B23364" w:rsidP="00B23364">
      <w:pPr>
        <w:pStyle w:val="BodyText"/>
        <w:ind w:left="720" w:hanging="720"/>
      </w:pPr>
      <w:r>
        <w:t xml:space="preserve">Clarke, S., &amp; Preto, F. 2011. Biomass burn </w:t>
      </w:r>
      <w:r w:rsidR="00716F7E">
        <w:t>characteristics</w:t>
      </w:r>
      <w:r>
        <w:t>. Factsheet, June 2011, 1- 8. Retrieved from http://www.omafra.gov.on.ca/english/engineer/facts/11-033.htm</w:t>
      </w:r>
    </w:p>
    <w:p w:rsidR="00B23364" w:rsidRDefault="00B23364" w:rsidP="00B23364">
      <w:pPr>
        <w:pStyle w:val="BodyText"/>
        <w:ind w:left="720" w:hanging="720"/>
      </w:pPr>
      <w:r>
        <w:t xml:space="preserve">Davis, S.C., S.W. Diegel and R.G. Boundy. 2015. Transportation Energy Data Book: Edition 34. Oak Ridge, TN: Oak Ridge National Laboratory. http://cta.ornl.gov/data </w:t>
      </w:r>
    </w:p>
    <w:p w:rsidR="00B23364" w:rsidRDefault="00B23364" w:rsidP="00B23364">
      <w:pPr>
        <w:pStyle w:val="BodyText"/>
        <w:ind w:left="720" w:hanging="720"/>
      </w:pPr>
      <w:r>
        <w:t>EIA. 2015. Monthly Energy Review. Washington, DC: U.S. Department of Energy, Energy Information Administration. http://www.eia.gov/totalenergy/data/monthly/index.cfm</w:t>
      </w:r>
    </w:p>
    <w:p w:rsidR="00B23364" w:rsidRDefault="00B23364" w:rsidP="00B23364">
      <w:pPr>
        <w:pStyle w:val="BodyText"/>
        <w:ind w:left="720" w:hanging="720"/>
      </w:pPr>
      <w:r>
        <w:t xml:space="preserve">EPA. 2010a. Regulation of Fuels and Fuel Additives: Changes to Renewable Fuel Standard Program; Final Rule. Washington, DC: US Environmental Protection Agency. Federal Register 75(58): 14669ff. March 26. www.epa.gov/otaq/fuels/renewablefuels/regulations.htm  </w:t>
      </w:r>
    </w:p>
    <w:p w:rsidR="00B23364" w:rsidRDefault="00B23364" w:rsidP="00B23364">
      <w:pPr>
        <w:pStyle w:val="BodyText"/>
        <w:ind w:left="720" w:hanging="720"/>
      </w:pPr>
      <w:r>
        <w:t>EPA. 2010b. Renewable Fuel Standard Program (RFS2) Final Regulatory Impact Analysis. Report EPA-420-R-10-006. February. https://www.epa.gov/sites/production/files/2015-08/documents/420r10006.pdf</w:t>
      </w:r>
    </w:p>
    <w:p w:rsidR="00B23364" w:rsidRDefault="00B23364" w:rsidP="00B23364">
      <w:pPr>
        <w:pStyle w:val="BodyText"/>
        <w:ind w:left="720" w:hanging="720"/>
      </w:pPr>
      <w:r>
        <w:t xml:space="preserve">EPA. 2010c. Fuel-Specific Lifecycle Greenhouse Gas Emissions Results. Spreadsheets. www.regulations.gov/#!documentDetail;D=EPA-HQ-OAR-2005-0161-3173 </w:t>
      </w:r>
    </w:p>
    <w:p w:rsidR="0032200F" w:rsidRDefault="00B23364" w:rsidP="00B23364">
      <w:pPr>
        <w:pStyle w:val="BodyText"/>
        <w:ind w:left="720" w:hanging="720"/>
      </w:pPr>
      <w:r>
        <w:t xml:space="preserve">EPA. 2015. Inventory of U.S. Greenhouse Gas Emissions and Sinks: 1990 - 2013. Washington, DC: U.S. Environmental Protection Agency. </w:t>
      </w:r>
    </w:p>
    <w:p w:rsidR="00B23364" w:rsidRDefault="00B23364" w:rsidP="00B23364">
      <w:pPr>
        <w:pStyle w:val="BodyText"/>
        <w:ind w:left="720" w:hanging="720"/>
      </w:pPr>
      <w:r>
        <w:t xml:space="preserve">European Combustion Meeting. 2015. Kinetic Modeling for the Pyrolysis of Biomass Fuels Derived from Oil Crops. </w:t>
      </w:r>
    </w:p>
    <w:p w:rsidR="00B23364" w:rsidRDefault="00B23364" w:rsidP="00B23364">
      <w:pPr>
        <w:pStyle w:val="BodyText"/>
        <w:ind w:left="720" w:hanging="720"/>
      </w:pPr>
      <w:r>
        <w:t>Gallagher, P.W., and Shapouri, H. 2009. Improving Sustainability of the Corn-Ethanol Industry. Pages 223-34 in W. Soetaert and E.J. Vandamme (eds.) Biofuels. West Sussex, UK: John Wiley &amp; Sons</w:t>
      </w:r>
    </w:p>
    <w:p w:rsidR="00B23364" w:rsidRDefault="00241FEF" w:rsidP="00B23364">
      <w:pPr>
        <w:pStyle w:val="BodyText"/>
        <w:ind w:left="720" w:hanging="720"/>
      </w:pPr>
      <w:r>
        <w:t>He, Q.</w:t>
      </w:r>
      <w:r w:rsidR="00B23364">
        <w:t>, Z</w:t>
      </w:r>
      <w:r>
        <w:t>.</w:t>
      </w:r>
      <w:r w:rsidR="00B23364">
        <w:t xml:space="preserve"> Qifa, and S</w:t>
      </w:r>
      <w:r>
        <w:t>.</w:t>
      </w:r>
      <w:r w:rsidR="00B23364">
        <w:t xml:space="preserve"> Xuemei. 2005. Strikingly High Content of Grain Protein in Solution-Cultured Rice. Journal of the Science of Food and Agriculture. 85.7 (2005): 1197-1202. </w:t>
      </w:r>
    </w:p>
    <w:p w:rsidR="00B23364" w:rsidRDefault="00B23364" w:rsidP="00B23364">
      <w:pPr>
        <w:pStyle w:val="BodyText"/>
        <w:ind w:left="720" w:hanging="720"/>
      </w:pPr>
      <w:r>
        <w:lastRenderedPageBreak/>
        <w:t xml:space="preserve">Hegde, R., Dahiya, A., Kamath, M., Gao, X., &amp; Jangala, P. 2004. Cotton Fibers. Online fact sheet. Knoxville, TN: University of Tennessee, Dept. of Materials Science and Engineering.   http://www.engr.utk.edu/mse/Textiles/Cotton%20fibers.htm accessed June 1, 2015.  </w:t>
      </w:r>
    </w:p>
    <w:p w:rsidR="00B23364" w:rsidRDefault="00B23364" w:rsidP="00B23364">
      <w:pPr>
        <w:pStyle w:val="BodyText"/>
        <w:ind w:left="720" w:hanging="720"/>
      </w:pPr>
      <w:r>
        <w:t>Johnson, J.M.F., Reicosky, D.C., Allmaras, R.R., Sauer, J.J., Venterea, R.T., and Dell, C.J. 2005. Greenhouse gas contributions and mitigation potential of agriculture in the central USA. Soil and Tillage Research, 83:73-94.</w:t>
      </w:r>
    </w:p>
    <w:p w:rsidR="00B23364" w:rsidRDefault="00B23364" w:rsidP="00B23364">
      <w:pPr>
        <w:pStyle w:val="BodyText"/>
        <w:ind w:left="720" w:hanging="720"/>
      </w:pPr>
      <w:r>
        <w:t>Johnson, D. M. 2013. A 2010 map estimate of annually tilled cropland within the conterminous United States, Agricultural Systems, 114, 95-105. doi:10.1016/j.agsy.2012.08.004</w:t>
      </w:r>
    </w:p>
    <w:p w:rsidR="00B23364" w:rsidRDefault="00B23364" w:rsidP="00B23364">
      <w:pPr>
        <w:pStyle w:val="BodyText"/>
        <w:ind w:left="720" w:hanging="720"/>
      </w:pPr>
      <w:r>
        <w:t>Lorenz, R.F., and Lal, R. 2012. Lal et al. (eds.), “Cropland Soil Carbon Dynamics”.  Re-carbonization of the Biosphere: Ecosystems and the Global Carbon Cycle, DOI 10.1007/978-94-007-4159-1_18</w:t>
      </w:r>
    </w:p>
    <w:p w:rsidR="00D033EB" w:rsidRPr="00584866" w:rsidRDefault="00D033EB" w:rsidP="00D033EB">
      <w:pPr>
        <w:pStyle w:val="Ref1"/>
      </w:pPr>
      <w:r w:rsidRPr="00584866">
        <w:t xml:space="preserve">Plevin, R.J., et al. 2010. Greenhouse gas emissions from biofuels' indirect land use change are uncertain but may be much greater than previously estimated. </w:t>
      </w:r>
      <w:r w:rsidRPr="00584866">
        <w:rPr>
          <w:i/>
        </w:rPr>
        <w:t>Env</w:t>
      </w:r>
      <w:r>
        <w:rPr>
          <w:i/>
        </w:rPr>
        <w:t>iron</w:t>
      </w:r>
      <w:r w:rsidRPr="00584866">
        <w:rPr>
          <w:i/>
        </w:rPr>
        <w:t xml:space="preserve"> Sci &amp; Tech</w:t>
      </w:r>
      <w:r w:rsidRPr="00584866">
        <w:t xml:space="preserve"> 44: 8015-21. </w:t>
      </w:r>
    </w:p>
    <w:p w:rsidR="00B23364" w:rsidRDefault="00B23364" w:rsidP="00B23364">
      <w:pPr>
        <w:pStyle w:val="BodyText"/>
        <w:ind w:left="720" w:hanging="720"/>
      </w:pPr>
      <w:r>
        <w:t xml:space="preserve">Plevin, R.J., et al. 2015. Carbon accounting and economic model uncertainty of emissions from biofuels-induced land use change. Environ. Sci. &amp; Tech. 49(5): 2656-64. http://dx.doi.org/10.1021/es505481d </w:t>
      </w:r>
    </w:p>
    <w:p w:rsidR="00EE0DF2" w:rsidRDefault="00EE0DF2" w:rsidP="00B23364">
      <w:pPr>
        <w:pStyle w:val="BodyText"/>
        <w:ind w:left="720" w:hanging="720"/>
      </w:pPr>
      <w:r w:rsidRPr="00EE0DF2">
        <w:t xml:space="preserve">Schlesinger, W., and E. Bernhardt. 2013. </w:t>
      </w:r>
      <w:r w:rsidRPr="00EE0DF2">
        <w:rPr>
          <w:i/>
        </w:rPr>
        <w:t>Biogeochemistry: An Analysis of Global Change, 3rd Edition.</w:t>
      </w:r>
      <w:r w:rsidRPr="00EE0DF2">
        <w:t xml:space="preserve"> Boston: Academic Press.</w:t>
      </w:r>
      <w:r>
        <w:t xml:space="preserve"> </w:t>
      </w:r>
    </w:p>
    <w:p w:rsidR="00B23364" w:rsidRDefault="00B23364" w:rsidP="00B23364">
      <w:pPr>
        <w:pStyle w:val="BodyText"/>
        <w:ind w:left="720" w:hanging="720"/>
      </w:pPr>
      <w:r>
        <w:t xml:space="preserve">Teagasc Agriculture Food Development Authority, 2010. Straw for Energy. Teagasc. </w:t>
      </w:r>
    </w:p>
    <w:p w:rsidR="00B23364" w:rsidRDefault="00B23364" w:rsidP="00B23364">
      <w:pPr>
        <w:pStyle w:val="BodyText"/>
        <w:ind w:left="720" w:hanging="720"/>
      </w:pPr>
      <w:r>
        <w:t xml:space="preserve">USDA </w:t>
      </w:r>
      <w:r w:rsidR="00232B46">
        <w:t xml:space="preserve">CDL. </w:t>
      </w:r>
      <w:r>
        <w:t xml:space="preserve">Cropland Data Layer. Published crop-specific data </w:t>
      </w:r>
      <w:r w:rsidR="00232B46">
        <w:t xml:space="preserve">geographical information layer </w:t>
      </w:r>
      <w:r>
        <w:t>[</w:t>
      </w:r>
      <w:r w:rsidR="00232B46">
        <w:t>o</w:t>
      </w:r>
      <w:r>
        <w:t xml:space="preserve">nline]. </w:t>
      </w:r>
      <w:r w:rsidR="00232B46">
        <w:t xml:space="preserve">Washington, DC: U.S. Department of Agriculture, </w:t>
      </w:r>
      <w:r w:rsidR="00232B46" w:rsidRPr="00232B46">
        <w:t>National Agricultural Statistics Service</w:t>
      </w:r>
      <w:r w:rsidR="00232B46">
        <w:t xml:space="preserve">. </w:t>
      </w:r>
      <w:r>
        <w:t xml:space="preserve">Available at http://nassgeodata.gmu.edu/CropScape/. </w:t>
      </w:r>
    </w:p>
    <w:p w:rsidR="00B23364" w:rsidRDefault="00B23364" w:rsidP="00B23364">
      <w:pPr>
        <w:pStyle w:val="BodyText"/>
        <w:ind w:left="720" w:hanging="720"/>
      </w:pPr>
      <w:r>
        <w:t xml:space="preserve">USDA </w:t>
      </w:r>
      <w:r w:rsidR="00232B46">
        <w:t>NASS</w:t>
      </w:r>
      <w:r w:rsidR="00991F9A">
        <w:t>.</w:t>
      </w:r>
      <w:r w:rsidR="00232B46">
        <w:t xml:space="preserve"> </w:t>
      </w:r>
      <w:r>
        <w:t>Quick Stats</w:t>
      </w:r>
      <w:r w:rsidR="00991F9A">
        <w:t xml:space="preserve"> online data</w:t>
      </w:r>
      <w:r>
        <w:t xml:space="preserve">. </w:t>
      </w:r>
      <w:r w:rsidR="00232B46">
        <w:t xml:space="preserve">Washington, DC: U.S. Department of Agriculture, </w:t>
      </w:r>
      <w:r w:rsidR="00232B46" w:rsidRPr="00232B46">
        <w:t>National Agricultural Statistics Service</w:t>
      </w:r>
      <w:r w:rsidR="00232B46">
        <w:t>.</w:t>
      </w:r>
      <w:r w:rsidR="00991F9A">
        <w:t xml:space="preserve"> </w:t>
      </w:r>
      <w:r w:rsidR="00232B46">
        <w:t xml:space="preserve"> </w:t>
      </w:r>
      <w:r>
        <w:t xml:space="preserve">http://quickstats.nass.usda.gov/ </w:t>
      </w:r>
    </w:p>
    <w:p w:rsidR="0093456C" w:rsidRDefault="0093456C" w:rsidP="00B23364">
      <w:pPr>
        <w:pStyle w:val="BodyText"/>
        <w:ind w:left="720" w:hanging="720"/>
      </w:pPr>
      <w:r w:rsidRPr="0093456C">
        <w:t>Van Oost, K</w:t>
      </w:r>
      <w:r>
        <w:t xml:space="preserve">., et al. </w:t>
      </w:r>
      <w:r w:rsidRPr="0093456C">
        <w:t>2007</w:t>
      </w:r>
      <w:r>
        <w:t xml:space="preserve">. </w:t>
      </w:r>
      <w:r w:rsidRPr="0093456C">
        <w:t>The impact of agricultural soil eros</w:t>
      </w:r>
      <w:r>
        <w:t>ion on the global carbon cycle.</w:t>
      </w:r>
      <w:r w:rsidRPr="0093456C">
        <w:t xml:space="preserve"> </w:t>
      </w:r>
      <w:r w:rsidRPr="0093456C">
        <w:rPr>
          <w:i/>
        </w:rPr>
        <w:t>Science</w:t>
      </w:r>
      <w:r w:rsidRPr="0093456C">
        <w:t xml:space="preserve"> 318</w:t>
      </w:r>
      <w:r>
        <w:t>: 626-</w:t>
      </w:r>
      <w:r w:rsidRPr="0093456C">
        <w:t>29.</w:t>
      </w:r>
      <w:r>
        <w:t xml:space="preserve"> </w:t>
      </w:r>
    </w:p>
    <w:p w:rsidR="00241FEF" w:rsidRDefault="00241FEF" w:rsidP="00B23364">
      <w:pPr>
        <w:pStyle w:val="BodyText"/>
        <w:ind w:left="720" w:hanging="720"/>
      </w:pPr>
      <w:r w:rsidRPr="00241FEF">
        <w:t xml:space="preserve">Wang, C., </w:t>
      </w:r>
      <w:r>
        <w:t>et al</w:t>
      </w:r>
      <w:r w:rsidRPr="00241FEF">
        <w:t xml:space="preserve">. 2012. Study on the </w:t>
      </w:r>
      <w:r w:rsidR="00493A3D" w:rsidRPr="00241FEF">
        <w:t>associated removal of pollutants from coal-firing flue gas using biomass activated carbon pellets</w:t>
      </w:r>
      <w:r w:rsidRPr="00241FEF">
        <w:t>. Cleaner Combustion and Sustainable World, pp. 433-439.</w:t>
      </w:r>
      <w:r>
        <w:t xml:space="preserve"> </w:t>
      </w:r>
    </w:p>
    <w:p w:rsidR="00C400BE" w:rsidRPr="002E7D3D" w:rsidRDefault="0032200F" w:rsidP="00493A3D">
      <w:pPr>
        <w:pStyle w:val="BodyText"/>
        <w:ind w:left="720" w:hanging="720"/>
      </w:pPr>
      <w:r w:rsidRPr="0032200F">
        <w:t xml:space="preserve">Wang, M.Q., et al. 2012. Well-to-wheels energy use and greenhouse gas emissions of ethanol from corn, sugarcane and cellulosic biomass for US use. </w:t>
      </w:r>
      <w:r w:rsidRPr="0032200F">
        <w:rPr>
          <w:i/>
        </w:rPr>
        <w:t>Environ Res Lett</w:t>
      </w:r>
      <w:r w:rsidRPr="0032200F">
        <w:t xml:space="preserve"> 7:045905.</w:t>
      </w:r>
      <w:r>
        <w:t xml:space="preserve"> </w:t>
      </w:r>
    </w:p>
    <w:sectPr w:rsidR="00C400BE" w:rsidRPr="002E7D3D" w:rsidSect="00E91B8C">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4C8" w:rsidRDefault="001274C8" w:rsidP="00E91B8C">
      <w:r>
        <w:separator/>
      </w:r>
    </w:p>
  </w:endnote>
  <w:endnote w:type="continuationSeparator" w:id="0">
    <w:p w:rsidR="001274C8" w:rsidRDefault="001274C8" w:rsidP="00E9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B8C" w:rsidRDefault="00E91B8C" w:rsidP="00E91B8C">
    <w:pPr>
      <w:pStyle w:val="Footer"/>
      <w:jc w:val="center"/>
    </w:pPr>
    <w:r>
      <w:t>A-</w:t>
    </w:r>
    <w:r>
      <w:fldChar w:fldCharType="begin"/>
    </w:r>
    <w:r>
      <w:instrText xml:space="preserve"> PAGE   \* MERGEFORMAT </w:instrText>
    </w:r>
    <w:r>
      <w:fldChar w:fldCharType="separate"/>
    </w:r>
    <w:r w:rsidR="000929BB">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4C8" w:rsidRDefault="001274C8" w:rsidP="00E91B8C">
      <w:r>
        <w:separator/>
      </w:r>
    </w:p>
  </w:footnote>
  <w:footnote w:type="continuationSeparator" w:id="0">
    <w:p w:rsidR="001274C8" w:rsidRDefault="001274C8" w:rsidP="00E91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4D9" w:rsidRPr="00DA13F3" w:rsidRDefault="00DA13F3" w:rsidP="005B24D9">
    <w:pPr>
      <w:pStyle w:val="Header"/>
      <w:jc w:val="center"/>
      <w:rPr>
        <w:smallCaps/>
      </w:rPr>
    </w:pPr>
    <w:r w:rsidRPr="00DA13F3">
      <w:rPr>
        <w:rFonts w:ascii="Arial" w:hAnsi="Arial" w:cs="Arial"/>
        <w:smallCaps/>
        <w:color w:val="FF0000"/>
        <w:szCs w:val="24"/>
      </w:rPr>
      <w:t>Revised M</w:t>
    </w:r>
    <w:r w:rsidR="005B24D9" w:rsidRPr="00DA13F3">
      <w:rPr>
        <w:rFonts w:ascii="Arial" w:hAnsi="Arial" w:cs="Arial"/>
        <w:smallCaps/>
        <w:color w:val="FF0000"/>
        <w:szCs w:val="24"/>
      </w:rPr>
      <w:t>anuscript - Do Not Cite or Quote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66FF4"/>
    <w:multiLevelType w:val="hybridMultilevel"/>
    <w:tmpl w:val="102485E4"/>
    <w:lvl w:ilvl="0" w:tplc="5B74E1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2FD"/>
    <w:rsid w:val="000321FA"/>
    <w:rsid w:val="0004622C"/>
    <w:rsid w:val="00051CAF"/>
    <w:rsid w:val="00053B56"/>
    <w:rsid w:val="000601A5"/>
    <w:rsid w:val="00062B6F"/>
    <w:rsid w:val="000929BB"/>
    <w:rsid w:val="000B460A"/>
    <w:rsid w:val="000D2471"/>
    <w:rsid w:val="000D3F29"/>
    <w:rsid w:val="000E2098"/>
    <w:rsid w:val="000E7A58"/>
    <w:rsid w:val="000F43C5"/>
    <w:rsid w:val="001127C0"/>
    <w:rsid w:val="001274C8"/>
    <w:rsid w:val="00135419"/>
    <w:rsid w:val="00154D2A"/>
    <w:rsid w:val="00176084"/>
    <w:rsid w:val="001E62C8"/>
    <w:rsid w:val="001F1066"/>
    <w:rsid w:val="00206762"/>
    <w:rsid w:val="00207759"/>
    <w:rsid w:val="00207E21"/>
    <w:rsid w:val="00224F15"/>
    <w:rsid w:val="00230D9F"/>
    <w:rsid w:val="00232B46"/>
    <w:rsid w:val="00241FEF"/>
    <w:rsid w:val="00285C4B"/>
    <w:rsid w:val="002868C4"/>
    <w:rsid w:val="002B2B5C"/>
    <w:rsid w:val="002B4E7F"/>
    <w:rsid w:val="002B5B35"/>
    <w:rsid w:val="002C7B82"/>
    <w:rsid w:val="002D0296"/>
    <w:rsid w:val="002E2E2D"/>
    <w:rsid w:val="002E7D3D"/>
    <w:rsid w:val="002F7900"/>
    <w:rsid w:val="0032200F"/>
    <w:rsid w:val="00333D6B"/>
    <w:rsid w:val="00394A5B"/>
    <w:rsid w:val="003E0F16"/>
    <w:rsid w:val="00420842"/>
    <w:rsid w:val="00443EA2"/>
    <w:rsid w:val="00444C33"/>
    <w:rsid w:val="004572CC"/>
    <w:rsid w:val="00461716"/>
    <w:rsid w:val="004652D9"/>
    <w:rsid w:val="00480675"/>
    <w:rsid w:val="004864F7"/>
    <w:rsid w:val="00493A3D"/>
    <w:rsid w:val="004A607E"/>
    <w:rsid w:val="004C1706"/>
    <w:rsid w:val="004C6188"/>
    <w:rsid w:val="004E22D1"/>
    <w:rsid w:val="00511D43"/>
    <w:rsid w:val="00521317"/>
    <w:rsid w:val="00545759"/>
    <w:rsid w:val="00545EB0"/>
    <w:rsid w:val="005778A1"/>
    <w:rsid w:val="005A3E36"/>
    <w:rsid w:val="005B24D9"/>
    <w:rsid w:val="005B74C6"/>
    <w:rsid w:val="005C350E"/>
    <w:rsid w:val="005D6A63"/>
    <w:rsid w:val="00602BEA"/>
    <w:rsid w:val="00622342"/>
    <w:rsid w:val="0063194A"/>
    <w:rsid w:val="0063650D"/>
    <w:rsid w:val="00662599"/>
    <w:rsid w:val="006738D4"/>
    <w:rsid w:val="00694A0F"/>
    <w:rsid w:val="00702A0C"/>
    <w:rsid w:val="00712358"/>
    <w:rsid w:val="00716F7E"/>
    <w:rsid w:val="007322D4"/>
    <w:rsid w:val="00763C61"/>
    <w:rsid w:val="00770D98"/>
    <w:rsid w:val="007C6EEA"/>
    <w:rsid w:val="00804203"/>
    <w:rsid w:val="00812701"/>
    <w:rsid w:val="00815DCF"/>
    <w:rsid w:val="00827917"/>
    <w:rsid w:val="00840563"/>
    <w:rsid w:val="00846FDF"/>
    <w:rsid w:val="0085006C"/>
    <w:rsid w:val="008627F1"/>
    <w:rsid w:val="008663FC"/>
    <w:rsid w:val="008972E3"/>
    <w:rsid w:val="009201B8"/>
    <w:rsid w:val="0093456C"/>
    <w:rsid w:val="00937445"/>
    <w:rsid w:val="0095409F"/>
    <w:rsid w:val="009622FD"/>
    <w:rsid w:val="00970E08"/>
    <w:rsid w:val="00970E5B"/>
    <w:rsid w:val="00981C1C"/>
    <w:rsid w:val="00981F85"/>
    <w:rsid w:val="00991F9A"/>
    <w:rsid w:val="00993E6D"/>
    <w:rsid w:val="009A2B19"/>
    <w:rsid w:val="009D004F"/>
    <w:rsid w:val="009E0D32"/>
    <w:rsid w:val="009E34C4"/>
    <w:rsid w:val="009F18D3"/>
    <w:rsid w:val="009F290D"/>
    <w:rsid w:val="00A05977"/>
    <w:rsid w:val="00A06A20"/>
    <w:rsid w:val="00A24203"/>
    <w:rsid w:val="00A52A97"/>
    <w:rsid w:val="00A54EC2"/>
    <w:rsid w:val="00A743D1"/>
    <w:rsid w:val="00A818A3"/>
    <w:rsid w:val="00AA2549"/>
    <w:rsid w:val="00AB6703"/>
    <w:rsid w:val="00AB6CCA"/>
    <w:rsid w:val="00AE4D8A"/>
    <w:rsid w:val="00AE5859"/>
    <w:rsid w:val="00AF3563"/>
    <w:rsid w:val="00B17536"/>
    <w:rsid w:val="00B21ED9"/>
    <w:rsid w:val="00B23364"/>
    <w:rsid w:val="00B3064D"/>
    <w:rsid w:val="00B31398"/>
    <w:rsid w:val="00B6196E"/>
    <w:rsid w:val="00B97A8B"/>
    <w:rsid w:val="00BC2924"/>
    <w:rsid w:val="00BD26D2"/>
    <w:rsid w:val="00BE4D4E"/>
    <w:rsid w:val="00C35C2A"/>
    <w:rsid w:val="00C400BE"/>
    <w:rsid w:val="00C47655"/>
    <w:rsid w:val="00C51CFD"/>
    <w:rsid w:val="00CC7F06"/>
    <w:rsid w:val="00CD0788"/>
    <w:rsid w:val="00CD4127"/>
    <w:rsid w:val="00D01419"/>
    <w:rsid w:val="00D033EB"/>
    <w:rsid w:val="00D166D1"/>
    <w:rsid w:val="00D941B7"/>
    <w:rsid w:val="00D97BA7"/>
    <w:rsid w:val="00DA0668"/>
    <w:rsid w:val="00DA0A47"/>
    <w:rsid w:val="00DA13F3"/>
    <w:rsid w:val="00DE31BC"/>
    <w:rsid w:val="00E064F5"/>
    <w:rsid w:val="00E238FD"/>
    <w:rsid w:val="00E311F5"/>
    <w:rsid w:val="00E77E6F"/>
    <w:rsid w:val="00E80E57"/>
    <w:rsid w:val="00E91B8C"/>
    <w:rsid w:val="00EA7688"/>
    <w:rsid w:val="00EB04E6"/>
    <w:rsid w:val="00EB27CB"/>
    <w:rsid w:val="00EB4569"/>
    <w:rsid w:val="00EE0DF2"/>
    <w:rsid w:val="00F220BC"/>
    <w:rsid w:val="00F36562"/>
    <w:rsid w:val="00F62465"/>
    <w:rsid w:val="00F82932"/>
    <w:rsid w:val="00FB52EE"/>
    <w:rsid w:val="00FC0E06"/>
    <w:rsid w:val="00FD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2FA6E-30A0-4087-AA2D-D43ED87F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F82932"/>
    <w:pPr>
      <w:tabs>
        <w:tab w:val="left" w:pos="720"/>
        <w:tab w:val="right" w:pos="9360"/>
      </w:tabs>
      <w:spacing w:after="0" w:line="240" w:lineRule="auto"/>
    </w:pPr>
    <w:rPr>
      <w:rFonts w:ascii="Times New Roman" w:hAnsi="Times New Roman" w:cs="Times New Roman"/>
      <w:sz w:val="24"/>
      <w:szCs w:val="20"/>
    </w:rPr>
  </w:style>
  <w:style w:type="paragraph" w:styleId="Heading1">
    <w:name w:val="heading 1"/>
    <w:basedOn w:val="Normal"/>
    <w:next w:val="BodyText"/>
    <w:link w:val="Heading1Char"/>
    <w:uiPriority w:val="9"/>
    <w:qFormat/>
    <w:rsid w:val="00521317"/>
    <w:pPr>
      <w:keepNext/>
      <w:keepLines/>
      <w:spacing w:before="360" w:after="120"/>
      <w:outlineLvl w:val="0"/>
    </w:pPr>
    <w:rPr>
      <w:rFonts w:eastAsiaTheme="majorEastAsia" w:cstheme="majorBidi"/>
      <w:b/>
      <w:sz w:val="28"/>
      <w:szCs w:val="36"/>
    </w:rPr>
  </w:style>
  <w:style w:type="paragraph" w:styleId="Heading2">
    <w:name w:val="heading 2"/>
    <w:basedOn w:val="Normal"/>
    <w:next w:val="BodyText"/>
    <w:link w:val="Heading2Char"/>
    <w:uiPriority w:val="9"/>
    <w:unhideWhenUsed/>
    <w:qFormat/>
    <w:rsid w:val="00521317"/>
    <w:pPr>
      <w:keepNext/>
      <w:keepLines/>
      <w:spacing w:before="240" w:after="120"/>
      <w:outlineLvl w:val="1"/>
    </w:pPr>
    <w:rPr>
      <w:rFonts w:eastAsiaTheme="majorEastAsia" w:cstheme="majorBidi"/>
      <w:b/>
      <w:smallCaps/>
      <w:sz w:val="26"/>
      <w:szCs w:val="28"/>
    </w:rPr>
  </w:style>
  <w:style w:type="paragraph" w:styleId="Heading3">
    <w:name w:val="heading 3"/>
    <w:basedOn w:val="Normal"/>
    <w:next w:val="BodyText"/>
    <w:link w:val="Heading3Char"/>
    <w:qFormat/>
    <w:rsid w:val="00521317"/>
    <w:pPr>
      <w:keepNext/>
      <w:keepLines/>
      <w:spacing w:before="240" w:after="120"/>
      <w:outlineLvl w:val="2"/>
    </w:pPr>
    <w:rPr>
      <w:b/>
      <w:sz w:val="25"/>
      <w:szCs w:val="24"/>
    </w:rPr>
  </w:style>
  <w:style w:type="paragraph" w:styleId="Heading4">
    <w:name w:val="heading 4"/>
    <w:basedOn w:val="Normal"/>
    <w:next w:val="BodyText"/>
    <w:link w:val="Heading4Char"/>
    <w:qFormat/>
    <w:rsid w:val="00763C61"/>
    <w:pPr>
      <w:keepNext/>
      <w:keepLines/>
      <w:spacing w:before="240" w:after="120"/>
      <w:outlineLvl w:val="3"/>
    </w:pPr>
    <w:rPr>
      <w:i/>
      <w:kern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21317"/>
    <w:rPr>
      <w:rFonts w:ascii="Times New Roman" w:hAnsi="Times New Roman" w:cs="Times New Roman"/>
      <w:b/>
      <w:sz w:val="25"/>
      <w:szCs w:val="24"/>
    </w:rPr>
  </w:style>
  <w:style w:type="paragraph" w:styleId="BodyText">
    <w:name w:val="Body Text"/>
    <w:basedOn w:val="Normal"/>
    <w:link w:val="BodyTextChar"/>
    <w:unhideWhenUsed/>
    <w:rsid w:val="00AF3563"/>
    <w:pPr>
      <w:spacing w:before="120" w:after="120"/>
    </w:pPr>
  </w:style>
  <w:style w:type="character" w:customStyle="1" w:styleId="BodyTextChar">
    <w:name w:val="Body Text Char"/>
    <w:basedOn w:val="DefaultParagraphFont"/>
    <w:link w:val="BodyText"/>
    <w:rsid w:val="00AF3563"/>
    <w:rPr>
      <w:rFonts w:ascii="Times New Roman" w:hAnsi="Times New Roman" w:cs="Times New Roman"/>
      <w:sz w:val="24"/>
      <w:szCs w:val="20"/>
    </w:rPr>
  </w:style>
  <w:style w:type="character" w:customStyle="1" w:styleId="Heading1Char">
    <w:name w:val="Heading 1 Char"/>
    <w:basedOn w:val="DefaultParagraphFont"/>
    <w:link w:val="Heading1"/>
    <w:uiPriority w:val="9"/>
    <w:rsid w:val="00521317"/>
    <w:rPr>
      <w:rFonts w:ascii="Times New Roman" w:eastAsiaTheme="majorEastAsia" w:hAnsi="Times New Roman" w:cstheme="majorBidi"/>
      <w:b/>
      <w:sz w:val="28"/>
      <w:szCs w:val="36"/>
    </w:rPr>
  </w:style>
  <w:style w:type="character" w:customStyle="1" w:styleId="Heading2Char">
    <w:name w:val="Heading 2 Char"/>
    <w:basedOn w:val="DefaultParagraphFont"/>
    <w:link w:val="Heading2"/>
    <w:uiPriority w:val="9"/>
    <w:rsid w:val="00521317"/>
    <w:rPr>
      <w:rFonts w:ascii="Times New Roman" w:eastAsiaTheme="majorEastAsia" w:hAnsi="Times New Roman" w:cstheme="majorBidi"/>
      <w:b/>
      <w:smallCaps/>
      <w:sz w:val="26"/>
      <w:szCs w:val="28"/>
    </w:rPr>
  </w:style>
  <w:style w:type="paragraph" w:customStyle="1" w:styleId="Question">
    <w:name w:val="Question"/>
    <w:basedOn w:val="BodyText"/>
    <w:next w:val="BodyText"/>
    <w:autoRedefine/>
    <w:unhideWhenUsed/>
    <w:qFormat/>
    <w:rsid w:val="00662599"/>
    <w:pPr>
      <w:tabs>
        <w:tab w:val="clear" w:pos="720"/>
      </w:tabs>
      <w:ind w:left="360"/>
    </w:pPr>
    <w:rPr>
      <w:i/>
    </w:rPr>
  </w:style>
  <w:style w:type="paragraph" w:styleId="Title">
    <w:name w:val="Title"/>
    <w:basedOn w:val="Normal"/>
    <w:next w:val="Normal"/>
    <w:link w:val="TitleChar"/>
    <w:uiPriority w:val="10"/>
    <w:qFormat/>
    <w:rsid w:val="00521317"/>
    <w:pPr>
      <w:jc w:val="center"/>
    </w:pPr>
    <w:rPr>
      <w:rFonts w:eastAsiaTheme="majorEastAsia" w:cstheme="majorBidi"/>
      <w:b/>
      <w:sz w:val="32"/>
      <w:szCs w:val="72"/>
    </w:rPr>
  </w:style>
  <w:style w:type="character" w:customStyle="1" w:styleId="TitleChar">
    <w:name w:val="Title Char"/>
    <w:basedOn w:val="DefaultParagraphFont"/>
    <w:link w:val="Title"/>
    <w:uiPriority w:val="10"/>
    <w:rsid w:val="00521317"/>
    <w:rPr>
      <w:rFonts w:ascii="Times New Roman" w:eastAsiaTheme="majorEastAsia" w:hAnsi="Times New Roman" w:cstheme="majorBidi"/>
      <w:b/>
      <w:sz w:val="32"/>
      <w:szCs w:val="72"/>
    </w:rPr>
  </w:style>
  <w:style w:type="paragraph" w:customStyle="1" w:styleId="Footer1">
    <w:name w:val="Footer1"/>
    <w:unhideWhenUsed/>
    <w:rsid w:val="00662599"/>
    <w:pPr>
      <w:pBdr>
        <w:top w:val="nil"/>
        <w:left w:val="nil"/>
        <w:bottom w:val="nil"/>
        <w:right w:val="nil"/>
        <w:between w:val="nil"/>
        <w:bar w:val="nil"/>
      </w:pBdr>
      <w:tabs>
        <w:tab w:val="center" w:pos="4680"/>
        <w:tab w:val="right" w:pos="9360"/>
      </w:tabs>
      <w:spacing w:after="0" w:line="240" w:lineRule="auto"/>
    </w:pPr>
    <w:rPr>
      <w:rFonts w:ascii="Times New Roman" w:eastAsia="Arial Unicode MS" w:hAnsi="Arial Unicode MS" w:cs="Arial Unicode MS"/>
      <w:color w:val="000000"/>
      <w:sz w:val="24"/>
      <w:szCs w:val="24"/>
      <w:u w:color="000000"/>
      <w:bdr w:val="nil"/>
    </w:rPr>
  </w:style>
  <w:style w:type="character" w:customStyle="1" w:styleId="Hyperlink0">
    <w:name w:val="Hyperlink.0"/>
    <w:basedOn w:val="DefaultParagraphFont"/>
    <w:unhideWhenUsed/>
    <w:rsid w:val="00662599"/>
    <w:rPr>
      <w:rFonts w:ascii="Arial" w:eastAsia="Arial" w:hAnsi="Arial" w:cs="Arial"/>
      <w:color w:val="0000FF"/>
      <w:sz w:val="20"/>
      <w:szCs w:val="20"/>
      <w:u w:val="single" w:color="0000FF"/>
    </w:rPr>
  </w:style>
  <w:style w:type="paragraph" w:styleId="Header">
    <w:name w:val="header"/>
    <w:basedOn w:val="Normal"/>
    <w:link w:val="HeaderChar"/>
    <w:uiPriority w:val="99"/>
    <w:unhideWhenUsed/>
    <w:rsid w:val="00662599"/>
    <w:pPr>
      <w:tabs>
        <w:tab w:val="clear" w:pos="720"/>
        <w:tab w:val="center" w:pos="4680"/>
      </w:tabs>
    </w:pPr>
  </w:style>
  <w:style w:type="character" w:customStyle="1" w:styleId="HeaderChar">
    <w:name w:val="Header Char"/>
    <w:basedOn w:val="DefaultParagraphFont"/>
    <w:link w:val="Header"/>
    <w:uiPriority w:val="99"/>
    <w:rsid w:val="00662599"/>
    <w:rPr>
      <w:rFonts w:ascii="Times New Roman" w:hAnsi="Times New Roman" w:cs="Times New Roman"/>
      <w:sz w:val="24"/>
      <w:szCs w:val="20"/>
    </w:rPr>
  </w:style>
  <w:style w:type="paragraph" w:styleId="Footer">
    <w:name w:val="footer"/>
    <w:basedOn w:val="Normal"/>
    <w:link w:val="FooterChar"/>
    <w:uiPriority w:val="99"/>
    <w:unhideWhenUsed/>
    <w:rsid w:val="00662599"/>
    <w:pPr>
      <w:tabs>
        <w:tab w:val="clear" w:pos="720"/>
        <w:tab w:val="center" w:pos="4680"/>
      </w:tabs>
    </w:pPr>
  </w:style>
  <w:style w:type="character" w:customStyle="1" w:styleId="FooterChar">
    <w:name w:val="Footer Char"/>
    <w:basedOn w:val="DefaultParagraphFont"/>
    <w:link w:val="Footer"/>
    <w:uiPriority w:val="99"/>
    <w:rsid w:val="00662599"/>
    <w:rPr>
      <w:rFonts w:ascii="Times New Roman" w:hAnsi="Times New Roman" w:cs="Times New Roman"/>
      <w:sz w:val="24"/>
      <w:szCs w:val="20"/>
    </w:rPr>
  </w:style>
  <w:style w:type="character" w:styleId="EndnoteReference">
    <w:name w:val="endnote reference"/>
    <w:basedOn w:val="DefaultParagraphFont"/>
    <w:uiPriority w:val="99"/>
    <w:unhideWhenUsed/>
    <w:rsid w:val="00F82932"/>
    <w:rPr>
      <w:rFonts w:ascii="Times New Roman" w:hAnsi="Times New Roman"/>
      <w:vertAlign w:val="superscript"/>
    </w:rPr>
  </w:style>
  <w:style w:type="paragraph" w:styleId="EndnoteText">
    <w:name w:val="endnote text"/>
    <w:basedOn w:val="Normal"/>
    <w:link w:val="EndnoteTextChar"/>
    <w:uiPriority w:val="99"/>
    <w:unhideWhenUsed/>
    <w:rsid w:val="00662599"/>
    <w:pPr>
      <w:pBdr>
        <w:top w:val="nil"/>
        <w:left w:val="nil"/>
        <w:bottom w:val="nil"/>
        <w:right w:val="nil"/>
        <w:between w:val="nil"/>
        <w:bar w:val="nil"/>
      </w:pBdr>
      <w:tabs>
        <w:tab w:val="clear" w:pos="720"/>
        <w:tab w:val="clear" w:pos="9360"/>
      </w:tabs>
      <w:spacing w:before="120"/>
    </w:pPr>
    <w:rPr>
      <w:color w:val="000000"/>
      <w:sz w:val="22"/>
      <w:u w:color="000000"/>
      <w:bdr w:val="nil"/>
    </w:rPr>
  </w:style>
  <w:style w:type="character" w:customStyle="1" w:styleId="EndnoteTextChar">
    <w:name w:val="Endnote Text Char"/>
    <w:basedOn w:val="DefaultParagraphFont"/>
    <w:link w:val="EndnoteText"/>
    <w:uiPriority w:val="99"/>
    <w:rsid w:val="00662599"/>
    <w:rPr>
      <w:rFonts w:ascii="Times New Roman" w:hAnsi="Times New Roman" w:cs="Times New Roman"/>
      <w:color w:val="000000"/>
      <w:szCs w:val="20"/>
      <w:u w:color="000000"/>
      <w:bdr w:val="nil"/>
    </w:rPr>
  </w:style>
  <w:style w:type="character" w:styleId="Hyperlink">
    <w:name w:val="Hyperlink"/>
    <w:uiPriority w:val="99"/>
    <w:unhideWhenUsed/>
    <w:rsid w:val="001127C0"/>
    <w:rPr>
      <w:color w:val="0000CC"/>
      <w:u w:val="single" w:color="0000CC"/>
    </w:rPr>
  </w:style>
  <w:style w:type="paragraph" w:customStyle="1" w:styleId="Ref">
    <w:name w:val="Ref"/>
    <w:basedOn w:val="BodyText"/>
    <w:qFormat/>
    <w:rsid w:val="00662599"/>
    <w:pPr>
      <w:keepLines/>
      <w:ind w:left="720" w:hanging="720"/>
    </w:pPr>
  </w:style>
  <w:style w:type="character" w:customStyle="1" w:styleId="Heading4Char">
    <w:name w:val="Heading 4 Char"/>
    <w:basedOn w:val="DefaultParagraphFont"/>
    <w:link w:val="Heading4"/>
    <w:rsid w:val="00763C61"/>
    <w:rPr>
      <w:rFonts w:ascii="Times New Roman" w:hAnsi="Times New Roman" w:cs="Times New Roman"/>
      <w:i/>
      <w:kern w:val="28"/>
      <w:sz w:val="24"/>
      <w:szCs w:val="24"/>
    </w:rPr>
  </w:style>
  <w:style w:type="paragraph" w:customStyle="1" w:styleId="Caption1">
    <w:name w:val="Caption1"/>
    <w:basedOn w:val="Normal"/>
    <w:next w:val="Normal"/>
    <w:qFormat/>
    <w:rsid w:val="00763C61"/>
    <w:pPr>
      <w:ind w:left="720" w:right="720"/>
    </w:pPr>
    <w:rPr>
      <w:sz w:val="21"/>
    </w:rPr>
  </w:style>
  <w:style w:type="paragraph" w:customStyle="1" w:styleId="Memo">
    <w:name w:val="Memo"/>
    <w:basedOn w:val="Normal"/>
    <w:rsid w:val="002E7D3D"/>
    <w:pPr>
      <w:tabs>
        <w:tab w:val="clear" w:pos="720"/>
        <w:tab w:val="left" w:pos="1080"/>
        <w:tab w:val="right" w:pos="6480"/>
        <w:tab w:val="left" w:pos="6768"/>
      </w:tabs>
      <w:spacing w:before="120" w:after="120"/>
      <w:ind w:left="1080" w:hanging="1080"/>
    </w:pPr>
  </w:style>
  <w:style w:type="paragraph" w:styleId="ListParagraph">
    <w:name w:val="List Paragraph"/>
    <w:basedOn w:val="Normal"/>
    <w:uiPriority w:val="34"/>
    <w:qFormat/>
    <w:rsid w:val="00804203"/>
    <w:pPr>
      <w:ind w:left="720"/>
      <w:contextualSpacing/>
    </w:pPr>
  </w:style>
  <w:style w:type="character" w:styleId="FollowedHyperlink">
    <w:name w:val="FollowedHyperlink"/>
    <w:basedOn w:val="DefaultParagraphFont"/>
    <w:uiPriority w:val="99"/>
    <w:semiHidden/>
    <w:unhideWhenUsed/>
    <w:rsid w:val="00C400BE"/>
    <w:rPr>
      <w:color w:val="954F72" w:themeColor="followedHyperlink"/>
      <w:u w:val="single"/>
    </w:rPr>
  </w:style>
  <w:style w:type="table" w:styleId="TableGrid">
    <w:name w:val="Table Grid"/>
    <w:basedOn w:val="TableNormal"/>
    <w:rsid w:val="00AF3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1">
    <w:name w:val="Ref1"/>
    <w:basedOn w:val="Normal"/>
    <w:autoRedefine/>
    <w:rsid w:val="00D033EB"/>
    <w:pPr>
      <w:keepLines/>
      <w:spacing w:before="120" w:after="120"/>
      <w:ind w:left="720" w:hanging="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0F0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10</Pages>
  <Words>3981</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 DeCicco</dc:creator>
  <cp:keywords/>
  <dc:description/>
  <cp:lastModifiedBy>John M. DeCicco</cp:lastModifiedBy>
  <cp:revision>10</cp:revision>
  <dcterms:created xsi:type="dcterms:W3CDTF">2016-07-12T12:52:00Z</dcterms:created>
  <dcterms:modified xsi:type="dcterms:W3CDTF">2016-07-15T00:09:00Z</dcterms:modified>
</cp:coreProperties>
</file>