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67C56" w14:textId="3675A7B8" w:rsidR="00885FBB" w:rsidRPr="00AE7C77" w:rsidRDefault="000A51A2" w:rsidP="00885FBB">
      <w:pPr>
        <w:rPr>
          <w:rFonts w:asciiTheme="majorBidi" w:hAnsiTheme="majorBidi" w:cstheme="majorBidi"/>
          <w:b/>
          <w:bCs/>
        </w:rPr>
      </w:pPr>
      <w:r w:rsidRPr="00AE7C77">
        <w:rPr>
          <w:rFonts w:asciiTheme="majorBidi" w:hAnsiTheme="majorBidi" w:cstheme="majorBidi"/>
          <w:b/>
          <w:bCs/>
        </w:rPr>
        <w:t>Supplementary Information</w:t>
      </w:r>
    </w:p>
    <w:p w14:paraId="68089D1F" w14:textId="77777777" w:rsidR="00885FBB" w:rsidRPr="00AE7C77" w:rsidRDefault="00885FBB" w:rsidP="00885FBB">
      <w:pPr>
        <w:rPr>
          <w:rFonts w:asciiTheme="majorBidi" w:hAnsiTheme="majorBidi" w:cstheme="majorBidi"/>
          <w:b/>
          <w:bCs/>
        </w:rPr>
      </w:pPr>
    </w:p>
    <w:p w14:paraId="23675E1F" w14:textId="6ECDCB99" w:rsidR="00885FBB" w:rsidRPr="00AE7C77" w:rsidRDefault="00885FBB" w:rsidP="00885FBB">
      <w:pPr>
        <w:rPr>
          <w:rFonts w:asciiTheme="majorBidi" w:hAnsiTheme="majorBidi" w:cstheme="majorBidi"/>
          <w:b/>
          <w:bCs/>
        </w:rPr>
      </w:pPr>
      <w:r w:rsidRPr="00AE7C77">
        <w:rPr>
          <w:rFonts w:asciiTheme="majorBidi" w:hAnsiTheme="majorBidi" w:cstheme="majorBidi"/>
          <w:b/>
          <w:bCs/>
        </w:rPr>
        <w:t>Figure S1: Response Type over Time</w:t>
      </w:r>
    </w:p>
    <w:p w14:paraId="4484AE45" w14:textId="77777777" w:rsidR="00885FBB" w:rsidRPr="00AE7C77" w:rsidRDefault="00885FBB" w:rsidP="00885FBB">
      <w:pPr>
        <w:rPr>
          <w:rFonts w:asciiTheme="majorBidi" w:hAnsiTheme="majorBidi" w:cstheme="majorBidi"/>
          <w:b/>
          <w:bCs/>
        </w:rPr>
      </w:pPr>
      <w:r w:rsidRPr="00AE7C77">
        <w:rPr>
          <w:rFonts w:asciiTheme="majorBidi" w:hAnsiTheme="majorBidi" w:cstheme="majorBidi"/>
          <w:noProof/>
        </w:rPr>
        <w:drawing>
          <wp:inline distT="0" distB="0" distL="0" distR="0" wp14:anchorId="0B7719B9" wp14:editId="51826153">
            <wp:extent cx="5759450" cy="3841750"/>
            <wp:effectExtent l="0" t="0" r="12700" b="6350"/>
            <wp:docPr id="5" name="Chart 5">
              <a:extLst xmlns:a="http://schemas.openxmlformats.org/drawingml/2006/main">
                <a:ext uri="{FF2B5EF4-FFF2-40B4-BE49-F238E27FC236}">
                  <a16:creationId xmlns:a16="http://schemas.microsoft.com/office/drawing/2014/main" id="{2533ED3F-9D87-48AB-9CF8-BC338EB0D8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4A73181" w14:textId="77777777" w:rsidR="00885FBB" w:rsidRPr="00AE7C77" w:rsidRDefault="00885FBB" w:rsidP="00885FBB">
      <w:pPr>
        <w:rPr>
          <w:rFonts w:asciiTheme="majorBidi" w:hAnsiTheme="majorBidi" w:cstheme="majorBidi"/>
          <w:b/>
          <w:bCs/>
        </w:rPr>
      </w:pPr>
    </w:p>
    <w:p w14:paraId="7484594A" w14:textId="7A1076B7" w:rsidR="00885FBB" w:rsidRPr="00AE7C77" w:rsidRDefault="00885FBB" w:rsidP="00885FBB">
      <w:pPr>
        <w:rPr>
          <w:rFonts w:asciiTheme="majorBidi" w:hAnsiTheme="majorBidi" w:cstheme="majorBidi"/>
          <w:b/>
          <w:bCs/>
        </w:rPr>
      </w:pPr>
      <w:r w:rsidRPr="00AE7C77">
        <w:rPr>
          <w:rFonts w:asciiTheme="majorBidi" w:hAnsiTheme="majorBidi" w:cstheme="majorBidi"/>
          <w:b/>
          <w:bCs/>
        </w:rPr>
        <w:t>Figure S1.1: Adaptation Response Type over Time</w:t>
      </w:r>
      <w:r w:rsidRPr="00AE7C77">
        <w:rPr>
          <w:rFonts w:asciiTheme="majorBidi" w:hAnsiTheme="majorBidi" w:cstheme="majorBidi"/>
          <w:noProof/>
        </w:rPr>
        <w:drawing>
          <wp:inline distT="0" distB="0" distL="0" distR="0" wp14:anchorId="10C7065E" wp14:editId="6D1FDA8E">
            <wp:extent cx="5746750" cy="3238500"/>
            <wp:effectExtent l="0" t="0" r="6350" b="0"/>
            <wp:docPr id="1" name="Chart 1">
              <a:extLst xmlns:a="http://schemas.openxmlformats.org/drawingml/2006/main">
                <a:ext uri="{FF2B5EF4-FFF2-40B4-BE49-F238E27FC236}">
                  <a16:creationId xmlns:a16="http://schemas.microsoft.com/office/drawing/2014/main" id="{F50B86D2-FB39-4648-ABE5-AC253C00B9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4626113" w14:textId="77777777" w:rsidR="00885FBB" w:rsidRPr="00AE7C77" w:rsidRDefault="00885FBB" w:rsidP="00885FBB">
      <w:pPr>
        <w:rPr>
          <w:rFonts w:asciiTheme="majorBidi" w:hAnsiTheme="majorBidi" w:cstheme="majorBidi"/>
          <w:b/>
          <w:bCs/>
        </w:rPr>
      </w:pPr>
    </w:p>
    <w:p w14:paraId="1D32CCAD" w14:textId="77777777" w:rsidR="00885FBB" w:rsidRPr="00AE7C77" w:rsidRDefault="00885FBB" w:rsidP="00885FBB">
      <w:pPr>
        <w:rPr>
          <w:rFonts w:asciiTheme="majorBidi" w:hAnsiTheme="majorBidi" w:cstheme="majorBidi"/>
          <w:b/>
          <w:bCs/>
        </w:rPr>
      </w:pPr>
      <w:r w:rsidRPr="00AE7C77">
        <w:rPr>
          <w:rFonts w:asciiTheme="majorBidi" w:hAnsiTheme="majorBidi" w:cstheme="majorBidi"/>
          <w:b/>
          <w:bCs/>
        </w:rPr>
        <w:lastRenderedPageBreak/>
        <w:t>Figure S1.2: Mitigation Response Type over Time</w:t>
      </w:r>
    </w:p>
    <w:p w14:paraId="40E2DA38" w14:textId="77777777" w:rsidR="00885FBB" w:rsidRPr="00AE7C77" w:rsidRDefault="00885FBB" w:rsidP="00885FBB">
      <w:pPr>
        <w:rPr>
          <w:rFonts w:asciiTheme="majorBidi" w:hAnsiTheme="majorBidi" w:cstheme="majorBidi"/>
          <w:noProof/>
        </w:rPr>
      </w:pPr>
      <w:r w:rsidRPr="00AE7C77">
        <w:rPr>
          <w:rFonts w:asciiTheme="majorBidi" w:hAnsiTheme="majorBidi" w:cstheme="majorBidi"/>
          <w:noProof/>
        </w:rPr>
        <w:drawing>
          <wp:inline distT="0" distB="0" distL="0" distR="0" wp14:anchorId="02819126" wp14:editId="43C173F0">
            <wp:extent cx="5721350" cy="3409950"/>
            <wp:effectExtent l="0" t="0" r="12700" b="0"/>
            <wp:docPr id="3" name="Chart 3">
              <a:extLst xmlns:a="http://schemas.openxmlformats.org/drawingml/2006/main">
                <a:ext uri="{FF2B5EF4-FFF2-40B4-BE49-F238E27FC236}">
                  <a16:creationId xmlns:a16="http://schemas.microsoft.com/office/drawing/2014/main" id="{2533ED3F-9D87-48AB-9CF8-BC338EB0D8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9DA7A39" w14:textId="77777777" w:rsidR="00885FBB" w:rsidRPr="00AE7C77" w:rsidRDefault="00885FBB" w:rsidP="00885FBB">
      <w:pPr>
        <w:rPr>
          <w:rFonts w:asciiTheme="majorBidi" w:hAnsiTheme="majorBidi" w:cstheme="majorBidi"/>
          <w:noProof/>
        </w:rPr>
      </w:pPr>
    </w:p>
    <w:p w14:paraId="2D8FBB6B" w14:textId="77777777" w:rsidR="00885FBB" w:rsidRPr="00AE7C77" w:rsidRDefault="00885FBB" w:rsidP="00885FBB">
      <w:pPr>
        <w:rPr>
          <w:rFonts w:asciiTheme="majorBidi" w:hAnsiTheme="majorBidi" w:cstheme="majorBidi"/>
          <w:b/>
          <w:bCs/>
        </w:rPr>
      </w:pPr>
    </w:p>
    <w:p w14:paraId="7E15C21F" w14:textId="77777777" w:rsidR="00885FBB" w:rsidRPr="00AE7C77" w:rsidRDefault="00885FBB" w:rsidP="00885FBB">
      <w:pPr>
        <w:rPr>
          <w:rFonts w:asciiTheme="majorBidi" w:hAnsiTheme="majorBidi" w:cstheme="majorBidi"/>
          <w:b/>
          <w:bCs/>
        </w:rPr>
      </w:pPr>
    </w:p>
    <w:p w14:paraId="23C51FB1" w14:textId="77777777" w:rsidR="00885FBB" w:rsidRPr="00AE7C77" w:rsidRDefault="00885FBB" w:rsidP="00885FBB">
      <w:pPr>
        <w:rPr>
          <w:rFonts w:asciiTheme="majorBidi" w:hAnsiTheme="majorBidi" w:cstheme="majorBidi"/>
          <w:b/>
          <w:bCs/>
        </w:rPr>
      </w:pPr>
      <w:r w:rsidRPr="00AE7C77">
        <w:rPr>
          <w:rFonts w:asciiTheme="majorBidi" w:hAnsiTheme="majorBidi" w:cstheme="majorBidi"/>
          <w:b/>
          <w:bCs/>
        </w:rPr>
        <w:t>Figure S2: Response Stage</w:t>
      </w:r>
    </w:p>
    <w:p w14:paraId="5C5D89AA" w14:textId="77777777" w:rsidR="00885FBB" w:rsidRPr="00AE7C77" w:rsidRDefault="00885FBB" w:rsidP="00885FBB">
      <w:pPr>
        <w:rPr>
          <w:rFonts w:asciiTheme="majorBidi" w:hAnsiTheme="majorBidi" w:cstheme="majorBidi"/>
          <w:b/>
          <w:bCs/>
        </w:rPr>
      </w:pPr>
      <w:r w:rsidRPr="00AE7C77">
        <w:rPr>
          <w:rFonts w:asciiTheme="majorBidi" w:hAnsiTheme="majorBidi" w:cstheme="majorBidi"/>
          <w:noProof/>
        </w:rPr>
        <w:drawing>
          <wp:inline distT="0" distB="0" distL="0" distR="0" wp14:anchorId="78250181" wp14:editId="688AE6B0">
            <wp:extent cx="5759450" cy="2994025"/>
            <wp:effectExtent l="0" t="0" r="12700" b="15875"/>
            <wp:docPr id="6" name="Chart 6">
              <a:extLst xmlns:a="http://schemas.openxmlformats.org/drawingml/2006/main">
                <a:ext uri="{FF2B5EF4-FFF2-40B4-BE49-F238E27FC236}">
                  <a16:creationId xmlns:a16="http://schemas.microsoft.com/office/drawing/2014/main" id="{93763F05-41EF-4248-9FC3-A0A330D91B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46D7ADB" w14:textId="7669784B" w:rsidR="00D45E90" w:rsidRPr="00AE7C77" w:rsidRDefault="00D45E90" w:rsidP="000A51A2">
      <w:pPr>
        <w:rPr>
          <w:rFonts w:asciiTheme="majorBidi" w:hAnsiTheme="majorBidi" w:cstheme="majorBidi"/>
          <w:b/>
          <w:bCs/>
        </w:rPr>
      </w:pPr>
    </w:p>
    <w:p w14:paraId="4738B9E0" w14:textId="663F9E1D" w:rsidR="00885FBB" w:rsidRPr="00AE7C77" w:rsidRDefault="00885FBB" w:rsidP="000A51A2">
      <w:pPr>
        <w:rPr>
          <w:rFonts w:asciiTheme="majorBidi" w:hAnsiTheme="majorBidi" w:cstheme="majorBidi"/>
          <w:b/>
          <w:bCs/>
        </w:rPr>
      </w:pPr>
    </w:p>
    <w:p w14:paraId="31A1B346" w14:textId="77777777" w:rsidR="00885FBB" w:rsidRPr="00AE7C77" w:rsidRDefault="00885FBB" w:rsidP="000A51A2">
      <w:pPr>
        <w:rPr>
          <w:rFonts w:asciiTheme="majorBidi" w:hAnsiTheme="majorBidi" w:cstheme="majorBidi"/>
          <w:b/>
          <w:bCs/>
        </w:rPr>
      </w:pPr>
    </w:p>
    <w:p w14:paraId="0BAE60D3" w14:textId="77777777" w:rsidR="00885FBB" w:rsidRPr="00AE7C77" w:rsidRDefault="00885FBB" w:rsidP="00D45E90">
      <w:pPr>
        <w:spacing w:line="240" w:lineRule="auto"/>
        <w:rPr>
          <w:rFonts w:asciiTheme="majorBidi" w:eastAsia="Times New Roman" w:hAnsiTheme="majorBidi" w:cstheme="majorBidi"/>
          <w:b/>
          <w:bCs/>
        </w:rPr>
      </w:pPr>
    </w:p>
    <w:p w14:paraId="486655E1" w14:textId="6F8991E1" w:rsidR="00D45E90" w:rsidRPr="00AE7C77" w:rsidRDefault="00D45E90" w:rsidP="00D45E90">
      <w:pPr>
        <w:spacing w:line="240" w:lineRule="auto"/>
        <w:rPr>
          <w:rFonts w:asciiTheme="majorBidi" w:eastAsia="Times New Roman" w:hAnsiTheme="majorBidi" w:cstheme="majorBidi"/>
          <w:b/>
          <w:bCs/>
        </w:rPr>
      </w:pPr>
      <w:r w:rsidRPr="00AE7C77">
        <w:rPr>
          <w:rFonts w:asciiTheme="majorBidi" w:eastAsia="Times New Roman" w:hAnsiTheme="majorBidi" w:cstheme="majorBidi"/>
          <w:b/>
          <w:bCs/>
        </w:rPr>
        <w:lastRenderedPageBreak/>
        <w:t>Evaluating methodology:</w:t>
      </w:r>
    </w:p>
    <w:p w14:paraId="138D09C2" w14:textId="77777777" w:rsidR="00D45E90" w:rsidRPr="00AE7C77" w:rsidRDefault="00D45E90" w:rsidP="00D45E90">
      <w:pPr>
        <w:spacing w:line="240" w:lineRule="auto"/>
        <w:rPr>
          <w:rFonts w:asciiTheme="majorBidi" w:eastAsia="Times New Roman" w:hAnsiTheme="majorBidi" w:cstheme="majorBidi"/>
          <w:b/>
          <w:bCs/>
        </w:rPr>
      </w:pPr>
    </w:p>
    <w:p w14:paraId="7E0F28CE" w14:textId="4A520A6A" w:rsidR="00D45E90" w:rsidRPr="00AE7C77" w:rsidRDefault="00D45E90" w:rsidP="00D45E90">
      <w:pPr>
        <w:spacing w:line="240" w:lineRule="auto"/>
        <w:rPr>
          <w:rFonts w:asciiTheme="majorBidi" w:hAnsiTheme="majorBidi" w:cstheme="majorBidi"/>
        </w:rPr>
      </w:pPr>
      <w:r w:rsidRPr="00AE7C77">
        <w:rPr>
          <w:rFonts w:asciiTheme="majorBidi" w:eastAsia="Times New Roman" w:hAnsiTheme="majorBidi" w:cstheme="majorBidi"/>
        </w:rPr>
        <w:t>While the search procedure employed was systematic and extensive, there is also potential that some articles were not captured. In the construction of the ‘Indigenous content’ search term, for instance, the exclusion of more specific names of individual communities, or terms used by indigenous peoples themselves reflected space limitations in the search term, and a judgement that journalists were more likely to use names recognizable to non-Indigenous peoples in their reporting, but may have limited the scope of results. Despite a systematic attempt to modify search terms to reflect multiple spellings of words, a failure to capture some spellings may have also limited the number of results. Most critically, the decision to limit the ‘Indigenous content’ search term to the headline, section and column of the article drastically reduced the number of articles returned, creating a feasible scope for the study, but may have also limited results from newspapers where journalistic norms favor headlines that do not explicitly refer to Indigenous peoples. Thus, a study conducted with a search term that removes this restriction may serve as an important site of future inquiry. The expansion of similar search terms to local and regional newspapers was not feasible within the scope of this study, but could deepen understanding of differences in discourse between and within nations. Finally, the extension of the methods used in this analysis to articles about Indigenous peoples and other environmental issues, such as debates over resource extraction or conservation efforts, may reveal broader patterns of representation in environmental coverage.</w:t>
      </w:r>
    </w:p>
    <w:p w14:paraId="667DAAD2" w14:textId="77777777" w:rsidR="00D45E90" w:rsidRPr="00AE7C77" w:rsidRDefault="00D45E90" w:rsidP="000A51A2">
      <w:pPr>
        <w:rPr>
          <w:rFonts w:asciiTheme="majorBidi" w:hAnsiTheme="majorBidi" w:cstheme="majorBidi"/>
          <w:b/>
          <w:bCs/>
        </w:rPr>
      </w:pPr>
    </w:p>
    <w:p w14:paraId="0CDE84C4" w14:textId="77777777" w:rsidR="000A51A2" w:rsidRPr="00AE7C77" w:rsidRDefault="000A51A2" w:rsidP="000A51A2">
      <w:pPr>
        <w:rPr>
          <w:rFonts w:asciiTheme="majorBidi" w:hAnsiTheme="majorBidi" w:cstheme="majorBidi"/>
          <w:b/>
          <w:bCs/>
        </w:rPr>
      </w:pPr>
    </w:p>
    <w:p w14:paraId="4F981703" w14:textId="51CAF7B2" w:rsidR="000A51A2" w:rsidRPr="00AE7C77" w:rsidRDefault="000A51A2" w:rsidP="000A51A2">
      <w:pPr>
        <w:rPr>
          <w:rFonts w:asciiTheme="majorBidi" w:hAnsiTheme="majorBidi" w:cstheme="majorBidi"/>
          <w:b/>
          <w:bCs/>
        </w:rPr>
      </w:pPr>
      <w:r w:rsidRPr="00AE7C77">
        <w:rPr>
          <w:rFonts w:asciiTheme="majorBidi" w:hAnsiTheme="majorBidi" w:cstheme="majorBidi"/>
          <w:b/>
          <w:bCs/>
        </w:rPr>
        <w:t xml:space="preserve">Table </w:t>
      </w:r>
      <w:r w:rsidR="006F2EC0" w:rsidRPr="00AE7C77">
        <w:rPr>
          <w:rFonts w:asciiTheme="majorBidi" w:hAnsiTheme="majorBidi" w:cstheme="majorBidi"/>
          <w:b/>
          <w:bCs/>
        </w:rPr>
        <w:t>S</w:t>
      </w:r>
      <w:r w:rsidRPr="00AE7C77">
        <w:rPr>
          <w:rFonts w:asciiTheme="majorBidi" w:hAnsiTheme="majorBidi" w:cstheme="majorBidi"/>
          <w:b/>
          <w:bCs/>
        </w:rPr>
        <w:t>1: Inclusion/Exclusion Criteria</w:t>
      </w:r>
    </w:p>
    <w:tbl>
      <w:tblPr>
        <w:tblW w:w="921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600" w:firstRow="0" w:lastRow="0" w:firstColumn="0" w:lastColumn="0" w:noHBand="1" w:noVBand="1"/>
      </w:tblPr>
      <w:tblGrid>
        <w:gridCol w:w="1455"/>
        <w:gridCol w:w="4680"/>
        <w:gridCol w:w="3075"/>
      </w:tblGrid>
      <w:tr w:rsidR="000A51A2" w:rsidRPr="00AE7C77" w14:paraId="67D92B31" w14:textId="77777777" w:rsidTr="003F3712">
        <w:tc>
          <w:tcPr>
            <w:tcW w:w="1455" w:type="dxa"/>
            <w:tcMar>
              <w:top w:w="40" w:type="dxa"/>
              <w:left w:w="40" w:type="dxa"/>
              <w:bottom w:w="40" w:type="dxa"/>
              <w:right w:w="40" w:type="dxa"/>
            </w:tcMar>
            <w:vAlign w:val="bottom"/>
          </w:tcPr>
          <w:p w14:paraId="18B7B6B1" w14:textId="77777777" w:rsidR="000A51A2" w:rsidRPr="00AE7C77" w:rsidRDefault="000A51A2" w:rsidP="003F3712">
            <w:pPr>
              <w:rPr>
                <w:rFonts w:asciiTheme="majorBidi" w:hAnsiTheme="majorBidi" w:cstheme="majorBidi"/>
              </w:rPr>
            </w:pPr>
          </w:p>
        </w:tc>
        <w:tc>
          <w:tcPr>
            <w:tcW w:w="4680" w:type="dxa"/>
            <w:tcMar>
              <w:top w:w="40" w:type="dxa"/>
              <w:left w:w="40" w:type="dxa"/>
              <w:bottom w:w="40" w:type="dxa"/>
              <w:right w:w="40" w:type="dxa"/>
            </w:tcMar>
            <w:vAlign w:val="bottom"/>
          </w:tcPr>
          <w:p w14:paraId="5AE86DA7" w14:textId="77777777" w:rsidR="000A51A2" w:rsidRPr="00AE7C77" w:rsidRDefault="000A51A2" w:rsidP="003F3712">
            <w:pPr>
              <w:rPr>
                <w:rFonts w:asciiTheme="majorBidi" w:hAnsiTheme="majorBidi" w:cstheme="majorBidi"/>
              </w:rPr>
            </w:pPr>
            <w:r w:rsidRPr="00AE7C77">
              <w:rPr>
                <w:rFonts w:asciiTheme="majorBidi" w:hAnsiTheme="majorBidi" w:cstheme="majorBidi"/>
                <w:b/>
              </w:rPr>
              <w:t>Inclusion Criteria</w:t>
            </w:r>
          </w:p>
        </w:tc>
        <w:tc>
          <w:tcPr>
            <w:tcW w:w="3075" w:type="dxa"/>
            <w:tcMar>
              <w:top w:w="40" w:type="dxa"/>
              <w:left w:w="40" w:type="dxa"/>
              <w:bottom w:w="40" w:type="dxa"/>
              <w:right w:w="40" w:type="dxa"/>
            </w:tcMar>
            <w:vAlign w:val="bottom"/>
          </w:tcPr>
          <w:p w14:paraId="21C39934" w14:textId="77777777" w:rsidR="000A51A2" w:rsidRPr="00AE7C77" w:rsidRDefault="000A51A2" w:rsidP="003F3712">
            <w:pPr>
              <w:rPr>
                <w:rFonts w:asciiTheme="majorBidi" w:hAnsiTheme="majorBidi" w:cstheme="majorBidi"/>
              </w:rPr>
            </w:pPr>
            <w:r w:rsidRPr="00AE7C77">
              <w:rPr>
                <w:rFonts w:asciiTheme="majorBidi" w:hAnsiTheme="majorBidi" w:cstheme="majorBidi"/>
                <w:b/>
              </w:rPr>
              <w:t>Exclusion Criteria</w:t>
            </w:r>
          </w:p>
        </w:tc>
      </w:tr>
      <w:tr w:rsidR="000A51A2" w:rsidRPr="00AE7C77" w14:paraId="62770759" w14:textId="77777777" w:rsidTr="003F3712">
        <w:tc>
          <w:tcPr>
            <w:tcW w:w="1455" w:type="dxa"/>
            <w:tcMar>
              <w:top w:w="40" w:type="dxa"/>
              <w:left w:w="40" w:type="dxa"/>
              <w:bottom w:w="40" w:type="dxa"/>
              <w:right w:w="40" w:type="dxa"/>
            </w:tcMar>
            <w:vAlign w:val="bottom"/>
          </w:tcPr>
          <w:p w14:paraId="115AE5B3" w14:textId="77777777" w:rsidR="000A51A2" w:rsidRPr="00AE7C77" w:rsidRDefault="000A51A2" w:rsidP="003F3712">
            <w:pPr>
              <w:rPr>
                <w:rFonts w:asciiTheme="majorBidi" w:hAnsiTheme="majorBidi" w:cstheme="majorBidi"/>
              </w:rPr>
            </w:pPr>
            <w:r w:rsidRPr="00AE7C77">
              <w:rPr>
                <w:rFonts w:asciiTheme="majorBidi" w:hAnsiTheme="majorBidi" w:cstheme="majorBidi"/>
                <w:b/>
              </w:rPr>
              <w:t>Timeframe</w:t>
            </w:r>
          </w:p>
        </w:tc>
        <w:tc>
          <w:tcPr>
            <w:tcW w:w="4680" w:type="dxa"/>
            <w:tcMar>
              <w:top w:w="40" w:type="dxa"/>
              <w:left w:w="40" w:type="dxa"/>
              <w:bottom w:w="40" w:type="dxa"/>
              <w:right w:w="40" w:type="dxa"/>
            </w:tcMar>
            <w:vAlign w:val="bottom"/>
          </w:tcPr>
          <w:p w14:paraId="672AB0E8" w14:textId="77777777" w:rsidR="000A51A2" w:rsidRPr="00AE7C77" w:rsidRDefault="000A51A2" w:rsidP="003F3712">
            <w:pPr>
              <w:rPr>
                <w:rFonts w:asciiTheme="majorBidi" w:hAnsiTheme="majorBidi" w:cstheme="majorBidi"/>
              </w:rPr>
            </w:pPr>
            <w:r w:rsidRPr="00AE7C77">
              <w:rPr>
                <w:rFonts w:asciiTheme="majorBidi" w:hAnsiTheme="majorBidi" w:cstheme="majorBidi"/>
              </w:rPr>
              <w:t>Jan 1 1995 - December 31 2015</w:t>
            </w:r>
          </w:p>
          <w:p w14:paraId="6BD1ACEA" w14:textId="1E0CA134" w:rsidR="000A51A2" w:rsidRPr="00AE7C77" w:rsidRDefault="000A51A2" w:rsidP="003F3712">
            <w:pPr>
              <w:rPr>
                <w:rFonts w:asciiTheme="majorBidi" w:hAnsiTheme="majorBidi" w:cstheme="majorBidi"/>
              </w:rPr>
            </w:pPr>
            <w:r w:rsidRPr="00AE7C77">
              <w:rPr>
                <w:rFonts w:asciiTheme="majorBidi" w:hAnsiTheme="majorBidi" w:cstheme="majorBidi"/>
              </w:rPr>
              <w:t xml:space="preserve">Note: </w:t>
            </w:r>
            <w:r w:rsidRPr="00AE7C77">
              <w:rPr>
                <w:rFonts w:asciiTheme="majorBidi" w:hAnsiTheme="majorBidi" w:cstheme="majorBidi"/>
                <w:i/>
              </w:rPr>
              <w:t>Dominion</w:t>
            </w:r>
            <w:r w:rsidRPr="00AE7C77">
              <w:rPr>
                <w:rFonts w:asciiTheme="majorBidi" w:hAnsiTheme="majorBidi" w:cstheme="majorBidi"/>
              </w:rPr>
              <w:t xml:space="preserve"> and </w:t>
            </w:r>
            <w:r w:rsidRPr="00AE7C77">
              <w:rPr>
                <w:rFonts w:asciiTheme="majorBidi" w:hAnsiTheme="majorBidi" w:cstheme="majorBidi"/>
                <w:i/>
              </w:rPr>
              <w:t>Australian</w:t>
            </w:r>
            <w:r w:rsidRPr="00AE7C77">
              <w:rPr>
                <w:rFonts w:asciiTheme="majorBidi" w:hAnsiTheme="majorBidi" w:cstheme="majorBidi"/>
              </w:rPr>
              <w:t xml:space="preserve"> began publishing during 1995. However, the earliest s</w:t>
            </w:r>
            <w:r w:rsidR="003F3712" w:rsidRPr="00AE7C77">
              <w:rPr>
                <w:rFonts w:asciiTheme="majorBidi" w:hAnsiTheme="majorBidi" w:cstheme="majorBidi"/>
              </w:rPr>
              <w:t xml:space="preserve">creened article was written in 1999, so </w:t>
            </w:r>
            <w:r w:rsidR="006F2EC0" w:rsidRPr="00AE7C77">
              <w:rPr>
                <w:rFonts w:asciiTheme="majorBidi" w:hAnsiTheme="majorBidi" w:cstheme="majorBidi"/>
              </w:rPr>
              <w:t>it is reasonable to assume that this had no substantial impact on results.</w:t>
            </w:r>
          </w:p>
        </w:tc>
        <w:tc>
          <w:tcPr>
            <w:tcW w:w="3075" w:type="dxa"/>
            <w:tcMar>
              <w:top w:w="40" w:type="dxa"/>
              <w:left w:w="40" w:type="dxa"/>
              <w:bottom w:w="40" w:type="dxa"/>
              <w:right w:w="40" w:type="dxa"/>
            </w:tcMar>
            <w:vAlign w:val="bottom"/>
          </w:tcPr>
          <w:p w14:paraId="65E377C7" w14:textId="1123D919" w:rsidR="000A51A2" w:rsidRPr="00AE7C77" w:rsidRDefault="000A51A2" w:rsidP="003F3712">
            <w:pPr>
              <w:rPr>
                <w:rFonts w:asciiTheme="majorBidi" w:hAnsiTheme="majorBidi" w:cstheme="majorBidi"/>
              </w:rPr>
            </w:pPr>
            <w:r w:rsidRPr="00AE7C77">
              <w:rPr>
                <w:rFonts w:asciiTheme="majorBidi" w:hAnsiTheme="majorBidi" w:cstheme="majorBidi"/>
              </w:rPr>
              <w:t xml:space="preserve">Before </w:t>
            </w:r>
            <w:r w:rsidR="006F2EC0" w:rsidRPr="00AE7C77">
              <w:rPr>
                <w:rFonts w:asciiTheme="majorBidi" w:hAnsiTheme="majorBidi" w:cstheme="majorBidi"/>
              </w:rPr>
              <w:t xml:space="preserve">January </w:t>
            </w:r>
            <w:r w:rsidRPr="00AE7C77">
              <w:rPr>
                <w:rFonts w:asciiTheme="majorBidi" w:hAnsiTheme="majorBidi" w:cstheme="majorBidi"/>
              </w:rPr>
              <w:t>1995 or during 2016</w:t>
            </w:r>
            <w:r w:rsidR="006F2EC0" w:rsidRPr="00AE7C77">
              <w:rPr>
                <w:rFonts w:asciiTheme="majorBidi" w:hAnsiTheme="majorBidi" w:cstheme="majorBidi"/>
              </w:rPr>
              <w:t>.</w:t>
            </w:r>
          </w:p>
        </w:tc>
      </w:tr>
      <w:tr w:rsidR="000A51A2" w:rsidRPr="00AE7C77" w14:paraId="7F3CDE6B" w14:textId="77777777" w:rsidTr="003F3712">
        <w:tc>
          <w:tcPr>
            <w:tcW w:w="1455" w:type="dxa"/>
            <w:tcMar>
              <w:top w:w="40" w:type="dxa"/>
              <w:left w:w="40" w:type="dxa"/>
              <w:bottom w:w="40" w:type="dxa"/>
              <w:right w:w="40" w:type="dxa"/>
            </w:tcMar>
            <w:vAlign w:val="bottom"/>
          </w:tcPr>
          <w:p w14:paraId="0B61DD6B" w14:textId="77777777" w:rsidR="000A51A2" w:rsidRPr="00AE7C77" w:rsidRDefault="000A51A2" w:rsidP="003F3712">
            <w:pPr>
              <w:rPr>
                <w:rFonts w:asciiTheme="majorBidi" w:hAnsiTheme="majorBidi" w:cstheme="majorBidi"/>
              </w:rPr>
            </w:pPr>
            <w:r w:rsidRPr="00AE7C77">
              <w:rPr>
                <w:rFonts w:asciiTheme="majorBidi" w:hAnsiTheme="majorBidi" w:cstheme="majorBidi"/>
                <w:b/>
              </w:rPr>
              <w:t>Type of newspaper</w:t>
            </w:r>
          </w:p>
        </w:tc>
        <w:tc>
          <w:tcPr>
            <w:tcW w:w="4680" w:type="dxa"/>
            <w:tcMar>
              <w:top w:w="40" w:type="dxa"/>
              <w:left w:w="40" w:type="dxa"/>
              <w:bottom w:w="40" w:type="dxa"/>
              <w:right w:w="40" w:type="dxa"/>
            </w:tcMar>
            <w:vAlign w:val="bottom"/>
          </w:tcPr>
          <w:p w14:paraId="141667AA" w14:textId="77777777" w:rsidR="00AE7C77" w:rsidRDefault="000A51A2" w:rsidP="003F3712">
            <w:pPr>
              <w:rPr>
                <w:rFonts w:asciiTheme="majorBidi" w:hAnsiTheme="majorBidi" w:cstheme="majorBidi"/>
              </w:rPr>
            </w:pPr>
            <w:r w:rsidRPr="00AE7C77">
              <w:rPr>
                <w:rFonts w:asciiTheme="majorBidi" w:hAnsiTheme="majorBidi" w:cstheme="majorBidi"/>
              </w:rPr>
              <w:t>Two national English-language broadsheet newspapers, chosen based on circulation in the most recent survey available, and their influence. Where there are not two national newspapers to meet this criteria (Australia), the regional paper with the next largest readership was chosen.</w:t>
            </w:r>
            <w:r w:rsidR="00A432A5" w:rsidRPr="00AE7C77">
              <w:rPr>
                <w:rFonts w:asciiTheme="majorBidi" w:hAnsiTheme="majorBidi" w:cstheme="majorBidi"/>
              </w:rPr>
              <w:t xml:space="preserve"> </w:t>
            </w:r>
          </w:p>
          <w:p w14:paraId="4CA59790" w14:textId="77777777" w:rsidR="00AE7C77" w:rsidRDefault="00AE7C77" w:rsidP="003F3712">
            <w:pPr>
              <w:rPr>
                <w:rFonts w:asciiTheme="majorBidi" w:hAnsiTheme="majorBidi" w:cstheme="majorBidi"/>
              </w:rPr>
            </w:pPr>
          </w:p>
          <w:p w14:paraId="4477FD8E" w14:textId="3A93A173" w:rsidR="000A51A2" w:rsidRPr="00AE7C77" w:rsidRDefault="00A432A5" w:rsidP="003F3712">
            <w:pPr>
              <w:rPr>
                <w:rFonts w:asciiTheme="majorBidi" w:hAnsiTheme="majorBidi" w:cstheme="majorBidi"/>
              </w:rPr>
            </w:pPr>
            <w:r w:rsidRPr="00AE7C77">
              <w:rPr>
                <w:rFonts w:asciiTheme="majorBidi" w:hAnsiTheme="majorBidi" w:cstheme="majorBidi"/>
              </w:rPr>
              <w:t xml:space="preserve">(Newspapers Canada 2014; Roy Morgan Research 2016; Audit Bureau of Circulation 2016; </w:t>
            </w:r>
            <w:r w:rsidR="00F010A5" w:rsidRPr="00AE7C77">
              <w:rPr>
                <w:rFonts w:asciiTheme="majorBidi" w:hAnsiTheme="majorBidi" w:cstheme="majorBidi"/>
              </w:rPr>
              <w:t>imn, 2014</w:t>
            </w:r>
            <w:r w:rsidRPr="00AE7C77">
              <w:rPr>
                <w:rFonts w:asciiTheme="majorBidi" w:hAnsiTheme="majorBidi" w:cstheme="majorBidi"/>
              </w:rPr>
              <w:t>).</w:t>
            </w:r>
          </w:p>
          <w:p w14:paraId="4A470674" w14:textId="77777777" w:rsidR="000A51A2" w:rsidRPr="00AE7C77" w:rsidRDefault="000A51A2" w:rsidP="003F3712">
            <w:pPr>
              <w:rPr>
                <w:rFonts w:asciiTheme="majorBidi" w:hAnsiTheme="majorBidi" w:cstheme="majorBidi"/>
              </w:rPr>
            </w:pPr>
          </w:p>
          <w:p w14:paraId="21CF7020" w14:textId="77777777" w:rsidR="000A51A2" w:rsidRPr="00AE7C77" w:rsidRDefault="000A51A2" w:rsidP="003F3712">
            <w:pPr>
              <w:rPr>
                <w:rFonts w:asciiTheme="majorBidi" w:hAnsiTheme="majorBidi" w:cstheme="majorBidi"/>
              </w:rPr>
            </w:pPr>
            <w:r w:rsidRPr="00AE7C77">
              <w:rPr>
                <w:rFonts w:asciiTheme="majorBidi" w:hAnsiTheme="majorBidi" w:cstheme="majorBidi"/>
              </w:rPr>
              <w:t>Online archives available on Factiva, paid subscription papers.</w:t>
            </w:r>
          </w:p>
          <w:p w14:paraId="2E0D4941" w14:textId="77777777" w:rsidR="000A51A2" w:rsidRPr="00AE7C77" w:rsidRDefault="000A51A2" w:rsidP="003F3712">
            <w:pPr>
              <w:rPr>
                <w:rFonts w:asciiTheme="majorBidi" w:hAnsiTheme="majorBidi" w:cstheme="majorBidi"/>
              </w:rPr>
            </w:pPr>
          </w:p>
          <w:p w14:paraId="4EBFFCFB" w14:textId="77777777" w:rsidR="000A51A2" w:rsidRPr="00AE7C77" w:rsidRDefault="000A51A2" w:rsidP="003F3712">
            <w:pPr>
              <w:rPr>
                <w:rFonts w:asciiTheme="majorBidi" w:hAnsiTheme="majorBidi" w:cstheme="majorBidi"/>
              </w:rPr>
            </w:pPr>
            <w:r w:rsidRPr="00AE7C77">
              <w:rPr>
                <w:rFonts w:asciiTheme="majorBidi" w:hAnsiTheme="majorBidi" w:cstheme="majorBidi"/>
              </w:rPr>
              <w:t xml:space="preserve">Note: </w:t>
            </w:r>
            <w:r w:rsidRPr="00AE7C77">
              <w:rPr>
                <w:rFonts w:asciiTheme="majorBidi" w:hAnsiTheme="majorBidi" w:cstheme="majorBidi"/>
                <w:i/>
              </w:rPr>
              <w:t>The Age</w:t>
            </w:r>
            <w:r w:rsidRPr="00AE7C77">
              <w:rPr>
                <w:rFonts w:asciiTheme="majorBidi" w:hAnsiTheme="majorBidi" w:cstheme="majorBidi"/>
              </w:rPr>
              <w:t xml:space="preserve"> switched from a broadsheet to a compact format in 2014. It was chosen above the </w:t>
            </w:r>
            <w:r w:rsidRPr="00AE7C77">
              <w:rPr>
                <w:rFonts w:asciiTheme="majorBidi" w:hAnsiTheme="majorBidi" w:cstheme="majorBidi"/>
                <w:i/>
              </w:rPr>
              <w:t>Canberra Times</w:t>
            </w:r>
            <w:r w:rsidRPr="00AE7C77">
              <w:rPr>
                <w:rFonts w:asciiTheme="majorBidi" w:hAnsiTheme="majorBidi" w:cstheme="majorBidi"/>
              </w:rPr>
              <w:t xml:space="preserve">, the only other Australian </w:t>
            </w:r>
            <w:r w:rsidRPr="00AE7C77">
              <w:rPr>
                <w:rFonts w:asciiTheme="majorBidi" w:hAnsiTheme="majorBidi" w:cstheme="majorBidi"/>
              </w:rPr>
              <w:lastRenderedPageBreak/>
              <w:t>broadsheet newspaper, because its readership is approximately ten times larger.</w:t>
            </w:r>
          </w:p>
          <w:p w14:paraId="36591621" w14:textId="77777777" w:rsidR="000A51A2" w:rsidRPr="00AE7C77" w:rsidRDefault="000A51A2" w:rsidP="003F3712">
            <w:pPr>
              <w:rPr>
                <w:rFonts w:asciiTheme="majorBidi" w:hAnsiTheme="majorBidi" w:cstheme="majorBidi"/>
              </w:rPr>
            </w:pPr>
          </w:p>
          <w:p w14:paraId="12B2CDE0" w14:textId="77777777" w:rsidR="000A51A2" w:rsidRPr="00AE7C77" w:rsidRDefault="000A51A2" w:rsidP="003F3712">
            <w:pPr>
              <w:rPr>
                <w:rFonts w:asciiTheme="majorBidi" w:hAnsiTheme="majorBidi" w:cstheme="majorBidi"/>
              </w:rPr>
            </w:pPr>
            <w:r w:rsidRPr="00AE7C77">
              <w:rPr>
                <w:rFonts w:asciiTheme="majorBidi" w:hAnsiTheme="majorBidi" w:cstheme="majorBidi"/>
              </w:rPr>
              <w:t xml:space="preserve">For the U.S., the </w:t>
            </w:r>
            <w:r w:rsidRPr="00AE7C77">
              <w:rPr>
                <w:rFonts w:asciiTheme="majorBidi" w:hAnsiTheme="majorBidi" w:cstheme="majorBidi"/>
                <w:i/>
              </w:rPr>
              <w:t>Wall Street Journal</w:t>
            </w:r>
            <w:r w:rsidRPr="00AE7C77">
              <w:rPr>
                <w:rFonts w:asciiTheme="majorBidi" w:hAnsiTheme="majorBidi" w:cstheme="majorBidi"/>
              </w:rPr>
              <w:t xml:space="preserve"> was excluded because of its business focus, and the </w:t>
            </w:r>
            <w:r w:rsidRPr="00AE7C77">
              <w:rPr>
                <w:rFonts w:asciiTheme="majorBidi" w:hAnsiTheme="majorBidi" w:cstheme="majorBidi"/>
                <w:i/>
              </w:rPr>
              <w:t>Washington Post</w:t>
            </w:r>
            <w:r w:rsidRPr="00AE7C77">
              <w:rPr>
                <w:rFonts w:asciiTheme="majorBidi" w:hAnsiTheme="majorBidi" w:cstheme="majorBidi"/>
              </w:rPr>
              <w:t xml:space="preserve"> was chosen over </w:t>
            </w:r>
            <w:r w:rsidRPr="00AE7C77">
              <w:rPr>
                <w:rFonts w:asciiTheme="majorBidi" w:hAnsiTheme="majorBidi" w:cstheme="majorBidi"/>
                <w:i/>
              </w:rPr>
              <w:t xml:space="preserve">USA Today </w:t>
            </w:r>
            <w:r w:rsidRPr="00AE7C77">
              <w:rPr>
                <w:rFonts w:asciiTheme="majorBidi" w:hAnsiTheme="majorBidi" w:cstheme="majorBidi"/>
              </w:rPr>
              <w:t>because of its reputation as a higher-quality, publicly-influential newspaper.</w:t>
            </w:r>
          </w:p>
        </w:tc>
        <w:tc>
          <w:tcPr>
            <w:tcW w:w="3075" w:type="dxa"/>
            <w:tcMar>
              <w:top w:w="40" w:type="dxa"/>
              <w:left w:w="40" w:type="dxa"/>
              <w:bottom w:w="40" w:type="dxa"/>
              <w:right w:w="40" w:type="dxa"/>
            </w:tcMar>
            <w:vAlign w:val="bottom"/>
          </w:tcPr>
          <w:p w14:paraId="7090D4B4" w14:textId="77777777" w:rsidR="000A51A2" w:rsidRPr="00AE7C77" w:rsidRDefault="000A51A2" w:rsidP="003F3712">
            <w:pPr>
              <w:rPr>
                <w:rFonts w:asciiTheme="majorBidi" w:hAnsiTheme="majorBidi" w:cstheme="majorBidi"/>
              </w:rPr>
            </w:pPr>
            <w:r w:rsidRPr="00AE7C77">
              <w:rPr>
                <w:rFonts w:asciiTheme="majorBidi" w:hAnsiTheme="majorBidi" w:cstheme="majorBidi"/>
              </w:rPr>
              <w:lastRenderedPageBreak/>
              <w:t>Tabloids, online-only, free papers, newspapers from other nations, non-daily newspapers, other language, alternative media, business or financial newspapers, regional newspapers (with the exception noted).</w:t>
            </w:r>
          </w:p>
        </w:tc>
      </w:tr>
      <w:tr w:rsidR="000A51A2" w:rsidRPr="00AE7C77" w14:paraId="5C438FBB" w14:textId="77777777" w:rsidTr="003F3712">
        <w:tc>
          <w:tcPr>
            <w:tcW w:w="1455" w:type="dxa"/>
            <w:tcMar>
              <w:top w:w="40" w:type="dxa"/>
              <w:left w:w="40" w:type="dxa"/>
              <w:bottom w:w="40" w:type="dxa"/>
              <w:right w:w="40" w:type="dxa"/>
            </w:tcMar>
            <w:vAlign w:val="bottom"/>
          </w:tcPr>
          <w:p w14:paraId="5D2DB7C3" w14:textId="77777777" w:rsidR="000A51A2" w:rsidRPr="00AE7C77" w:rsidRDefault="000A51A2" w:rsidP="003F3712">
            <w:pPr>
              <w:rPr>
                <w:rFonts w:asciiTheme="majorBidi" w:hAnsiTheme="majorBidi" w:cstheme="majorBidi"/>
              </w:rPr>
            </w:pPr>
            <w:r w:rsidRPr="00AE7C77">
              <w:rPr>
                <w:rFonts w:asciiTheme="majorBidi" w:hAnsiTheme="majorBidi" w:cstheme="majorBidi"/>
                <w:b/>
              </w:rPr>
              <w:t>Which newspapers?</w:t>
            </w:r>
          </w:p>
        </w:tc>
        <w:tc>
          <w:tcPr>
            <w:tcW w:w="4680" w:type="dxa"/>
            <w:tcMar>
              <w:top w:w="40" w:type="dxa"/>
              <w:left w:w="40" w:type="dxa"/>
              <w:bottom w:w="40" w:type="dxa"/>
              <w:right w:w="40" w:type="dxa"/>
            </w:tcMar>
            <w:vAlign w:val="bottom"/>
          </w:tcPr>
          <w:p w14:paraId="3DEFAEA6" w14:textId="77777777" w:rsidR="000A51A2" w:rsidRPr="00AE7C77" w:rsidRDefault="000A51A2" w:rsidP="003F3712">
            <w:pPr>
              <w:rPr>
                <w:rFonts w:asciiTheme="majorBidi" w:hAnsiTheme="majorBidi" w:cstheme="majorBidi"/>
              </w:rPr>
            </w:pPr>
            <w:r w:rsidRPr="00AE7C77">
              <w:rPr>
                <w:rFonts w:asciiTheme="majorBidi" w:hAnsiTheme="majorBidi" w:cstheme="majorBidi"/>
                <w:b/>
              </w:rPr>
              <w:t>New Zealand:</w:t>
            </w:r>
          </w:p>
          <w:p w14:paraId="2F0BE4FB" w14:textId="77777777" w:rsidR="000A51A2" w:rsidRPr="00AE7C77" w:rsidRDefault="000A51A2" w:rsidP="003F3712">
            <w:pPr>
              <w:rPr>
                <w:rFonts w:asciiTheme="majorBidi" w:hAnsiTheme="majorBidi" w:cstheme="majorBidi"/>
              </w:rPr>
            </w:pPr>
            <w:r w:rsidRPr="00AE7C77">
              <w:rPr>
                <w:rFonts w:asciiTheme="majorBidi" w:hAnsiTheme="majorBidi" w:cstheme="majorBidi"/>
              </w:rPr>
              <w:t>The Dominion (Dec 1995- July 2002), The Dominion Post (July 2002- present),</w:t>
            </w:r>
          </w:p>
          <w:p w14:paraId="765C4061" w14:textId="77777777" w:rsidR="000A51A2" w:rsidRPr="00AE7C77" w:rsidRDefault="000A51A2" w:rsidP="003F3712">
            <w:pPr>
              <w:rPr>
                <w:rFonts w:asciiTheme="majorBidi" w:hAnsiTheme="majorBidi" w:cstheme="majorBidi"/>
              </w:rPr>
            </w:pPr>
            <w:r w:rsidRPr="00AE7C77">
              <w:rPr>
                <w:rFonts w:asciiTheme="majorBidi" w:hAnsiTheme="majorBidi" w:cstheme="majorBidi"/>
              </w:rPr>
              <w:t>New Zealand Herald (1994-now)</w:t>
            </w:r>
          </w:p>
          <w:p w14:paraId="4C1EC937" w14:textId="77777777" w:rsidR="000A51A2" w:rsidRPr="00AE7C77" w:rsidRDefault="000A51A2" w:rsidP="003F3712">
            <w:pPr>
              <w:rPr>
                <w:rFonts w:asciiTheme="majorBidi" w:hAnsiTheme="majorBidi" w:cstheme="majorBidi"/>
              </w:rPr>
            </w:pPr>
          </w:p>
          <w:p w14:paraId="541A261C" w14:textId="77777777" w:rsidR="000A51A2" w:rsidRPr="00AE7C77" w:rsidRDefault="000A51A2" w:rsidP="003F3712">
            <w:pPr>
              <w:rPr>
                <w:rFonts w:asciiTheme="majorBidi" w:hAnsiTheme="majorBidi" w:cstheme="majorBidi"/>
              </w:rPr>
            </w:pPr>
            <w:r w:rsidRPr="00AE7C77">
              <w:rPr>
                <w:rFonts w:asciiTheme="majorBidi" w:hAnsiTheme="majorBidi" w:cstheme="majorBidi"/>
                <w:b/>
              </w:rPr>
              <w:t>Australia:</w:t>
            </w:r>
          </w:p>
          <w:p w14:paraId="0A34E5EE" w14:textId="77777777" w:rsidR="000A51A2" w:rsidRPr="00AE7C77" w:rsidRDefault="000A51A2" w:rsidP="003F3712">
            <w:pPr>
              <w:rPr>
                <w:rFonts w:asciiTheme="majorBidi" w:hAnsiTheme="majorBidi" w:cstheme="majorBidi"/>
              </w:rPr>
            </w:pPr>
            <w:r w:rsidRPr="00AE7C77">
              <w:rPr>
                <w:rFonts w:asciiTheme="majorBidi" w:hAnsiTheme="majorBidi" w:cstheme="majorBidi"/>
              </w:rPr>
              <w:t>The Age (1991 - present)</w:t>
            </w:r>
          </w:p>
          <w:p w14:paraId="2A658233" w14:textId="77777777" w:rsidR="000A51A2" w:rsidRPr="00AE7C77" w:rsidRDefault="000A51A2" w:rsidP="003F3712">
            <w:pPr>
              <w:rPr>
                <w:rFonts w:asciiTheme="majorBidi" w:hAnsiTheme="majorBidi" w:cstheme="majorBidi"/>
              </w:rPr>
            </w:pPr>
            <w:r w:rsidRPr="00AE7C77">
              <w:rPr>
                <w:rFonts w:asciiTheme="majorBidi" w:hAnsiTheme="majorBidi" w:cstheme="majorBidi"/>
              </w:rPr>
              <w:t>The Australian (July 1996 - present)</w:t>
            </w:r>
          </w:p>
          <w:p w14:paraId="1340B4D9" w14:textId="77777777" w:rsidR="000A51A2" w:rsidRPr="00AE7C77" w:rsidRDefault="000A51A2" w:rsidP="003F3712">
            <w:pPr>
              <w:rPr>
                <w:rFonts w:asciiTheme="majorBidi" w:hAnsiTheme="majorBidi" w:cstheme="majorBidi"/>
              </w:rPr>
            </w:pPr>
          </w:p>
          <w:p w14:paraId="3466A5E6" w14:textId="77777777" w:rsidR="000A51A2" w:rsidRPr="00AE7C77" w:rsidRDefault="000A51A2" w:rsidP="003F3712">
            <w:pPr>
              <w:rPr>
                <w:rFonts w:asciiTheme="majorBidi" w:hAnsiTheme="majorBidi" w:cstheme="majorBidi"/>
              </w:rPr>
            </w:pPr>
            <w:r w:rsidRPr="00AE7C77">
              <w:rPr>
                <w:rFonts w:asciiTheme="majorBidi" w:hAnsiTheme="majorBidi" w:cstheme="majorBidi"/>
                <w:b/>
              </w:rPr>
              <w:t>USA:</w:t>
            </w:r>
          </w:p>
          <w:p w14:paraId="60F743D1" w14:textId="77777777" w:rsidR="000A51A2" w:rsidRPr="00AE7C77" w:rsidRDefault="000A51A2" w:rsidP="003F3712">
            <w:pPr>
              <w:rPr>
                <w:rFonts w:asciiTheme="majorBidi" w:hAnsiTheme="majorBidi" w:cstheme="majorBidi"/>
              </w:rPr>
            </w:pPr>
            <w:r w:rsidRPr="00AE7C77">
              <w:rPr>
                <w:rFonts w:asciiTheme="majorBidi" w:hAnsiTheme="majorBidi" w:cstheme="majorBidi"/>
              </w:rPr>
              <w:t>The Washington Post, New York Times</w:t>
            </w:r>
          </w:p>
          <w:p w14:paraId="08F18BE9" w14:textId="77777777" w:rsidR="000A51A2" w:rsidRPr="00AE7C77" w:rsidRDefault="000A51A2" w:rsidP="003F3712">
            <w:pPr>
              <w:rPr>
                <w:rFonts w:asciiTheme="majorBidi" w:hAnsiTheme="majorBidi" w:cstheme="majorBidi"/>
              </w:rPr>
            </w:pPr>
          </w:p>
          <w:p w14:paraId="35911B19" w14:textId="77777777" w:rsidR="000A51A2" w:rsidRPr="00AE7C77" w:rsidRDefault="000A51A2" w:rsidP="003F3712">
            <w:pPr>
              <w:rPr>
                <w:rFonts w:asciiTheme="majorBidi" w:hAnsiTheme="majorBidi" w:cstheme="majorBidi"/>
              </w:rPr>
            </w:pPr>
            <w:r w:rsidRPr="00AE7C77">
              <w:rPr>
                <w:rFonts w:asciiTheme="majorBidi" w:hAnsiTheme="majorBidi" w:cstheme="majorBidi"/>
                <w:b/>
              </w:rPr>
              <w:t>Canada:</w:t>
            </w:r>
          </w:p>
          <w:p w14:paraId="1AC9636E" w14:textId="77777777" w:rsidR="000A51A2" w:rsidRPr="00AE7C77" w:rsidRDefault="000A51A2" w:rsidP="003F3712">
            <w:pPr>
              <w:rPr>
                <w:rFonts w:asciiTheme="majorBidi" w:hAnsiTheme="majorBidi" w:cstheme="majorBidi"/>
              </w:rPr>
            </w:pPr>
            <w:r w:rsidRPr="00AE7C77">
              <w:rPr>
                <w:rFonts w:asciiTheme="majorBidi" w:hAnsiTheme="majorBidi" w:cstheme="majorBidi"/>
              </w:rPr>
              <w:t>Globe &amp; Mail, National Post</w:t>
            </w:r>
          </w:p>
        </w:tc>
        <w:tc>
          <w:tcPr>
            <w:tcW w:w="3075" w:type="dxa"/>
            <w:tcMar>
              <w:top w:w="40" w:type="dxa"/>
              <w:left w:w="40" w:type="dxa"/>
              <w:bottom w:w="40" w:type="dxa"/>
              <w:right w:w="40" w:type="dxa"/>
            </w:tcMar>
            <w:vAlign w:val="bottom"/>
          </w:tcPr>
          <w:p w14:paraId="3AF8222B" w14:textId="77777777" w:rsidR="000A51A2" w:rsidRPr="00AE7C77" w:rsidRDefault="000A51A2" w:rsidP="003F3712">
            <w:pPr>
              <w:rPr>
                <w:rFonts w:asciiTheme="majorBidi" w:hAnsiTheme="majorBidi" w:cstheme="majorBidi"/>
              </w:rPr>
            </w:pPr>
          </w:p>
        </w:tc>
      </w:tr>
      <w:tr w:rsidR="000A51A2" w:rsidRPr="00AE7C77" w14:paraId="22ACE507" w14:textId="77777777" w:rsidTr="003F3712">
        <w:tc>
          <w:tcPr>
            <w:tcW w:w="1455" w:type="dxa"/>
            <w:tcMar>
              <w:top w:w="40" w:type="dxa"/>
              <w:left w:w="40" w:type="dxa"/>
              <w:bottom w:w="40" w:type="dxa"/>
              <w:right w:w="40" w:type="dxa"/>
            </w:tcMar>
            <w:vAlign w:val="bottom"/>
          </w:tcPr>
          <w:p w14:paraId="26EDD70C" w14:textId="77777777" w:rsidR="000A51A2" w:rsidRPr="00AE7C77" w:rsidRDefault="000A51A2" w:rsidP="003F3712">
            <w:pPr>
              <w:rPr>
                <w:rFonts w:asciiTheme="majorBidi" w:hAnsiTheme="majorBidi" w:cstheme="majorBidi"/>
              </w:rPr>
            </w:pPr>
            <w:r w:rsidRPr="00AE7C77">
              <w:rPr>
                <w:rFonts w:asciiTheme="majorBidi" w:hAnsiTheme="majorBidi" w:cstheme="majorBidi"/>
                <w:b/>
              </w:rPr>
              <w:t>Type of articles</w:t>
            </w:r>
          </w:p>
        </w:tc>
        <w:tc>
          <w:tcPr>
            <w:tcW w:w="4680" w:type="dxa"/>
            <w:tcMar>
              <w:top w:w="40" w:type="dxa"/>
              <w:left w:w="40" w:type="dxa"/>
              <w:bottom w:w="40" w:type="dxa"/>
              <w:right w:w="40" w:type="dxa"/>
            </w:tcMar>
            <w:vAlign w:val="bottom"/>
          </w:tcPr>
          <w:p w14:paraId="0D5FA03C" w14:textId="77777777" w:rsidR="000A51A2" w:rsidRPr="00AE7C77" w:rsidRDefault="000A51A2" w:rsidP="003F3712">
            <w:pPr>
              <w:rPr>
                <w:rFonts w:asciiTheme="majorBidi" w:hAnsiTheme="majorBidi" w:cstheme="majorBidi"/>
              </w:rPr>
            </w:pPr>
            <w:r w:rsidRPr="00AE7C77">
              <w:rPr>
                <w:rFonts w:asciiTheme="majorBidi" w:hAnsiTheme="majorBidi" w:cstheme="majorBidi"/>
              </w:rPr>
              <w:t>News, op-ed, editorial, letters to the editor, features</w:t>
            </w:r>
          </w:p>
        </w:tc>
        <w:tc>
          <w:tcPr>
            <w:tcW w:w="3075" w:type="dxa"/>
            <w:tcMar>
              <w:top w:w="40" w:type="dxa"/>
              <w:left w:w="40" w:type="dxa"/>
              <w:bottom w:w="40" w:type="dxa"/>
              <w:right w:w="40" w:type="dxa"/>
            </w:tcMar>
            <w:vAlign w:val="bottom"/>
          </w:tcPr>
          <w:p w14:paraId="2892CC1B" w14:textId="77777777" w:rsidR="000A51A2" w:rsidRPr="00AE7C77" w:rsidRDefault="000A51A2" w:rsidP="003F3712">
            <w:pPr>
              <w:rPr>
                <w:rFonts w:asciiTheme="majorBidi" w:hAnsiTheme="majorBidi" w:cstheme="majorBidi"/>
              </w:rPr>
            </w:pPr>
            <w:r w:rsidRPr="00AE7C77">
              <w:rPr>
                <w:rFonts w:asciiTheme="majorBidi" w:hAnsiTheme="majorBidi" w:cstheme="majorBidi"/>
              </w:rPr>
              <w:t>Images, academic articles, advertisements, online/web-only content.</w:t>
            </w:r>
          </w:p>
        </w:tc>
      </w:tr>
      <w:tr w:rsidR="000A51A2" w:rsidRPr="00AE7C77" w14:paraId="3EFB1244" w14:textId="77777777" w:rsidTr="003F3712">
        <w:tc>
          <w:tcPr>
            <w:tcW w:w="1455" w:type="dxa"/>
            <w:tcMar>
              <w:top w:w="40" w:type="dxa"/>
              <w:left w:w="40" w:type="dxa"/>
              <w:bottom w:w="40" w:type="dxa"/>
              <w:right w:w="40" w:type="dxa"/>
            </w:tcMar>
            <w:vAlign w:val="bottom"/>
          </w:tcPr>
          <w:p w14:paraId="5DDB0061" w14:textId="77777777" w:rsidR="000A51A2" w:rsidRPr="00AE7C77" w:rsidRDefault="000A51A2" w:rsidP="003F3712">
            <w:pPr>
              <w:rPr>
                <w:rFonts w:asciiTheme="majorBidi" w:hAnsiTheme="majorBidi" w:cstheme="majorBidi"/>
              </w:rPr>
            </w:pPr>
            <w:r w:rsidRPr="00AE7C77">
              <w:rPr>
                <w:rFonts w:asciiTheme="majorBidi" w:hAnsiTheme="majorBidi" w:cstheme="majorBidi"/>
                <w:b/>
              </w:rPr>
              <w:t>Content screening</w:t>
            </w:r>
          </w:p>
        </w:tc>
        <w:tc>
          <w:tcPr>
            <w:tcW w:w="4680" w:type="dxa"/>
            <w:tcMar>
              <w:top w:w="40" w:type="dxa"/>
              <w:left w:w="40" w:type="dxa"/>
              <w:bottom w:w="40" w:type="dxa"/>
              <w:right w:w="40" w:type="dxa"/>
            </w:tcMar>
            <w:vAlign w:val="bottom"/>
          </w:tcPr>
          <w:p w14:paraId="35AA63FA" w14:textId="77777777" w:rsidR="000A51A2" w:rsidRPr="00AE7C77" w:rsidRDefault="000A51A2" w:rsidP="003F3712">
            <w:pPr>
              <w:rPr>
                <w:rFonts w:asciiTheme="majorBidi" w:hAnsiTheme="majorBidi" w:cstheme="majorBidi"/>
              </w:rPr>
            </w:pPr>
            <w:r w:rsidRPr="00AE7C77">
              <w:rPr>
                <w:rFonts w:asciiTheme="majorBidi" w:hAnsiTheme="majorBidi" w:cstheme="majorBidi"/>
              </w:rPr>
              <w:t>Articles that reference specific indigenous communities</w:t>
            </w:r>
          </w:p>
        </w:tc>
        <w:tc>
          <w:tcPr>
            <w:tcW w:w="3075" w:type="dxa"/>
            <w:tcMar>
              <w:top w:w="40" w:type="dxa"/>
              <w:left w:w="40" w:type="dxa"/>
              <w:bottom w:w="40" w:type="dxa"/>
              <w:right w:w="40" w:type="dxa"/>
            </w:tcMar>
            <w:vAlign w:val="bottom"/>
          </w:tcPr>
          <w:p w14:paraId="64CA4662" w14:textId="77777777" w:rsidR="000A51A2" w:rsidRPr="00AE7C77" w:rsidRDefault="000A51A2" w:rsidP="003F3712">
            <w:pPr>
              <w:rPr>
                <w:rFonts w:asciiTheme="majorBidi" w:hAnsiTheme="majorBidi" w:cstheme="majorBidi"/>
              </w:rPr>
            </w:pPr>
            <w:r w:rsidRPr="00AE7C77">
              <w:rPr>
                <w:rFonts w:asciiTheme="majorBidi" w:hAnsiTheme="majorBidi" w:cstheme="majorBidi"/>
              </w:rPr>
              <w:t>Articles predominantly about indigenous or native flora, fauna, species in the context of climate change</w:t>
            </w:r>
          </w:p>
        </w:tc>
      </w:tr>
      <w:tr w:rsidR="000A51A2" w:rsidRPr="00AE7C77" w14:paraId="0853F70E" w14:textId="77777777" w:rsidTr="003F3712">
        <w:tc>
          <w:tcPr>
            <w:tcW w:w="1455" w:type="dxa"/>
            <w:tcMar>
              <w:top w:w="40" w:type="dxa"/>
              <w:left w:w="40" w:type="dxa"/>
              <w:bottom w:w="40" w:type="dxa"/>
              <w:right w:w="40" w:type="dxa"/>
            </w:tcMar>
            <w:vAlign w:val="bottom"/>
          </w:tcPr>
          <w:p w14:paraId="40F88D6D" w14:textId="77777777" w:rsidR="000A51A2" w:rsidRPr="00AE7C77" w:rsidRDefault="000A51A2" w:rsidP="003F3712">
            <w:pPr>
              <w:rPr>
                <w:rFonts w:asciiTheme="majorBidi" w:hAnsiTheme="majorBidi" w:cstheme="majorBidi"/>
              </w:rPr>
            </w:pPr>
          </w:p>
        </w:tc>
        <w:tc>
          <w:tcPr>
            <w:tcW w:w="4680" w:type="dxa"/>
            <w:tcMar>
              <w:top w:w="40" w:type="dxa"/>
              <w:left w:w="40" w:type="dxa"/>
              <w:bottom w:w="40" w:type="dxa"/>
              <w:right w:w="40" w:type="dxa"/>
            </w:tcMar>
            <w:vAlign w:val="bottom"/>
          </w:tcPr>
          <w:p w14:paraId="1A565675" w14:textId="77777777" w:rsidR="000A51A2" w:rsidRPr="00AE7C77" w:rsidRDefault="000A51A2" w:rsidP="003F3712">
            <w:pPr>
              <w:rPr>
                <w:rFonts w:asciiTheme="majorBidi" w:hAnsiTheme="majorBidi" w:cstheme="majorBidi"/>
              </w:rPr>
            </w:pPr>
            <w:r w:rsidRPr="00AE7C77">
              <w:rPr>
                <w:rFonts w:asciiTheme="majorBidi" w:hAnsiTheme="majorBidi" w:cstheme="majorBidi"/>
              </w:rPr>
              <w:t>Articles that focus on the generic impacts of climate change on indigenous peoples without reference to particular communities or impacts</w:t>
            </w:r>
          </w:p>
        </w:tc>
        <w:tc>
          <w:tcPr>
            <w:tcW w:w="3075" w:type="dxa"/>
            <w:tcMar>
              <w:top w:w="40" w:type="dxa"/>
              <w:left w:w="40" w:type="dxa"/>
              <w:bottom w:w="40" w:type="dxa"/>
              <w:right w:w="40" w:type="dxa"/>
            </w:tcMar>
            <w:vAlign w:val="bottom"/>
          </w:tcPr>
          <w:p w14:paraId="7D3F8165" w14:textId="77777777" w:rsidR="000A51A2" w:rsidRPr="00AE7C77" w:rsidRDefault="000A51A2" w:rsidP="003F3712">
            <w:pPr>
              <w:rPr>
                <w:rFonts w:asciiTheme="majorBidi" w:hAnsiTheme="majorBidi" w:cstheme="majorBidi"/>
              </w:rPr>
            </w:pPr>
            <w:r w:rsidRPr="00AE7C77">
              <w:rPr>
                <w:rFonts w:asciiTheme="majorBidi" w:hAnsiTheme="majorBidi" w:cstheme="majorBidi"/>
              </w:rPr>
              <w:t>Climate change listed as one of many impacts affecting an aspect of indigenous peoples’ lives.</w:t>
            </w:r>
          </w:p>
        </w:tc>
      </w:tr>
      <w:tr w:rsidR="000A51A2" w:rsidRPr="00AE7C77" w14:paraId="15266665" w14:textId="77777777" w:rsidTr="003F3712">
        <w:tc>
          <w:tcPr>
            <w:tcW w:w="1455" w:type="dxa"/>
            <w:tcMar>
              <w:top w:w="40" w:type="dxa"/>
              <w:left w:w="40" w:type="dxa"/>
              <w:bottom w:w="40" w:type="dxa"/>
              <w:right w:w="40" w:type="dxa"/>
            </w:tcMar>
            <w:vAlign w:val="bottom"/>
          </w:tcPr>
          <w:p w14:paraId="18399534" w14:textId="77777777" w:rsidR="000A51A2" w:rsidRPr="00AE7C77" w:rsidRDefault="000A51A2" w:rsidP="003F3712">
            <w:pPr>
              <w:rPr>
                <w:rFonts w:asciiTheme="majorBidi" w:hAnsiTheme="majorBidi" w:cstheme="majorBidi"/>
              </w:rPr>
            </w:pPr>
          </w:p>
        </w:tc>
        <w:tc>
          <w:tcPr>
            <w:tcW w:w="4680" w:type="dxa"/>
            <w:tcMar>
              <w:top w:w="40" w:type="dxa"/>
              <w:left w:w="40" w:type="dxa"/>
              <w:bottom w:w="40" w:type="dxa"/>
              <w:right w:w="40" w:type="dxa"/>
            </w:tcMar>
            <w:vAlign w:val="bottom"/>
          </w:tcPr>
          <w:p w14:paraId="741D9972" w14:textId="77777777" w:rsidR="000A51A2" w:rsidRPr="00AE7C77" w:rsidRDefault="000A51A2" w:rsidP="003F3712">
            <w:pPr>
              <w:rPr>
                <w:rFonts w:asciiTheme="majorBidi" w:hAnsiTheme="majorBidi" w:cstheme="majorBidi"/>
              </w:rPr>
            </w:pPr>
          </w:p>
        </w:tc>
        <w:tc>
          <w:tcPr>
            <w:tcW w:w="3075" w:type="dxa"/>
            <w:tcMar>
              <w:top w:w="40" w:type="dxa"/>
              <w:left w:w="40" w:type="dxa"/>
              <w:bottom w:w="40" w:type="dxa"/>
              <w:right w:w="40" w:type="dxa"/>
            </w:tcMar>
            <w:vAlign w:val="bottom"/>
          </w:tcPr>
          <w:p w14:paraId="2E94950A" w14:textId="77777777" w:rsidR="000A51A2" w:rsidRPr="00AE7C77" w:rsidRDefault="000A51A2" w:rsidP="003F3712">
            <w:pPr>
              <w:rPr>
                <w:rFonts w:asciiTheme="majorBidi" w:hAnsiTheme="majorBidi" w:cstheme="majorBidi"/>
              </w:rPr>
            </w:pPr>
            <w:r w:rsidRPr="00AE7C77">
              <w:rPr>
                <w:rFonts w:asciiTheme="majorBidi" w:hAnsiTheme="majorBidi" w:cstheme="majorBidi"/>
              </w:rPr>
              <w:t>Repeat stories within same paper (or same corporation)</w:t>
            </w:r>
          </w:p>
        </w:tc>
      </w:tr>
      <w:tr w:rsidR="000A51A2" w:rsidRPr="00AE7C77" w14:paraId="53466376" w14:textId="77777777" w:rsidTr="003F3712">
        <w:tc>
          <w:tcPr>
            <w:tcW w:w="1455" w:type="dxa"/>
            <w:tcMar>
              <w:top w:w="40" w:type="dxa"/>
              <w:left w:w="40" w:type="dxa"/>
              <w:bottom w:w="40" w:type="dxa"/>
              <w:right w:w="40" w:type="dxa"/>
            </w:tcMar>
            <w:vAlign w:val="bottom"/>
          </w:tcPr>
          <w:p w14:paraId="7D32E849" w14:textId="77777777" w:rsidR="000A51A2" w:rsidRPr="00AE7C77" w:rsidRDefault="000A51A2" w:rsidP="003F3712">
            <w:pPr>
              <w:rPr>
                <w:rFonts w:asciiTheme="majorBidi" w:hAnsiTheme="majorBidi" w:cstheme="majorBidi"/>
              </w:rPr>
            </w:pPr>
          </w:p>
        </w:tc>
        <w:tc>
          <w:tcPr>
            <w:tcW w:w="4680" w:type="dxa"/>
            <w:tcMar>
              <w:top w:w="40" w:type="dxa"/>
              <w:left w:w="40" w:type="dxa"/>
              <w:bottom w:w="40" w:type="dxa"/>
              <w:right w:w="40" w:type="dxa"/>
            </w:tcMar>
            <w:vAlign w:val="bottom"/>
          </w:tcPr>
          <w:p w14:paraId="2506302F" w14:textId="77777777" w:rsidR="000A51A2" w:rsidRPr="00AE7C77" w:rsidRDefault="000A51A2" w:rsidP="003F3712">
            <w:pPr>
              <w:rPr>
                <w:rFonts w:asciiTheme="majorBidi" w:hAnsiTheme="majorBidi" w:cstheme="majorBidi"/>
              </w:rPr>
            </w:pPr>
            <w:r w:rsidRPr="00AE7C77">
              <w:rPr>
                <w:rFonts w:asciiTheme="majorBidi" w:hAnsiTheme="majorBidi" w:cstheme="majorBidi"/>
              </w:rPr>
              <w:t>Articles about resource extraction, when linked explicitly to climate change.</w:t>
            </w:r>
          </w:p>
        </w:tc>
        <w:tc>
          <w:tcPr>
            <w:tcW w:w="3075" w:type="dxa"/>
            <w:tcMar>
              <w:top w:w="40" w:type="dxa"/>
              <w:left w:w="40" w:type="dxa"/>
              <w:bottom w:w="40" w:type="dxa"/>
              <w:right w:w="40" w:type="dxa"/>
            </w:tcMar>
            <w:vAlign w:val="bottom"/>
          </w:tcPr>
          <w:p w14:paraId="797331B2" w14:textId="77777777" w:rsidR="000A51A2" w:rsidRPr="00AE7C77" w:rsidRDefault="000A51A2" w:rsidP="003F3712">
            <w:pPr>
              <w:rPr>
                <w:rFonts w:asciiTheme="majorBidi" w:hAnsiTheme="majorBidi" w:cstheme="majorBidi"/>
              </w:rPr>
            </w:pPr>
            <w:r w:rsidRPr="00AE7C77">
              <w:rPr>
                <w:rFonts w:asciiTheme="majorBidi" w:hAnsiTheme="majorBidi" w:cstheme="majorBidi"/>
              </w:rPr>
              <w:t>Articles about indigenous issues where no explicit connection is made to environmental issues or climate change (eg. MMIW)</w:t>
            </w:r>
          </w:p>
        </w:tc>
      </w:tr>
      <w:tr w:rsidR="000A51A2" w:rsidRPr="00AE7C77" w14:paraId="34CA939C" w14:textId="77777777" w:rsidTr="003F3712">
        <w:trPr>
          <w:trHeight w:val="1420"/>
        </w:trPr>
        <w:tc>
          <w:tcPr>
            <w:tcW w:w="1455" w:type="dxa"/>
            <w:tcMar>
              <w:top w:w="40" w:type="dxa"/>
              <w:left w:w="40" w:type="dxa"/>
              <w:bottom w:w="40" w:type="dxa"/>
              <w:right w:w="40" w:type="dxa"/>
            </w:tcMar>
            <w:vAlign w:val="bottom"/>
          </w:tcPr>
          <w:p w14:paraId="4E6291FD" w14:textId="77777777" w:rsidR="000A51A2" w:rsidRPr="00AE7C77" w:rsidRDefault="000A51A2" w:rsidP="003F3712">
            <w:pPr>
              <w:rPr>
                <w:rFonts w:asciiTheme="majorBidi" w:hAnsiTheme="majorBidi" w:cstheme="majorBidi"/>
              </w:rPr>
            </w:pPr>
          </w:p>
        </w:tc>
        <w:tc>
          <w:tcPr>
            <w:tcW w:w="4680" w:type="dxa"/>
            <w:tcMar>
              <w:top w:w="40" w:type="dxa"/>
              <w:left w:w="40" w:type="dxa"/>
              <w:bottom w:w="40" w:type="dxa"/>
              <w:right w:w="40" w:type="dxa"/>
            </w:tcMar>
            <w:vAlign w:val="bottom"/>
          </w:tcPr>
          <w:p w14:paraId="368774DF" w14:textId="77777777" w:rsidR="000A51A2" w:rsidRPr="00AE7C77" w:rsidRDefault="000A51A2" w:rsidP="003F3712">
            <w:pPr>
              <w:rPr>
                <w:rFonts w:asciiTheme="majorBidi" w:hAnsiTheme="majorBidi" w:cstheme="majorBidi"/>
              </w:rPr>
            </w:pPr>
            <w:r w:rsidRPr="00AE7C77">
              <w:rPr>
                <w:rFonts w:asciiTheme="majorBidi" w:hAnsiTheme="majorBidi" w:cstheme="majorBidi"/>
              </w:rPr>
              <w:t>Articles about national and international policy, when explicitly linked to the impacts of climate change on indigenous communities. (Eg. an op-ed written by an Inuit person arguing for the adoption of Kyoto to prevent the melting of sea ice in the Arctic).</w:t>
            </w:r>
          </w:p>
        </w:tc>
        <w:tc>
          <w:tcPr>
            <w:tcW w:w="3075" w:type="dxa"/>
            <w:tcMar>
              <w:top w:w="40" w:type="dxa"/>
              <w:left w:w="40" w:type="dxa"/>
              <w:bottom w:w="40" w:type="dxa"/>
              <w:right w:w="40" w:type="dxa"/>
            </w:tcMar>
            <w:vAlign w:val="bottom"/>
          </w:tcPr>
          <w:p w14:paraId="059B6050" w14:textId="77777777" w:rsidR="000A51A2" w:rsidRPr="00AE7C77" w:rsidRDefault="000A51A2" w:rsidP="003F3712">
            <w:pPr>
              <w:rPr>
                <w:rFonts w:asciiTheme="majorBidi" w:hAnsiTheme="majorBidi" w:cstheme="majorBidi"/>
              </w:rPr>
            </w:pPr>
          </w:p>
        </w:tc>
      </w:tr>
      <w:tr w:rsidR="000A51A2" w:rsidRPr="00AE7C77" w14:paraId="0FDE537E" w14:textId="77777777" w:rsidTr="003F3712">
        <w:trPr>
          <w:trHeight w:val="1214"/>
        </w:trPr>
        <w:tc>
          <w:tcPr>
            <w:tcW w:w="1455" w:type="dxa"/>
            <w:tcMar>
              <w:top w:w="40" w:type="dxa"/>
              <w:left w:w="40" w:type="dxa"/>
              <w:bottom w:w="40" w:type="dxa"/>
              <w:right w:w="40" w:type="dxa"/>
            </w:tcMar>
            <w:vAlign w:val="bottom"/>
          </w:tcPr>
          <w:p w14:paraId="5A8DAA80" w14:textId="77777777" w:rsidR="000A51A2" w:rsidRPr="00AE7C77" w:rsidRDefault="000A51A2" w:rsidP="003F3712">
            <w:pPr>
              <w:rPr>
                <w:rFonts w:asciiTheme="majorBidi" w:hAnsiTheme="majorBidi" w:cstheme="majorBidi"/>
              </w:rPr>
            </w:pPr>
          </w:p>
        </w:tc>
        <w:tc>
          <w:tcPr>
            <w:tcW w:w="4680" w:type="dxa"/>
            <w:tcMar>
              <w:top w:w="40" w:type="dxa"/>
              <w:left w:w="40" w:type="dxa"/>
              <w:bottom w:w="40" w:type="dxa"/>
              <w:right w:w="40" w:type="dxa"/>
            </w:tcMar>
            <w:vAlign w:val="bottom"/>
          </w:tcPr>
          <w:p w14:paraId="07D2E0BF" w14:textId="77777777" w:rsidR="000A51A2" w:rsidRPr="00AE7C77" w:rsidRDefault="000A51A2" w:rsidP="003F3712">
            <w:pPr>
              <w:rPr>
                <w:rFonts w:asciiTheme="majorBidi" w:hAnsiTheme="majorBidi" w:cstheme="majorBidi"/>
              </w:rPr>
            </w:pPr>
            <w:r w:rsidRPr="00AE7C77">
              <w:rPr>
                <w:rFonts w:asciiTheme="majorBidi" w:hAnsiTheme="majorBidi" w:cstheme="majorBidi"/>
              </w:rPr>
              <w:t>Articles citing past adaptation of indigenous peoples to climatic change when link to current climate change adaptation is made explicitly.</w:t>
            </w:r>
          </w:p>
        </w:tc>
        <w:tc>
          <w:tcPr>
            <w:tcW w:w="3075" w:type="dxa"/>
            <w:tcMar>
              <w:top w:w="40" w:type="dxa"/>
              <w:left w:w="40" w:type="dxa"/>
              <w:bottom w:w="40" w:type="dxa"/>
              <w:right w:w="40" w:type="dxa"/>
            </w:tcMar>
            <w:vAlign w:val="bottom"/>
          </w:tcPr>
          <w:p w14:paraId="4004B69C" w14:textId="77777777" w:rsidR="000A51A2" w:rsidRPr="00AE7C77" w:rsidRDefault="000A51A2" w:rsidP="003F3712">
            <w:pPr>
              <w:rPr>
                <w:rFonts w:asciiTheme="majorBidi" w:hAnsiTheme="majorBidi" w:cstheme="majorBidi"/>
              </w:rPr>
            </w:pPr>
            <w:r w:rsidRPr="00AE7C77">
              <w:rPr>
                <w:rFonts w:asciiTheme="majorBidi" w:hAnsiTheme="majorBidi" w:cstheme="majorBidi"/>
              </w:rPr>
              <w:t>Articles about the impacts of non-anthropogenic climate change (eg. climate change 100k years ago, end of the last ice age, etc.)</w:t>
            </w:r>
          </w:p>
        </w:tc>
      </w:tr>
    </w:tbl>
    <w:p w14:paraId="5F35D3ED" w14:textId="77777777" w:rsidR="000A51A2" w:rsidRPr="00AE7C77" w:rsidRDefault="000A51A2" w:rsidP="000A51A2">
      <w:pPr>
        <w:rPr>
          <w:rFonts w:asciiTheme="majorBidi" w:hAnsiTheme="majorBidi" w:cstheme="majorBidi"/>
          <w:b/>
          <w:bCs/>
        </w:rPr>
      </w:pPr>
    </w:p>
    <w:p w14:paraId="2F100C0E" w14:textId="77777777" w:rsidR="000A51A2" w:rsidRPr="00AE7C77" w:rsidRDefault="000A51A2" w:rsidP="000A51A2">
      <w:pPr>
        <w:rPr>
          <w:rFonts w:asciiTheme="majorBidi" w:hAnsiTheme="majorBidi" w:cstheme="majorBidi"/>
          <w:b/>
          <w:bCs/>
        </w:rPr>
      </w:pPr>
      <w:r w:rsidRPr="00AE7C77">
        <w:rPr>
          <w:rFonts w:asciiTheme="majorBidi" w:hAnsiTheme="majorBidi" w:cstheme="majorBidi"/>
          <w:b/>
          <w:bCs/>
        </w:rPr>
        <w:br w:type="page"/>
      </w:r>
    </w:p>
    <w:p w14:paraId="15AB5094" w14:textId="77777777" w:rsidR="000A51A2" w:rsidRPr="00AE7C77" w:rsidRDefault="000A51A2" w:rsidP="000A51A2">
      <w:pPr>
        <w:rPr>
          <w:rFonts w:asciiTheme="majorBidi" w:hAnsiTheme="majorBidi" w:cstheme="majorBidi"/>
          <w:b/>
          <w:bCs/>
        </w:rPr>
      </w:pPr>
    </w:p>
    <w:p w14:paraId="683EE8EC" w14:textId="274C5C17" w:rsidR="000A51A2" w:rsidRPr="00AE7C77" w:rsidRDefault="000A51A2" w:rsidP="000A51A2">
      <w:pPr>
        <w:rPr>
          <w:rFonts w:asciiTheme="majorBidi" w:hAnsiTheme="majorBidi" w:cstheme="majorBidi"/>
          <w:b/>
          <w:bCs/>
        </w:rPr>
      </w:pPr>
      <w:r w:rsidRPr="00AE7C77">
        <w:rPr>
          <w:rFonts w:asciiTheme="majorBidi" w:hAnsiTheme="majorBidi" w:cstheme="majorBidi"/>
          <w:b/>
          <w:bCs/>
        </w:rPr>
        <w:t xml:space="preserve">Table </w:t>
      </w:r>
      <w:r w:rsidR="006F2EC0" w:rsidRPr="00AE7C77">
        <w:rPr>
          <w:rFonts w:asciiTheme="majorBidi" w:hAnsiTheme="majorBidi" w:cstheme="majorBidi"/>
          <w:b/>
          <w:bCs/>
        </w:rPr>
        <w:t>S</w:t>
      </w:r>
      <w:r w:rsidRPr="00AE7C77">
        <w:rPr>
          <w:rFonts w:asciiTheme="majorBidi" w:hAnsiTheme="majorBidi" w:cstheme="majorBidi"/>
          <w:b/>
          <w:bCs/>
        </w:rPr>
        <w:t>2: Search Term</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75"/>
        <w:gridCol w:w="7785"/>
      </w:tblGrid>
      <w:tr w:rsidR="000A51A2" w:rsidRPr="00AE7C77" w14:paraId="5BE39B4D" w14:textId="77777777" w:rsidTr="003F3712">
        <w:tc>
          <w:tcPr>
            <w:tcW w:w="1575" w:type="dxa"/>
            <w:tcMar>
              <w:top w:w="100" w:type="dxa"/>
              <w:left w:w="100" w:type="dxa"/>
              <w:bottom w:w="100" w:type="dxa"/>
              <w:right w:w="100" w:type="dxa"/>
            </w:tcMar>
          </w:tcPr>
          <w:p w14:paraId="507A978D" w14:textId="77777777" w:rsidR="000A51A2" w:rsidRPr="00AE7C77" w:rsidRDefault="000A51A2" w:rsidP="003F3712">
            <w:pPr>
              <w:widowControl w:val="0"/>
              <w:spacing w:line="240" w:lineRule="auto"/>
              <w:rPr>
                <w:rFonts w:asciiTheme="majorBidi" w:hAnsiTheme="majorBidi" w:cstheme="majorBidi"/>
              </w:rPr>
            </w:pPr>
            <w:r w:rsidRPr="00AE7C77">
              <w:rPr>
                <w:rFonts w:asciiTheme="majorBidi" w:hAnsiTheme="majorBidi" w:cstheme="majorBidi"/>
              </w:rPr>
              <w:t>“Climate change term”</w:t>
            </w:r>
          </w:p>
        </w:tc>
        <w:tc>
          <w:tcPr>
            <w:tcW w:w="7785" w:type="dxa"/>
            <w:tcMar>
              <w:top w:w="100" w:type="dxa"/>
              <w:left w:w="100" w:type="dxa"/>
              <w:bottom w:w="100" w:type="dxa"/>
              <w:right w:w="100" w:type="dxa"/>
            </w:tcMar>
          </w:tcPr>
          <w:p w14:paraId="0A14D2B2" w14:textId="77777777" w:rsidR="000A51A2" w:rsidRPr="00AE7C77" w:rsidRDefault="000A51A2" w:rsidP="003F3712">
            <w:pPr>
              <w:rPr>
                <w:rFonts w:asciiTheme="majorBidi" w:hAnsiTheme="majorBidi" w:cstheme="majorBidi"/>
                <w:sz w:val="20"/>
                <w:szCs w:val="20"/>
              </w:rPr>
            </w:pPr>
            <w:r w:rsidRPr="00AE7C77">
              <w:rPr>
                <w:rFonts w:asciiTheme="majorBidi" w:hAnsiTheme="majorBidi" w:cstheme="majorBidi"/>
                <w:sz w:val="20"/>
                <w:szCs w:val="20"/>
              </w:rPr>
              <w:t xml:space="preserve">("climate change" OR "global warming" OR clim* w/4 chang*) </w:t>
            </w:r>
          </w:p>
        </w:tc>
      </w:tr>
      <w:tr w:rsidR="000A51A2" w:rsidRPr="00AE7C77" w14:paraId="5D31A627" w14:textId="77777777" w:rsidTr="003F3712">
        <w:tc>
          <w:tcPr>
            <w:tcW w:w="1575" w:type="dxa"/>
            <w:tcMar>
              <w:top w:w="100" w:type="dxa"/>
              <w:left w:w="100" w:type="dxa"/>
              <w:bottom w:w="100" w:type="dxa"/>
              <w:right w:w="100" w:type="dxa"/>
            </w:tcMar>
          </w:tcPr>
          <w:p w14:paraId="45C9D25B" w14:textId="77777777" w:rsidR="000A51A2" w:rsidRPr="00AE7C77" w:rsidRDefault="000A51A2" w:rsidP="003F3712">
            <w:pPr>
              <w:widowControl w:val="0"/>
              <w:spacing w:line="240" w:lineRule="auto"/>
              <w:rPr>
                <w:rFonts w:asciiTheme="majorBidi" w:hAnsiTheme="majorBidi" w:cstheme="majorBidi"/>
              </w:rPr>
            </w:pPr>
            <w:r w:rsidRPr="00AE7C77">
              <w:rPr>
                <w:rFonts w:asciiTheme="majorBidi" w:hAnsiTheme="majorBidi" w:cstheme="majorBidi"/>
              </w:rPr>
              <w:t>“Indigenous term”</w:t>
            </w:r>
          </w:p>
        </w:tc>
        <w:tc>
          <w:tcPr>
            <w:tcW w:w="7785" w:type="dxa"/>
            <w:tcMar>
              <w:top w:w="100" w:type="dxa"/>
              <w:left w:w="100" w:type="dxa"/>
              <w:bottom w:w="100" w:type="dxa"/>
              <w:right w:w="100" w:type="dxa"/>
            </w:tcMar>
          </w:tcPr>
          <w:p w14:paraId="379BA532" w14:textId="468961F6" w:rsidR="000A51A2" w:rsidRPr="00AE7C77" w:rsidRDefault="000A51A2" w:rsidP="003F3712">
            <w:pPr>
              <w:rPr>
                <w:rFonts w:asciiTheme="majorBidi" w:hAnsiTheme="majorBidi" w:cstheme="majorBidi"/>
                <w:sz w:val="20"/>
                <w:szCs w:val="20"/>
              </w:rPr>
            </w:pPr>
            <w:r w:rsidRPr="00AE7C77">
              <w:rPr>
                <w:rFonts w:asciiTheme="majorBidi" w:hAnsiTheme="majorBidi" w:cstheme="majorBidi"/>
                <w:sz w:val="20"/>
                <w:szCs w:val="20"/>
              </w:rPr>
              <w:t>AND hl=(“first nation” OR “first nations” OR aboriginal* OR aborigine* OR indigenous OR indian or indians OR native* OR triba* or tribe* OR band council or reservation OR reserve or peoples or algonqu* OR Atha?as?an OR atikamekw OR beaver OR blackfoot OR carrier OR cayuga OR chilcotin OR Chippewa* OR cree OR dakota OR dene OR eskimo* OR gitksan OR gwich’in OR haida OR haisla OR halkomelem OR heiltsuk OR innu OR inu$ OR iroquoi* OR kaska OR kootenay OR kutenai OR ktunaxa OR kwakiutl OR lillooet OR maliseet OR metis OR métis OR michif OR mi’kmaq OR micmac OR Mohawk* OR montagnais OR naskapi OR nisga’a OR Nuu-chah-nulth OR oji-cree OR ojibway OR okanagan OR onondaga OR oneida OR salish OR sarcee OR seneca OR sekani OR shuswap OR siou* OR slavey OR squamish OR stoney OR straits OR tahltan OR thompson OR tlicho OR tlingit OR tsimshian OR tutchone OR wakashan OR wetsuweten or aleut* OR Apache* OR arapaho OR blackfeet OR cherokee* OR cheyenne OR chickasaw* OR Chippewa* OR Choctaw* OR Colville OR Comanche OR Creek* OR Crow OR Delaware* OR Flathead OR Hopi OR Houma OR Gila OR Kiowa OR Lenape OR Lumbee OR Menominee OR Navajo* OR Osage OR Paiute OR Pima OR Potawatomi OR Pueblo OR Seminole OR Shoshone OR “Tohono O'odham” OR Ute OR Yakama OR Yaqui OR Yuman OR Yup’ik OR Pacific-Islander OR Māori or Maori or Ngā* or Waikato or Tūhoe or Te or iwi or Hapū or Hauraki OR Tūranganui OR Waikato OR Rangitāne OR Patukirikiri OR Whakatōhea OR Rongowhakaata OR Rongomaiwahine OR Taranaki OR Tangāhoe OR Pakakohi OR Moriori OR Waitaha OR Koori$ or Ngunnawal OR Goori$ OR Murrdi or Murri or Nyungar or Nunga$ or Nyoongah or Yamatji or Wangai or Nunga or Anangu or Yapa or Yolngu or Bininj or Tiwi or Anindilyakwa or Pal?awa$ OR “Torres Strait Islander” or Ngarrindjeri or Mer)</w:t>
            </w:r>
          </w:p>
          <w:p w14:paraId="1F8007C4" w14:textId="77777777" w:rsidR="006F2EC0" w:rsidRPr="00AE7C77" w:rsidRDefault="006F2EC0" w:rsidP="003F3712">
            <w:pPr>
              <w:rPr>
                <w:rFonts w:asciiTheme="majorBidi" w:hAnsiTheme="majorBidi" w:cstheme="majorBidi"/>
                <w:sz w:val="20"/>
                <w:szCs w:val="20"/>
              </w:rPr>
            </w:pPr>
          </w:p>
          <w:p w14:paraId="6A97D0C9" w14:textId="732D6277" w:rsidR="006F2EC0" w:rsidRPr="00AE7C77" w:rsidRDefault="00AE7C77" w:rsidP="006F2EC0">
            <w:pPr>
              <w:rPr>
                <w:rFonts w:asciiTheme="majorBidi" w:hAnsiTheme="majorBidi" w:cstheme="majorBidi"/>
                <w:sz w:val="20"/>
                <w:szCs w:val="20"/>
              </w:rPr>
            </w:pPr>
            <w:r>
              <w:rPr>
                <w:rFonts w:asciiTheme="majorBidi" w:hAnsiTheme="majorBidi" w:cstheme="majorBidi"/>
                <w:sz w:val="20"/>
                <w:szCs w:val="20"/>
              </w:rPr>
              <w:t>(2013 Census iwi grouping profiles 2013; 2013 Census iwi individual profiles 2013; Appendix D: Mother tongue and home language 2015; Norris et al. 2012).</w:t>
            </w:r>
          </w:p>
        </w:tc>
      </w:tr>
    </w:tbl>
    <w:p w14:paraId="54C01F07" w14:textId="77777777" w:rsidR="000A51A2" w:rsidRPr="00AE7C77" w:rsidRDefault="000A51A2" w:rsidP="000A51A2">
      <w:pPr>
        <w:rPr>
          <w:rFonts w:asciiTheme="majorBidi" w:hAnsiTheme="majorBidi" w:cstheme="majorBidi"/>
        </w:rPr>
      </w:pPr>
    </w:p>
    <w:p w14:paraId="01F3472F" w14:textId="77777777" w:rsidR="000A51A2" w:rsidRPr="00AE7C77" w:rsidRDefault="000A51A2" w:rsidP="000A51A2">
      <w:pPr>
        <w:rPr>
          <w:rFonts w:asciiTheme="majorBidi" w:hAnsiTheme="majorBidi" w:cstheme="majorBidi"/>
          <w:b/>
          <w:bCs/>
        </w:rPr>
      </w:pPr>
    </w:p>
    <w:p w14:paraId="6BD9B920" w14:textId="25EBAFE1" w:rsidR="000A51A2" w:rsidRPr="00AE7C77" w:rsidRDefault="006F2EC0" w:rsidP="000A51A2">
      <w:pPr>
        <w:rPr>
          <w:rFonts w:asciiTheme="majorBidi" w:hAnsiTheme="majorBidi" w:cstheme="majorBidi"/>
          <w:b/>
          <w:bCs/>
        </w:rPr>
      </w:pPr>
      <w:r w:rsidRPr="00AE7C77">
        <w:rPr>
          <w:rFonts w:asciiTheme="majorBidi" w:hAnsiTheme="majorBidi" w:cstheme="majorBidi"/>
          <w:b/>
          <w:bCs/>
        </w:rPr>
        <w:t xml:space="preserve">Table S3: </w:t>
      </w:r>
      <w:r w:rsidR="000A51A2" w:rsidRPr="00AE7C77">
        <w:rPr>
          <w:rFonts w:asciiTheme="majorBidi" w:hAnsiTheme="majorBidi" w:cstheme="majorBidi"/>
          <w:b/>
          <w:bCs/>
        </w:rPr>
        <w:t>Articles</w:t>
      </w:r>
      <w:r w:rsidRPr="00AE7C77">
        <w:rPr>
          <w:rFonts w:asciiTheme="majorBidi" w:hAnsiTheme="majorBidi" w:cstheme="majorBidi"/>
          <w:b/>
          <w:bCs/>
        </w:rPr>
        <w:t xml:space="preserve"> analyzed</w:t>
      </w:r>
    </w:p>
    <w:tbl>
      <w:tblPr>
        <w:tblStyle w:val="TableGrid"/>
        <w:tblW w:w="10345" w:type="dxa"/>
        <w:tblLook w:val="04A0" w:firstRow="1" w:lastRow="0" w:firstColumn="1" w:lastColumn="0" w:noHBand="0" w:noVBand="1"/>
      </w:tblPr>
      <w:tblGrid>
        <w:gridCol w:w="3265"/>
        <w:gridCol w:w="1410"/>
        <w:gridCol w:w="1530"/>
        <w:gridCol w:w="1440"/>
        <w:gridCol w:w="2700"/>
      </w:tblGrid>
      <w:tr w:rsidR="000A51A2" w:rsidRPr="00AE7C77" w14:paraId="674BDCFA" w14:textId="77777777" w:rsidTr="003F3712">
        <w:tc>
          <w:tcPr>
            <w:tcW w:w="0" w:type="auto"/>
            <w:vAlign w:val="center"/>
          </w:tcPr>
          <w:p w14:paraId="1A9FE0C3" w14:textId="77777777" w:rsidR="000A51A2" w:rsidRPr="00AE7C77" w:rsidRDefault="000A51A2" w:rsidP="003F3712">
            <w:pPr>
              <w:jc w:val="center"/>
              <w:rPr>
                <w:rFonts w:asciiTheme="majorBidi" w:hAnsiTheme="majorBidi" w:cstheme="majorBidi"/>
                <w:b/>
                <w:bCs/>
              </w:rPr>
            </w:pPr>
            <w:r w:rsidRPr="00AE7C77">
              <w:rPr>
                <w:rFonts w:asciiTheme="majorBidi" w:hAnsiTheme="majorBidi" w:cstheme="majorBidi"/>
                <w:b/>
                <w:bCs/>
              </w:rPr>
              <w:t>Title</w:t>
            </w:r>
          </w:p>
        </w:tc>
        <w:tc>
          <w:tcPr>
            <w:tcW w:w="1410" w:type="dxa"/>
            <w:vAlign w:val="center"/>
          </w:tcPr>
          <w:p w14:paraId="027E4E1E" w14:textId="77777777" w:rsidR="000A51A2" w:rsidRPr="00AE7C77" w:rsidRDefault="000A51A2" w:rsidP="003F3712">
            <w:pPr>
              <w:jc w:val="center"/>
              <w:rPr>
                <w:rFonts w:asciiTheme="majorBidi" w:hAnsiTheme="majorBidi" w:cstheme="majorBidi"/>
                <w:b/>
                <w:bCs/>
              </w:rPr>
            </w:pPr>
            <w:r w:rsidRPr="00AE7C77">
              <w:rPr>
                <w:rFonts w:asciiTheme="majorBidi" w:hAnsiTheme="majorBidi" w:cstheme="majorBidi"/>
                <w:b/>
                <w:bCs/>
              </w:rPr>
              <w:t>Author</w:t>
            </w:r>
          </w:p>
        </w:tc>
        <w:tc>
          <w:tcPr>
            <w:tcW w:w="1530" w:type="dxa"/>
            <w:vAlign w:val="center"/>
          </w:tcPr>
          <w:p w14:paraId="42878DFE" w14:textId="77777777" w:rsidR="000A51A2" w:rsidRPr="00AE7C77" w:rsidRDefault="000A51A2" w:rsidP="003F3712">
            <w:pPr>
              <w:jc w:val="center"/>
              <w:rPr>
                <w:rFonts w:asciiTheme="majorBidi" w:hAnsiTheme="majorBidi" w:cstheme="majorBidi"/>
                <w:b/>
                <w:bCs/>
              </w:rPr>
            </w:pPr>
            <w:r w:rsidRPr="00AE7C77">
              <w:rPr>
                <w:rFonts w:asciiTheme="majorBidi" w:hAnsiTheme="majorBidi" w:cstheme="majorBidi"/>
                <w:b/>
                <w:bCs/>
              </w:rPr>
              <w:t>Publication Date</w:t>
            </w:r>
          </w:p>
        </w:tc>
        <w:tc>
          <w:tcPr>
            <w:tcW w:w="1440" w:type="dxa"/>
            <w:vAlign w:val="center"/>
          </w:tcPr>
          <w:p w14:paraId="655F32D9" w14:textId="77777777" w:rsidR="000A51A2" w:rsidRPr="00AE7C77" w:rsidRDefault="000A51A2" w:rsidP="003F3712">
            <w:pPr>
              <w:jc w:val="center"/>
              <w:rPr>
                <w:rFonts w:asciiTheme="majorBidi" w:hAnsiTheme="majorBidi" w:cstheme="majorBidi"/>
                <w:b/>
                <w:bCs/>
              </w:rPr>
            </w:pPr>
            <w:r w:rsidRPr="00AE7C77">
              <w:rPr>
                <w:rFonts w:asciiTheme="majorBidi" w:hAnsiTheme="majorBidi" w:cstheme="majorBidi"/>
                <w:b/>
                <w:bCs/>
              </w:rPr>
              <w:t>Newspaper</w:t>
            </w:r>
          </w:p>
        </w:tc>
        <w:tc>
          <w:tcPr>
            <w:tcW w:w="2700" w:type="dxa"/>
            <w:vAlign w:val="center"/>
          </w:tcPr>
          <w:p w14:paraId="102E9D0E" w14:textId="77777777" w:rsidR="000A51A2" w:rsidRPr="00AE7C77" w:rsidRDefault="000A51A2" w:rsidP="003F3712">
            <w:pPr>
              <w:jc w:val="center"/>
              <w:rPr>
                <w:rFonts w:asciiTheme="majorBidi" w:hAnsiTheme="majorBidi" w:cstheme="majorBidi"/>
                <w:b/>
                <w:bCs/>
              </w:rPr>
            </w:pPr>
            <w:r w:rsidRPr="00AE7C77">
              <w:rPr>
                <w:rFonts w:asciiTheme="majorBidi" w:hAnsiTheme="majorBidi" w:cstheme="majorBidi"/>
                <w:b/>
                <w:bCs/>
              </w:rPr>
              <w:t>Content Summary</w:t>
            </w:r>
          </w:p>
        </w:tc>
      </w:tr>
      <w:tr w:rsidR="000A51A2" w:rsidRPr="00AE7C77" w14:paraId="2C96329A" w14:textId="77777777" w:rsidTr="003F3712">
        <w:trPr>
          <w:trHeight w:val="315"/>
        </w:trPr>
        <w:tc>
          <w:tcPr>
            <w:tcW w:w="0" w:type="auto"/>
            <w:vAlign w:val="center"/>
            <w:hideMark/>
          </w:tcPr>
          <w:p w14:paraId="64695A2E"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Glacial melting allowed ancient discovery: Natives agree to scientific tests on hunter's remains found on remote B.C. traditional land</w:t>
            </w:r>
          </w:p>
        </w:tc>
        <w:tc>
          <w:tcPr>
            <w:tcW w:w="1410" w:type="dxa"/>
            <w:vAlign w:val="center"/>
          </w:tcPr>
          <w:p w14:paraId="38B57E1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Jill Mahoney</w:t>
            </w:r>
          </w:p>
        </w:tc>
        <w:tc>
          <w:tcPr>
            <w:tcW w:w="1530" w:type="dxa"/>
            <w:vAlign w:val="center"/>
          </w:tcPr>
          <w:p w14:paraId="25B3EB7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25 August 1999</w:t>
            </w:r>
          </w:p>
        </w:tc>
        <w:tc>
          <w:tcPr>
            <w:tcW w:w="1440" w:type="dxa"/>
            <w:vAlign w:val="center"/>
          </w:tcPr>
          <w:p w14:paraId="025DE2CC"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66D24B0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The retreat of glaciers reveals ancient human remains, analyzed by scientists with the permission of indigenous leaders.</w:t>
            </w:r>
          </w:p>
        </w:tc>
      </w:tr>
      <w:tr w:rsidR="000A51A2" w:rsidRPr="00AE7C77" w14:paraId="018C7610" w14:textId="77777777" w:rsidTr="003F3712">
        <w:trPr>
          <w:trHeight w:val="315"/>
        </w:trPr>
        <w:tc>
          <w:tcPr>
            <w:tcW w:w="0" w:type="auto"/>
            <w:vAlign w:val="center"/>
            <w:hideMark/>
          </w:tcPr>
          <w:p w14:paraId="1920189C"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Arctic natives learn the meaning of sunburn: Global warming causes startling shift in weather</w:t>
            </w:r>
          </w:p>
        </w:tc>
        <w:tc>
          <w:tcPr>
            <w:tcW w:w="1410" w:type="dxa"/>
            <w:vAlign w:val="center"/>
          </w:tcPr>
          <w:p w14:paraId="7F5CEA4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Mark MacKinnon</w:t>
            </w:r>
          </w:p>
        </w:tc>
        <w:tc>
          <w:tcPr>
            <w:tcW w:w="1530" w:type="dxa"/>
            <w:vAlign w:val="center"/>
          </w:tcPr>
          <w:p w14:paraId="2A942B7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25 March 2000</w:t>
            </w:r>
          </w:p>
        </w:tc>
        <w:tc>
          <w:tcPr>
            <w:tcW w:w="1440" w:type="dxa"/>
            <w:vAlign w:val="center"/>
          </w:tcPr>
          <w:p w14:paraId="11552CC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0BA2D9DC"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Profile of impacts of climate change on individuals living in Nunavut, need to take mitigation action.</w:t>
            </w:r>
          </w:p>
        </w:tc>
      </w:tr>
      <w:tr w:rsidR="000A51A2" w:rsidRPr="00AE7C77" w14:paraId="5C114AF4" w14:textId="77777777" w:rsidTr="003F3712">
        <w:trPr>
          <w:trHeight w:val="315"/>
        </w:trPr>
        <w:tc>
          <w:tcPr>
            <w:tcW w:w="0" w:type="auto"/>
            <w:vAlign w:val="center"/>
            <w:hideMark/>
          </w:tcPr>
          <w:p w14:paraId="0499EC94"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lastRenderedPageBreak/>
              <w:t>MORE OFFICIALS THAN MAORI AT HUIS.</w:t>
            </w:r>
          </w:p>
        </w:tc>
        <w:tc>
          <w:tcPr>
            <w:tcW w:w="1410" w:type="dxa"/>
            <w:vAlign w:val="center"/>
          </w:tcPr>
          <w:p w14:paraId="2015960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Nick Venter</w:t>
            </w:r>
          </w:p>
        </w:tc>
        <w:tc>
          <w:tcPr>
            <w:tcW w:w="1530" w:type="dxa"/>
            <w:vAlign w:val="center"/>
          </w:tcPr>
          <w:p w14:paraId="772A3D1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20 November 2000</w:t>
            </w:r>
          </w:p>
        </w:tc>
        <w:tc>
          <w:tcPr>
            <w:tcW w:w="1440" w:type="dxa"/>
            <w:vAlign w:val="center"/>
          </w:tcPr>
          <w:p w14:paraId="2A77213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Dominion</w:t>
            </w:r>
          </w:p>
        </w:tc>
        <w:tc>
          <w:tcPr>
            <w:tcW w:w="2700" w:type="dxa"/>
            <w:vAlign w:val="center"/>
          </w:tcPr>
          <w:p w14:paraId="37413815"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Poor attendance at meetings held to brief Maori on implications of the Kyoto Protocol.</w:t>
            </w:r>
          </w:p>
        </w:tc>
      </w:tr>
      <w:tr w:rsidR="000A51A2" w:rsidRPr="00AE7C77" w14:paraId="0764B92C" w14:textId="77777777" w:rsidTr="003F3712">
        <w:trPr>
          <w:trHeight w:val="315"/>
        </w:trPr>
        <w:tc>
          <w:tcPr>
            <w:tcW w:w="0" w:type="auto"/>
            <w:vAlign w:val="center"/>
            <w:hideMark/>
          </w:tcPr>
          <w:p w14:paraId="1E755DDE" w14:textId="0F75E03A"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Signs of Thaw in a Desert of Snow; Scientists Begin to Heed Inu</w:t>
            </w:r>
            <w:r w:rsidR="00584320" w:rsidRPr="00AE7C77">
              <w:rPr>
                <w:rFonts w:asciiTheme="majorBidi" w:eastAsia="Times New Roman" w:hAnsiTheme="majorBidi" w:cstheme="majorBidi"/>
                <w:color w:val="auto"/>
              </w:rPr>
              <w:t xml:space="preserve">it </w:t>
            </w:r>
            <w:r w:rsidRPr="00AE7C77">
              <w:rPr>
                <w:rFonts w:asciiTheme="majorBidi" w:eastAsia="Times New Roman" w:hAnsiTheme="majorBidi" w:cstheme="majorBidi"/>
                <w:color w:val="auto"/>
              </w:rPr>
              <w:t>Warnings of Climate Change in Arctic</w:t>
            </w:r>
          </w:p>
        </w:tc>
        <w:tc>
          <w:tcPr>
            <w:tcW w:w="1410" w:type="dxa"/>
            <w:vAlign w:val="center"/>
          </w:tcPr>
          <w:p w14:paraId="179EBE5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DeNeen L. Brown</w:t>
            </w:r>
          </w:p>
        </w:tc>
        <w:tc>
          <w:tcPr>
            <w:tcW w:w="1530" w:type="dxa"/>
            <w:vAlign w:val="center"/>
          </w:tcPr>
          <w:p w14:paraId="3FF95F15"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28 May 2002</w:t>
            </w:r>
          </w:p>
        </w:tc>
        <w:tc>
          <w:tcPr>
            <w:tcW w:w="1440" w:type="dxa"/>
            <w:vAlign w:val="center"/>
          </w:tcPr>
          <w:p w14:paraId="5CC1810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Washington Post</w:t>
            </w:r>
          </w:p>
        </w:tc>
        <w:tc>
          <w:tcPr>
            <w:tcW w:w="2700" w:type="dxa"/>
            <w:vAlign w:val="center"/>
          </w:tcPr>
          <w:p w14:paraId="068069BA"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Inuit testimonials of changes in the climate are being confirmed by scientists and researchers.</w:t>
            </w:r>
          </w:p>
        </w:tc>
      </w:tr>
      <w:tr w:rsidR="000A51A2" w:rsidRPr="00AE7C77" w14:paraId="22187C09" w14:textId="77777777" w:rsidTr="003F3712">
        <w:trPr>
          <w:trHeight w:val="315"/>
        </w:trPr>
        <w:tc>
          <w:tcPr>
            <w:tcW w:w="0" w:type="auto"/>
            <w:vAlign w:val="center"/>
            <w:hideMark/>
          </w:tcPr>
          <w:p w14:paraId="3E209417"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Climate an issue of rights, Inuit say</w:t>
            </w:r>
          </w:p>
        </w:tc>
        <w:tc>
          <w:tcPr>
            <w:tcW w:w="1410" w:type="dxa"/>
            <w:vAlign w:val="center"/>
          </w:tcPr>
          <w:p w14:paraId="02DE1EA9"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Christine Boyd</w:t>
            </w:r>
          </w:p>
        </w:tc>
        <w:tc>
          <w:tcPr>
            <w:tcW w:w="1530" w:type="dxa"/>
            <w:vAlign w:val="center"/>
          </w:tcPr>
          <w:p w14:paraId="1E4AE6E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11 December 2003</w:t>
            </w:r>
          </w:p>
        </w:tc>
        <w:tc>
          <w:tcPr>
            <w:tcW w:w="1440" w:type="dxa"/>
            <w:vAlign w:val="center"/>
          </w:tcPr>
          <w:p w14:paraId="3A88030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0EE92AB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Inuit launch human-rights case against the United States for failing to ratify the Kyoto Protocol</w:t>
            </w:r>
          </w:p>
        </w:tc>
      </w:tr>
      <w:tr w:rsidR="000A51A2" w:rsidRPr="00AE7C77" w14:paraId="4049DF13" w14:textId="77777777" w:rsidTr="003F3712">
        <w:trPr>
          <w:trHeight w:val="315"/>
        </w:trPr>
        <w:tc>
          <w:tcPr>
            <w:tcW w:w="0" w:type="auto"/>
            <w:vAlign w:val="center"/>
            <w:hideMark/>
          </w:tcPr>
          <w:p w14:paraId="205B18AC"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Eskimos Fret as Climate Shifts and Wildlife Changes</w:t>
            </w:r>
          </w:p>
        </w:tc>
        <w:tc>
          <w:tcPr>
            <w:tcW w:w="1410" w:type="dxa"/>
            <w:vAlign w:val="center"/>
          </w:tcPr>
          <w:p w14:paraId="61CE493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Clifford Krauss</w:t>
            </w:r>
          </w:p>
        </w:tc>
        <w:tc>
          <w:tcPr>
            <w:tcW w:w="1530" w:type="dxa"/>
            <w:vAlign w:val="center"/>
          </w:tcPr>
          <w:p w14:paraId="41DA93F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6 September 2004</w:t>
            </w:r>
          </w:p>
        </w:tc>
        <w:tc>
          <w:tcPr>
            <w:tcW w:w="1440" w:type="dxa"/>
            <w:vAlign w:val="center"/>
          </w:tcPr>
          <w:p w14:paraId="796A9F2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New York Times</w:t>
            </w:r>
          </w:p>
        </w:tc>
        <w:tc>
          <w:tcPr>
            <w:tcW w:w="2700" w:type="dxa"/>
            <w:vAlign w:val="center"/>
          </w:tcPr>
          <w:p w14:paraId="0A67844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Indigenous individuals and scientists describe shifting climate in Nunavut</w:t>
            </w:r>
          </w:p>
        </w:tc>
      </w:tr>
      <w:tr w:rsidR="000A51A2" w:rsidRPr="00AE7C77" w14:paraId="2955E327" w14:textId="77777777" w:rsidTr="003F3712">
        <w:trPr>
          <w:trHeight w:val="315"/>
        </w:trPr>
        <w:tc>
          <w:tcPr>
            <w:tcW w:w="0" w:type="auto"/>
            <w:vAlign w:val="center"/>
            <w:hideMark/>
          </w:tcPr>
          <w:p w14:paraId="6CFFA27B"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Inuit charge that U.S. threat to their existence</w:t>
            </w:r>
          </w:p>
        </w:tc>
        <w:tc>
          <w:tcPr>
            <w:tcW w:w="1410" w:type="dxa"/>
            <w:vAlign w:val="center"/>
          </w:tcPr>
          <w:p w14:paraId="26094CE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unknown</w:t>
            </w:r>
          </w:p>
        </w:tc>
        <w:tc>
          <w:tcPr>
            <w:tcW w:w="1530" w:type="dxa"/>
            <w:vAlign w:val="center"/>
          </w:tcPr>
          <w:p w14:paraId="4DD9373A"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15 December 2004</w:t>
            </w:r>
          </w:p>
        </w:tc>
        <w:tc>
          <w:tcPr>
            <w:tcW w:w="1440" w:type="dxa"/>
            <w:vAlign w:val="center"/>
          </w:tcPr>
          <w:p w14:paraId="2128941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2CC554E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Inuit launch human-rights case against the United States for failing to ratify the Kyoto Protocol</w:t>
            </w:r>
          </w:p>
        </w:tc>
      </w:tr>
      <w:tr w:rsidR="000A51A2" w:rsidRPr="00AE7C77" w14:paraId="29638596" w14:textId="77777777" w:rsidTr="003F3712">
        <w:trPr>
          <w:trHeight w:val="315"/>
        </w:trPr>
        <w:tc>
          <w:tcPr>
            <w:tcW w:w="0" w:type="auto"/>
            <w:vAlign w:val="center"/>
            <w:hideMark/>
          </w:tcPr>
          <w:p w14:paraId="5EF81779"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Eskimos Seek to Recast Global Warming as a Rights Issue</w:t>
            </w:r>
          </w:p>
        </w:tc>
        <w:tc>
          <w:tcPr>
            <w:tcW w:w="1410" w:type="dxa"/>
            <w:vAlign w:val="center"/>
          </w:tcPr>
          <w:p w14:paraId="6EA961A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Andrew C. Revkin</w:t>
            </w:r>
          </w:p>
        </w:tc>
        <w:tc>
          <w:tcPr>
            <w:tcW w:w="1530" w:type="dxa"/>
            <w:vAlign w:val="center"/>
          </w:tcPr>
          <w:p w14:paraId="73146F0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15 December 2004</w:t>
            </w:r>
          </w:p>
        </w:tc>
        <w:tc>
          <w:tcPr>
            <w:tcW w:w="1440" w:type="dxa"/>
            <w:vAlign w:val="center"/>
          </w:tcPr>
          <w:p w14:paraId="71F4494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New York Times</w:t>
            </w:r>
          </w:p>
        </w:tc>
        <w:tc>
          <w:tcPr>
            <w:tcW w:w="2700" w:type="dxa"/>
            <w:vAlign w:val="center"/>
          </w:tcPr>
          <w:p w14:paraId="43AB9AEE"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Inuit launch human-rights case against the United States for failing to ratify the Kyoto Protocol</w:t>
            </w:r>
          </w:p>
        </w:tc>
      </w:tr>
      <w:tr w:rsidR="000A51A2" w:rsidRPr="00AE7C77" w14:paraId="6D324546" w14:textId="77777777" w:rsidTr="003F3712">
        <w:trPr>
          <w:trHeight w:val="315"/>
        </w:trPr>
        <w:tc>
          <w:tcPr>
            <w:tcW w:w="0" w:type="auto"/>
            <w:vAlign w:val="center"/>
            <w:hideMark/>
          </w:tcPr>
          <w:p w14:paraId="6A089F43"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Warming likened to apocalypse: Polar bear, Inuit already doomed, conference told</w:t>
            </w:r>
          </w:p>
        </w:tc>
        <w:tc>
          <w:tcPr>
            <w:tcW w:w="1410" w:type="dxa"/>
            <w:vAlign w:val="center"/>
          </w:tcPr>
          <w:p w14:paraId="67D2AA06"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unknown</w:t>
            </w:r>
          </w:p>
        </w:tc>
        <w:tc>
          <w:tcPr>
            <w:tcW w:w="1530" w:type="dxa"/>
            <w:vAlign w:val="center"/>
          </w:tcPr>
          <w:p w14:paraId="17D19C79"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3 February 2005</w:t>
            </w:r>
          </w:p>
        </w:tc>
        <w:tc>
          <w:tcPr>
            <w:tcW w:w="1440" w:type="dxa"/>
            <w:vAlign w:val="center"/>
          </w:tcPr>
          <w:p w14:paraId="5F6C7DD6"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National Post</w:t>
            </w:r>
          </w:p>
        </w:tc>
        <w:tc>
          <w:tcPr>
            <w:tcW w:w="2700" w:type="dxa"/>
            <w:vAlign w:val="center"/>
          </w:tcPr>
          <w:p w14:paraId="6024573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Profile of various predictions of climate change impacts made by researchers at a conference</w:t>
            </w:r>
          </w:p>
        </w:tc>
      </w:tr>
      <w:tr w:rsidR="000A51A2" w:rsidRPr="00AE7C77" w14:paraId="5DAC9CCE" w14:textId="77777777" w:rsidTr="003F3712">
        <w:trPr>
          <w:trHeight w:val="315"/>
        </w:trPr>
        <w:tc>
          <w:tcPr>
            <w:tcW w:w="0" w:type="auto"/>
            <w:vAlign w:val="center"/>
            <w:hideMark/>
          </w:tcPr>
          <w:p w14:paraId="3C987109"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Inuit's bid to sue U.S. over climate delayed: Talks rescheduled: Russians unable to get visas to attend meeting</w:t>
            </w:r>
          </w:p>
        </w:tc>
        <w:tc>
          <w:tcPr>
            <w:tcW w:w="1410" w:type="dxa"/>
            <w:vAlign w:val="center"/>
          </w:tcPr>
          <w:p w14:paraId="3F35419C"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Steven Edwards</w:t>
            </w:r>
          </w:p>
        </w:tc>
        <w:tc>
          <w:tcPr>
            <w:tcW w:w="1530" w:type="dxa"/>
            <w:vAlign w:val="center"/>
          </w:tcPr>
          <w:p w14:paraId="7922C14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18 February 2005</w:t>
            </w:r>
          </w:p>
        </w:tc>
        <w:tc>
          <w:tcPr>
            <w:tcW w:w="1440" w:type="dxa"/>
            <w:vAlign w:val="center"/>
          </w:tcPr>
          <w:p w14:paraId="455CD4AC"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National Post</w:t>
            </w:r>
          </w:p>
        </w:tc>
        <w:tc>
          <w:tcPr>
            <w:tcW w:w="2700" w:type="dxa"/>
            <w:vAlign w:val="center"/>
          </w:tcPr>
          <w:p w14:paraId="1557A04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 Complications for Inuit to obtain visas from Russia to meet over human-rights case</w:t>
            </w:r>
          </w:p>
        </w:tc>
      </w:tr>
      <w:tr w:rsidR="000A51A2" w:rsidRPr="00AE7C77" w14:paraId="4507CB71" w14:textId="77777777" w:rsidTr="003F3712">
        <w:trPr>
          <w:trHeight w:val="315"/>
        </w:trPr>
        <w:tc>
          <w:tcPr>
            <w:tcW w:w="0" w:type="auto"/>
            <w:vAlign w:val="center"/>
            <w:hideMark/>
          </w:tcPr>
          <w:p w14:paraId="420882F2"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Hollywood stars, Inuit protest global warming</w:t>
            </w:r>
          </w:p>
        </w:tc>
        <w:tc>
          <w:tcPr>
            <w:tcW w:w="1410" w:type="dxa"/>
            <w:vAlign w:val="center"/>
          </w:tcPr>
          <w:p w14:paraId="5B945E45"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Catherine Cullen</w:t>
            </w:r>
          </w:p>
        </w:tc>
        <w:tc>
          <w:tcPr>
            <w:tcW w:w="1530" w:type="dxa"/>
            <w:vAlign w:val="center"/>
          </w:tcPr>
          <w:p w14:paraId="65F16D8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23 April 2005</w:t>
            </w:r>
          </w:p>
        </w:tc>
        <w:tc>
          <w:tcPr>
            <w:tcW w:w="1440" w:type="dxa"/>
            <w:vAlign w:val="center"/>
          </w:tcPr>
          <w:p w14:paraId="7A03ECE5"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03A3FC0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Two celebrities attend demonstration to raise awareness about impacts of climate change in Nunavut</w:t>
            </w:r>
          </w:p>
        </w:tc>
      </w:tr>
      <w:tr w:rsidR="000A51A2" w:rsidRPr="00AE7C77" w14:paraId="1AEA5B8F" w14:textId="77777777" w:rsidTr="003F3712">
        <w:trPr>
          <w:trHeight w:val="315"/>
        </w:trPr>
        <w:tc>
          <w:tcPr>
            <w:tcW w:w="0" w:type="auto"/>
            <w:vAlign w:val="center"/>
            <w:hideMark/>
          </w:tcPr>
          <w:p w14:paraId="57148B69"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Ice Crusade; Hollywood Celebrities Warm to Inuit Climate-Change Worries</w:t>
            </w:r>
          </w:p>
        </w:tc>
        <w:tc>
          <w:tcPr>
            <w:tcW w:w="1410" w:type="dxa"/>
            <w:vAlign w:val="center"/>
          </w:tcPr>
          <w:p w14:paraId="4A35216C"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Juliet Eilperin</w:t>
            </w:r>
          </w:p>
        </w:tc>
        <w:tc>
          <w:tcPr>
            <w:tcW w:w="1530" w:type="dxa"/>
            <w:vAlign w:val="center"/>
          </w:tcPr>
          <w:p w14:paraId="735003B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26 April 2005</w:t>
            </w:r>
          </w:p>
        </w:tc>
        <w:tc>
          <w:tcPr>
            <w:tcW w:w="1440" w:type="dxa"/>
            <w:vAlign w:val="center"/>
          </w:tcPr>
          <w:p w14:paraId="5FACBC95"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Washington Post</w:t>
            </w:r>
          </w:p>
        </w:tc>
        <w:tc>
          <w:tcPr>
            <w:tcW w:w="2700" w:type="dxa"/>
            <w:vAlign w:val="center"/>
          </w:tcPr>
          <w:p w14:paraId="00CB864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Two celebrities attend demonstration to raise awareness about impacts of climate change in Nunavut</w:t>
            </w:r>
          </w:p>
        </w:tc>
      </w:tr>
      <w:tr w:rsidR="000A51A2" w:rsidRPr="00AE7C77" w14:paraId="78BF3157" w14:textId="77777777" w:rsidTr="003F3712">
        <w:trPr>
          <w:trHeight w:val="315"/>
        </w:trPr>
        <w:tc>
          <w:tcPr>
            <w:tcW w:w="0" w:type="auto"/>
            <w:vAlign w:val="center"/>
            <w:hideMark/>
          </w:tcPr>
          <w:p w14:paraId="2BC73EAA"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Deep-freeze treasures; Melting ice patches in the Yukon's high-alpine region are giving up ancient aboriginal throwing darts, ochre paint...</w:t>
            </w:r>
          </w:p>
        </w:tc>
        <w:tc>
          <w:tcPr>
            <w:tcW w:w="1410" w:type="dxa"/>
            <w:vAlign w:val="center"/>
          </w:tcPr>
          <w:p w14:paraId="15BBCA3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Sigrun Maria Kristinsdottir</w:t>
            </w:r>
          </w:p>
        </w:tc>
        <w:tc>
          <w:tcPr>
            <w:tcW w:w="1530" w:type="dxa"/>
            <w:vAlign w:val="center"/>
          </w:tcPr>
          <w:p w14:paraId="6048DED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14 May 2005</w:t>
            </w:r>
          </w:p>
        </w:tc>
        <w:tc>
          <w:tcPr>
            <w:tcW w:w="1440" w:type="dxa"/>
            <w:vAlign w:val="center"/>
          </w:tcPr>
          <w:p w14:paraId="66995A7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2430A1E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Glacial retreat reveals numerous archaeological discoveries</w:t>
            </w:r>
          </w:p>
        </w:tc>
      </w:tr>
      <w:tr w:rsidR="000A51A2" w:rsidRPr="00AE7C77" w14:paraId="5815AB1B" w14:textId="77777777" w:rsidTr="003F3712">
        <w:trPr>
          <w:trHeight w:val="315"/>
        </w:trPr>
        <w:tc>
          <w:tcPr>
            <w:tcW w:w="0" w:type="auto"/>
            <w:vAlign w:val="center"/>
            <w:hideMark/>
          </w:tcPr>
          <w:p w14:paraId="59D4D96E"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lastRenderedPageBreak/>
              <w:t>Inuit life is not as they've known it</w:t>
            </w:r>
          </w:p>
        </w:tc>
        <w:tc>
          <w:tcPr>
            <w:tcW w:w="1410" w:type="dxa"/>
            <w:vAlign w:val="center"/>
          </w:tcPr>
          <w:p w14:paraId="55A6307E"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Steve Connor</w:t>
            </w:r>
          </w:p>
        </w:tc>
        <w:tc>
          <w:tcPr>
            <w:tcW w:w="1530" w:type="dxa"/>
            <w:vAlign w:val="center"/>
          </w:tcPr>
          <w:p w14:paraId="639F425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20 August 2005</w:t>
            </w:r>
          </w:p>
        </w:tc>
        <w:tc>
          <w:tcPr>
            <w:tcW w:w="1440" w:type="dxa"/>
            <w:vAlign w:val="center"/>
          </w:tcPr>
          <w:p w14:paraId="6FBFF085"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New Zealand Herald</w:t>
            </w:r>
          </w:p>
        </w:tc>
        <w:tc>
          <w:tcPr>
            <w:tcW w:w="2700" w:type="dxa"/>
            <w:vAlign w:val="center"/>
          </w:tcPr>
          <w:p w14:paraId="317B090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Profile of environmental and socio-cultural impacts of climate change in the Arctic.</w:t>
            </w:r>
          </w:p>
        </w:tc>
      </w:tr>
      <w:tr w:rsidR="000A51A2" w:rsidRPr="00AE7C77" w14:paraId="5061DC89" w14:textId="77777777" w:rsidTr="003F3712">
        <w:trPr>
          <w:trHeight w:val="315"/>
        </w:trPr>
        <w:tc>
          <w:tcPr>
            <w:tcW w:w="0" w:type="auto"/>
            <w:vAlign w:val="center"/>
            <w:hideMark/>
          </w:tcPr>
          <w:p w14:paraId="5251FDAE"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In Arctic, a search for the right words; Inuit translators, elders to develop terms to describe climate change issues</w:t>
            </w:r>
          </w:p>
        </w:tc>
        <w:tc>
          <w:tcPr>
            <w:tcW w:w="1410" w:type="dxa"/>
            <w:vAlign w:val="center"/>
          </w:tcPr>
          <w:p w14:paraId="2E7DD20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Bob Weber</w:t>
            </w:r>
          </w:p>
        </w:tc>
        <w:tc>
          <w:tcPr>
            <w:tcW w:w="1530" w:type="dxa"/>
            <w:vAlign w:val="center"/>
          </w:tcPr>
          <w:p w14:paraId="2BEE496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4 October 2005</w:t>
            </w:r>
          </w:p>
        </w:tc>
        <w:tc>
          <w:tcPr>
            <w:tcW w:w="1440" w:type="dxa"/>
            <w:vAlign w:val="center"/>
          </w:tcPr>
          <w:p w14:paraId="6F81DFFC"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647AA6E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Profile of initiative to develop climate change vocabulary in Inuktikut</w:t>
            </w:r>
          </w:p>
        </w:tc>
      </w:tr>
      <w:tr w:rsidR="000A51A2" w:rsidRPr="00AE7C77" w14:paraId="747B2725" w14:textId="77777777" w:rsidTr="003F3712">
        <w:trPr>
          <w:trHeight w:val="315"/>
        </w:trPr>
        <w:tc>
          <w:tcPr>
            <w:tcW w:w="0" w:type="auto"/>
            <w:vAlign w:val="center"/>
            <w:hideMark/>
          </w:tcPr>
          <w:p w14:paraId="55564DD5"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Inuit See Signs In Arctic Thaw; String of Warm Winters Alarms 'Sentries for the Rest of the World'</w:t>
            </w:r>
          </w:p>
        </w:tc>
        <w:tc>
          <w:tcPr>
            <w:tcW w:w="1410" w:type="dxa"/>
            <w:vAlign w:val="center"/>
          </w:tcPr>
          <w:p w14:paraId="6AF4CAF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Doug Struck</w:t>
            </w:r>
          </w:p>
        </w:tc>
        <w:tc>
          <w:tcPr>
            <w:tcW w:w="1530" w:type="dxa"/>
            <w:vAlign w:val="center"/>
          </w:tcPr>
          <w:p w14:paraId="4C1AE60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22 March 2006</w:t>
            </w:r>
          </w:p>
        </w:tc>
        <w:tc>
          <w:tcPr>
            <w:tcW w:w="1440" w:type="dxa"/>
            <w:vAlign w:val="center"/>
          </w:tcPr>
          <w:p w14:paraId="3EF7904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Washington Post</w:t>
            </w:r>
          </w:p>
        </w:tc>
        <w:tc>
          <w:tcPr>
            <w:tcW w:w="2700" w:type="dxa"/>
            <w:vAlign w:val="center"/>
          </w:tcPr>
          <w:p w14:paraId="3A65F52A"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Profile of environmental and socio-cultural impacts of climate change on individuals in the Arctic.</w:t>
            </w:r>
          </w:p>
        </w:tc>
      </w:tr>
      <w:tr w:rsidR="000A51A2" w:rsidRPr="00AE7C77" w14:paraId="0CED92DA" w14:textId="77777777" w:rsidTr="003F3712">
        <w:trPr>
          <w:trHeight w:val="315"/>
        </w:trPr>
        <w:tc>
          <w:tcPr>
            <w:tcW w:w="0" w:type="auto"/>
            <w:vAlign w:val="center"/>
            <w:hideMark/>
          </w:tcPr>
          <w:p w14:paraId="33999CF2"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‘We might become extinct'; It's no secret what the pine beetle is doing to B.C.'s trees — millions of hectares are dead or dying. But that's...</w:t>
            </w:r>
          </w:p>
        </w:tc>
        <w:tc>
          <w:tcPr>
            <w:tcW w:w="1410" w:type="dxa"/>
            <w:vAlign w:val="center"/>
          </w:tcPr>
          <w:p w14:paraId="2726B5F9"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Terry Glavin</w:t>
            </w:r>
          </w:p>
        </w:tc>
        <w:tc>
          <w:tcPr>
            <w:tcW w:w="1530" w:type="dxa"/>
            <w:vAlign w:val="center"/>
          </w:tcPr>
          <w:p w14:paraId="131FE4EE"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22 April 2006</w:t>
            </w:r>
          </w:p>
        </w:tc>
        <w:tc>
          <w:tcPr>
            <w:tcW w:w="1440" w:type="dxa"/>
            <w:vAlign w:val="center"/>
          </w:tcPr>
          <w:p w14:paraId="499E3F46"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56EE3ED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Temperature increases enable spread of invasive beetle, causing economic losses and threatening the safety and culture of communities. Loss of indigenous land management techniques cited as part of problem.</w:t>
            </w:r>
          </w:p>
        </w:tc>
      </w:tr>
      <w:tr w:rsidR="000A51A2" w:rsidRPr="00AE7C77" w14:paraId="11B27461" w14:textId="77777777" w:rsidTr="003F3712">
        <w:trPr>
          <w:trHeight w:val="315"/>
        </w:trPr>
        <w:tc>
          <w:tcPr>
            <w:tcW w:w="0" w:type="auto"/>
            <w:vAlign w:val="center"/>
            <w:hideMark/>
          </w:tcPr>
          <w:p w14:paraId="11277962"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World Briefing Americas: Inuit Climate Change Petition Rejected</w:t>
            </w:r>
          </w:p>
        </w:tc>
        <w:tc>
          <w:tcPr>
            <w:tcW w:w="1410" w:type="dxa"/>
            <w:vAlign w:val="center"/>
          </w:tcPr>
          <w:p w14:paraId="3268635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Andrew C. Revkin</w:t>
            </w:r>
          </w:p>
        </w:tc>
        <w:tc>
          <w:tcPr>
            <w:tcW w:w="1530" w:type="dxa"/>
            <w:vAlign w:val="center"/>
          </w:tcPr>
          <w:p w14:paraId="69B6F589"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16 December 2006</w:t>
            </w:r>
          </w:p>
        </w:tc>
        <w:tc>
          <w:tcPr>
            <w:tcW w:w="1440" w:type="dxa"/>
            <w:vAlign w:val="center"/>
          </w:tcPr>
          <w:p w14:paraId="2AF6842E"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New York Times</w:t>
            </w:r>
          </w:p>
        </w:tc>
        <w:tc>
          <w:tcPr>
            <w:tcW w:w="2700" w:type="dxa"/>
            <w:vAlign w:val="center"/>
          </w:tcPr>
          <w:p w14:paraId="4E39926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Inuit human-rights case against the United States is rejected on basis of lack of evidence</w:t>
            </w:r>
          </w:p>
        </w:tc>
      </w:tr>
      <w:tr w:rsidR="000A51A2" w:rsidRPr="00AE7C77" w14:paraId="25008DF6" w14:textId="77777777" w:rsidTr="003F3712">
        <w:trPr>
          <w:trHeight w:val="315"/>
        </w:trPr>
        <w:tc>
          <w:tcPr>
            <w:tcW w:w="0" w:type="auto"/>
            <w:vAlign w:val="center"/>
            <w:hideMark/>
          </w:tcPr>
          <w:p w14:paraId="0627637D"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Advancing Water Poses Threat to Eskimo Villages</w:t>
            </w:r>
          </w:p>
        </w:tc>
        <w:tc>
          <w:tcPr>
            <w:tcW w:w="1410" w:type="dxa"/>
            <w:vAlign w:val="center"/>
          </w:tcPr>
          <w:p w14:paraId="3020795E"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unknown</w:t>
            </w:r>
          </w:p>
        </w:tc>
        <w:tc>
          <w:tcPr>
            <w:tcW w:w="1530" w:type="dxa"/>
            <w:vAlign w:val="center"/>
          </w:tcPr>
          <w:p w14:paraId="68DCE58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27 December 2006</w:t>
            </w:r>
          </w:p>
        </w:tc>
        <w:tc>
          <w:tcPr>
            <w:tcW w:w="1440" w:type="dxa"/>
            <w:vAlign w:val="center"/>
          </w:tcPr>
          <w:p w14:paraId="7D5DAEAC"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New York Times</w:t>
            </w:r>
          </w:p>
        </w:tc>
        <w:tc>
          <w:tcPr>
            <w:tcW w:w="2700" w:type="dxa"/>
            <w:vAlign w:val="center"/>
          </w:tcPr>
          <w:p w14:paraId="0E0305C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In Newtok, Yu’pik communities threatened by erosion and flooding caused by climate change, face financial and political barriers to relocation</w:t>
            </w:r>
          </w:p>
        </w:tc>
      </w:tr>
      <w:tr w:rsidR="000A51A2" w:rsidRPr="00AE7C77" w14:paraId="6E91F389" w14:textId="77777777" w:rsidTr="003F3712">
        <w:trPr>
          <w:trHeight w:val="315"/>
        </w:trPr>
        <w:tc>
          <w:tcPr>
            <w:tcW w:w="0" w:type="auto"/>
            <w:vAlign w:val="center"/>
            <w:hideMark/>
          </w:tcPr>
          <w:p w14:paraId="2152EFD5"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A global crusade to save the Great White North; SHEILA WATT-CLOUTIER: She's travelled widely, warning policians that greenhouse gases are...</w:t>
            </w:r>
          </w:p>
        </w:tc>
        <w:tc>
          <w:tcPr>
            <w:tcW w:w="1410" w:type="dxa"/>
            <w:vAlign w:val="center"/>
          </w:tcPr>
          <w:p w14:paraId="05C7939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Anne McIlroy</w:t>
            </w:r>
          </w:p>
        </w:tc>
        <w:tc>
          <w:tcPr>
            <w:tcW w:w="1530" w:type="dxa"/>
            <w:vAlign w:val="center"/>
          </w:tcPr>
          <w:p w14:paraId="5475360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29 December 2006</w:t>
            </w:r>
          </w:p>
        </w:tc>
        <w:tc>
          <w:tcPr>
            <w:tcW w:w="1440" w:type="dxa"/>
            <w:vAlign w:val="center"/>
          </w:tcPr>
          <w:p w14:paraId="2FA6C39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2BAB882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Profile of Sheila Watt-Cloutier, Inuit activist calling for action on climate change</w:t>
            </w:r>
          </w:p>
        </w:tc>
      </w:tr>
      <w:tr w:rsidR="000A51A2" w:rsidRPr="00AE7C77" w14:paraId="1F1AA3A1" w14:textId="77777777" w:rsidTr="003F3712">
        <w:trPr>
          <w:trHeight w:val="315"/>
        </w:trPr>
        <w:tc>
          <w:tcPr>
            <w:tcW w:w="0" w:type="auto"/>
            <w:vAlign w:val="center"/>
            <w:hideMark/>
          </w:tcPr>
          <w:p w14:paraId="7038CCA5"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Erosion of Land and Culture Threatens Many Alaska Natives; Relocation of Villages Has Financial and Other Costs</w:t>
            </w:r>
          </w:p>
        </w:tc>
        <w:tc>
          <w:tcPr>
            <w:tcW w:w="1410" w:type="dxa"/>
            <w:vAlign w:val="center"/>
          </w:tcPr>
          <w:p w14:paraId="4E0FDC2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Rachel d'Oro</w:t>
            </w:r>
          </w:p>
        </w:tc>
        <w:tc>
          <w:tcPr>
            <w:tcW w:w="1530" w:type="dxa"/>
            <w:vAlign w:val="center"/>
          </w:tcPr>
          <w:p w14:paraId="517D10D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31 December 2006</w:t>
            </w:r>
          </w:p>
        </w:tc>
        <w:tc>
          <w:tcPr>
            <w:tcW w:w="1440" w:type="dxa"/>
            <w:vAlign w:val="center"/>
          </w:tcPr>
          <w:p w14:paraId="45FBF80C"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Washington Post</w:t>
            </w:r>
          </w:p>
        </w:tc>
        <w:tc>
          <w:tcPr>
            <w:tcW w:w="2700" w:type="dxa"/>
            <w:vAlign w:val="center"/>
          </w:tcPr>
          <w:p w14:paraId="6E67CC6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In Newtok, residents navigate political and financial barriers in pursuit of relocation of community away from erosion and flooding, fear cultural loss</w:t>
            </w:r>
          </w:p>
        </w:tc>
      </w:tr>
      <w:tr w:rsidR="000A51A2" w:rsidRPr="00AE7C77" w14:paraId="6646DBFA" w14:textId="77777777" w:rsidTr="003F3712">
        <w:trPr>
          <w:trHeight w:val="315"/>
        </w:trPr>
        <w:tc>
          <w:tcPr>
            <w:tcW w:w="0" w:type="auto"/>
            <w:vAlign w:val="center"/>
            <w:hideMark/>
          </w:tcPr>
          <w:p w14:paraId="5C042124"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Listening to the North; Canada's indigenous peoples are in touch </w:t>
            </w:r>
            <w:r w:rsidRPr="00AE7C77">
              <w:rPr>
                <w:rFonts w:asciiTheme="majorBidi" w:eastAsia="Times New Roman" w:hAnsiTheme="majorBidi" w:cstheme="majorBidi"/>
                <w:color w:val="auto"/>
              </w:rPr>
              <w:lastRenderedPageBreak/>
              <w:t>with the cadence and rhythms of the land, TERRY FENGE says</w:t>
            </w:r>
          </w:p>
        </w:tc>
        <w:tc>
          <w:tcPr>
            <w:tcW w:w="1410" w:type="dxa"/>
            <w:vAlign w:val="center"/>
          </w:tcPr>
          <w:p w14:paraId="2578512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lastRenderedPageBreak/>
              <w:t>Terry Fenge</w:t>
            </w:r>
          </w:p>
        </w:tc>
        <w:tc>
          <w:tcPr>
            <w:tcW w:w="1530" w:type="dxa"/>
            <w:vAlign w:val="center"/>
          </w:tcPr>
          <w:p w14:paraId="13CCF37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6 January 2007</w:t>
            </w:r>
          </w:p>
        </w:tc>
        <w:tc>
          <w:tcPr>
            <w:tcW w:w="1440" w:type="dxa"/>
            <w:vAlign w:val="center"/>
          </w:tcPr>
          <w:p w14:paraId="38A4267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0C63A89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Author reviews books about the Arctic written by </w:t>
            </w:r>
            <w:r w:rsidRPr="00AE7C77">
              <w:rPr>
                <w:rFonts w:asciiTheme="majorBidi" w:eastAsia="Times New Roman" w:hAnsiTheme="majorBidi" w:cstheme="majorBidi"/>
                <w:color w:val="auto"/>
              </w:rPr>
              <w:lastRenderedPageBreak/>
              <w:t>indigenous peoples, arguing for need to understand colonial history to better incorporate indigenous insight and knowledge into policy-making</w:t>
            </w:r>
          </w:p>
        </w:tc>
      </w:tr>
      <w:tr w:rsidR="000A51A2" w:rsidRPr="00AE7C77" w14:paraId="3065BDDA" w14:textId="77777777" w:rsidTr="003F3712">
        <w:trPr>
          <w:trHeight w:val="315"/>
        </w:trPr>
        <w:tc>
          <w:tcPr>
            <w:tcW w:w="0" w:type="auto"/>
            <w:vAlign w:val="center"/>
            <w:hideMark/>
          </w:tcPr>
          <w:p w14:paraId="4771F816"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lastRenderedPageBreak/>
              <w:t>Inuit leader nominated for Nobel; Along with Al Gore, Sheila Watt-Cloutier recognized for efforts on global warming</w:t>
            </w:r>
          </w:p>
        </w:tc>
        <w:tc>
          <w:tcPr>
            <w:tcW w:w="1410" w:type="dxa"/>
            <w:vAlign w:val="center"/>
          </w:tcPr>
          <w:p w14:paraId="7A473DE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Doug Mellgren</w:t>
            </w:r>
          </w:p>
        </w:tc>
        <w:tc>
          <w:tcPr>
            <w:tcW w:w="1530" w:type="dxa"/>
            <w:vAlign w:val="center"/>
          </w:tcPr>
          <w:p w14:paraId="1A1EC5E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 February 2007</w:t>
            </w:r>
          </w:p>
        </w:tc>
        <w:tc>
          <w:tcPr>
            <w:tcW w:w="1440" w:type="dxa"/>
            <w:vAlign w:val="center"/>
          </w:tcPr>
          <w:p w14:paraId="299BC41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57BE08D5"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Sheila Watt-Cloutier, Inuit climate change activist, nominated for Nobel Prize</w:t>
            </w:r>
          </w:p>
        </w:tc>
      </w:tr>
      <w:tr w:rsidR="000A51A2" w:rsidRPr="00AE7C77" w14:paraId="5C97F4DF" w14:textId="77777777" w:rsidTr="003F3712">
        <w:trPr>
          <w:trHeight w:val="315"/>
        </w:trPr>
        <w:tc>
          <w:tcPr>
            <w:tcW w:w="0" w:type="auto"/>
            <w:vAlign w:val="center"/>
            <w:hideMark/>
          </w:tcPr>
          <w:p w14:paraId="4A31324E"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Inuit give cold, hard facts on warming</w:t>
            </w:r>
          </w:p>
        </w:tc>
        <w:tc>
          <w:tcPr>
            <w:tcW w:w="1410" w:type="dxa"/>
            <w:vAlign w:val="center"/>
          </w:tcPr>
          <w:p w14:paraId="5C63B99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unknown</w:t>
            </w:r>
          </w:p>
        </w:tc>
        <w:tc>
          <w:tcPr>
            <w:tcW w:w="1530" w:type="dxa"/>
            <w:vAlign w:val="center"/>
          </w:tcPr>
          <w:p w14:paraId="78D2EAB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 March 2007</w:t>
            </w:r>
          </w:p>
        </w:tc>
        <w:tc>
          <w:tcPr>
            <w:tcW w:w="1440" w:type="dxa"/>
            <w:vAlign w:val="center"/>
          </w:tcPr>
          <w:p w14:paraId="4E830555"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Australian</w:t>
            </w:r>
          </w:p>
        </w:tc>
        <w:tc>
          <w:tcPr>
            <w:tcW w:w="2700" w:type="dxa"/>
            <w:vAlign w:val="center"/>
          </w:tcPr>
          <w:p w14:paraId="1370772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Several indigenous individuals identify climatic impacts, confirming scientific reports. Importance of further scientific research in the Arctic is emphasized.</w:t>
            </w:r>
          </w:p>
        </w:tc>
      </w:tr>
      <w:tr w:rsidR="000A51A2" w:rsidRPr="00AE7C77" w14:paraId="5CC79DA8" w14:textId="77777777" w:rsidTr="003F3712">
        <w:trPr>
          <w:trHeight w:val="315"/>
        </w:trPr>
        <w:tc>
          <w:tcPr>
            <w:tcW w:w="0" w:type="auto"/>
            <w:vAlign w:val="center"/>
            <w:hideMark/>
          </w:tcPr>
          <w:p w14:paraId="4C9A09D2"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MAORI TO CHALLENGE FORESTRY CLIMATE POLICIES</w:t>
            </w:r>
          </w:p>
        </w:tc>
        <w:tc>
          <w:tcPr>
            <w:tcW w:w="1410" w:type="dxa"/>
            <w:vAlign w:val="center"/>
          </w:tcPr>
          <w:p w14:paraId="4C778BF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Andrew Janes</w:t>
            </w:r>
          </w:p>
        </w:tc>
        <w:tc>
          <w:tcPr>
            <w:tcW w:w="1530" w:type="dxa"/>
            <w:vAlign w:val="center"/>
          </w:tcPr>
          <w:p w14:paraId="214151E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22 March 2007</w:t>
            </w:r>
          </w:p>
        </w:tc>
        <w:tc>
          <w:tcPr>
            <w:tcW w:w="1440" w:type="dxa"/>
            <w:vAlign w:val="center"/>
          </w:tcPr>
          <w:p w14:paraId="61F0F11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Dominion Post</w:t>
            </w:r>
          </w:p>
        </w:tc>
        <w:tc>
          <w:tcPr>
            <w:tcW w:w="2700" w:type="dxa"/>
            <w:vAlign w:val="center"/>
          </w:tcPr>
          <w:p w14:paraId="735D490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Maori claim NZ forestry policy will cause drastic reduction in value of their land, violate treaty rights</w:t>
            </w:r>
          </w:p>
        </w:tc>
      </w:tr>
      <w:tr w:rsidR="000A51A2" w:rsidRPr="00AE7C77" w14:paraId="45855C91" w14:textId="77777777" w:rsidTr="003F3712">
        <w:trPr>
          <w:trHeight w:val="315"/>
        </w:trPr>
        <w:tc>
          <w:tcPr>
            <w:tcW w:w="0" w:type="auto"/>
            <w:vAlign w:val="center"/>
            <w:hideMark/>
          </w:tcPr>
          <w:p w14:paraId="70F829A5"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Maori forest owners take on Government over land-use penalties, carbon credits</w:t>
            </w:r>
          </w:p>
        </w:tc>
        <w:tc>
          <w:tcPr>
            <w:tcW w:w="1410" w:type="dxa"/>
            <w:vAlign w:val="center"/>
          </w:tcPr>
          <w:p w14:paraId="7B62833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Brian Fallow</w:t>
            </w:r>
          </w:p>
        </w:tc>
        <w:tc>
          <w:tcPr>
            <w:tcW w:w="1530" w:type="dxa"/>
            <w:vAlign w:val="center"/>
          </w:tcPr>
          <w:p w14:paraId="0D4FF08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22 March 2007</w:t>
            </w:r>
          </w:p>
        </w:tc>
        <w:tc>
          <w:tcPr>
            <w:tcW w:w="1440" w:type="dxa"/>
            <w:vAlign w:val="center"/>
          </w:tcPr>
          <w:p w14:paraId="4ECA4886"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New Zealand Herald</w:t>
            </w:r>
          </w:p>
        </w:tc>
        <w:tc>
          <w:tcPr>
            <w:tcW w:w="2700" w:type="dxa"/>
            <w:vAlign w:val="center"/>
          </w:tcPr>
          <w:p w14:paraId="414D175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Maori claim NZ forestry policy will cause drastic reduction in value of their land, violate treaty rights</w:t>
            </w:r>
          </w:p>
        </w:tc>
      </w:tr>
      <w:tr w:rsidR="000A51A2" w:rsidRPr="00AE7C77" w14:paraId="48627F78" w14:textId="77777777" w:rsidTr="003F3712">
        <w:trPr>
          <w:trHeight w:val="315"/>
        </w:trPr>
        <w:tc>
          <w:tcPr>
            <w:tcW w:w="0" w:type="auto"/>
            <w:vAlign w:val="center"/>
            <w:hideMark/>
          </w:tcPr>
          <w:p w14:paraId="283CF919"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Natives hold key to Ontario power; A proposed east-west energy grid can't proceed without their support</w:t>
            </w:r>
          </w:p>
        </w:tc>
        <w:tc>
          <w:tcPr>
            <w:tcW w:w="1410" w:type="dxa"/>
            <w:vAlign w:val="center"/>
          </w:tcPr>
          <w:p w14:paraId="462D066E"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Karen Howlett</w:t>
            </w:r>
          </w:p>
        </w:tc>
        <w:tc>
          <w:tcPr>
            <w:tcW w:w="1530" w:type="dxa"/>
            <w:vAlign w:val="center"/>
          </w:tcPr>
          <w:p w14:paraId="485C755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 April 2007</w:t>
            </w:r>
          </w:p>
        </w:tc>
        <w:tc>
          <w:tcPr>
            <w:tcW w:w="1440" w:type="dxa"/>
            <w:vAlign w:val="center"/>
          </w:tcPr>
          <w:p w14:paraId="1E0E5A1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27A38CE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Chiefs pursue revenue-sharing agreement with government over construction of electric grid that would import electricity from Manitoba to Ontario</w:t>
            </w:r>
          </w:p>
        </w:tc>
      </w:tr>
      <w:tr w:rsidR="000A51A2" w:rsidRPr="00AE7C77" w14:paraId="11691FF8" w14:textId="77777777" w:rsidTr="003F3712">
        <w:trPr>
          <w:trHeight w:val="315"/>
        </w:trPr>
        <w:tc>
          <w:tcPr>
            <w:tcW w:w="0" w:type="auto"/>
            <w:vAlign w:val="center"/>
            <w:hideMark/>
          </w:tcPr>
          <w:p w14:paraId="05C105D9"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Greenpeace sideswipes the Inuit</w:t>
            </w:r>
          </w:p>
        </w:tc>
        <w:tc>
          <w:tcPr>
            <w:tcW w:w="1410" w:type="dxa"/>
            <w:vAlign w:val="center"/>
          </w:tcPr>
          <w:p w14:paraId="590A14D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Robert D. Sopuck</w:t>
            </w:r>
          </w:p>
        </w:tc>
        <w:tc>
          <w:tcPr>
            <w:tcW w:w="1530" w:type="dxa"/>
            <w:vAlign w:val="center"/>
          </w:tcPr>
          <w:p w14:paraId="72CE997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5 April 2007</w:t>
            </w:r>
          </w:p>
        </w:tc>
        <w:tc>
          <w:tcPr>
            <w:tcW w:w="1440" w:type="dxa"/>
            <w:vAlign w:val="center"/>
          </w:tcPr>
          <w:p w14:paraId="7AE1E20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National Post</w:t>
            </w:r>
          </w:p>
        </w:tc>
        <w:tc>
          <w:tcPr>
            <w:tcW w:w="2700" w:type="dxa"/>
            <w:vAlign w:val="center"/>
          </w:tcPr>
          <w:p w14:paraId="46AA617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Editorial arguing that Greenpeace’s use of polar bears as symbol for broader climate change concerns hurts Inuit economically</w:t>
            </w:r>
          </w:p>
        </w:tc>
      </w:tr>
      <w:tr w:rsidR="000A51A2" w:rsidRPr="00AE7C77" w14:paraId="43871143" w14:textId="77777777" w:rsidTr="003F3712">
        <w:trPr>
          <w:trHeight w:val="315"/>
        </w:trPr>
        <w:tc>
          <w:tcPr>
            <w:tcW w:w="0" w:type="auto"/>
            <w:vAlign w:val="center"/>
            <w:hideMark/>
          </w:tcPr>
          <w:p w14:paraId="08FC2080"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Indigenous weather know-how sits alongside science</w:t>
            </w:r>
          </w:p>
        </w:tc>
        <w:tc>
          <w:tcPr>
            <w:tcW w:w="1410" w:type="dxa"/>
            <w:vAlign w:val="center"/>
          </w:tcPr>
          <w:p w14:paraId="4B7772D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Chee Chee Leung</w:t>
            </w:r>
          </w:p>
        </w:tc>
        <w:tc>
          <w:tcPr>
            <w:tcW w:w="1530" w:type="dxa"/>
            <w:vAlign w:val="center"/>
          </w:tcPr>
          <w:p w14:paraId="407D7F9E"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30 April 2007</w:t>
            </w:r>
          </w:p>
        </w:tc>
        <w:tc>
          <w:tcPr>
            <w:tcW w:w="1440" w:type="dxa"/>
            <w:vAlign w:val="center"/>
          </w:tcPr>
          <w:p w14:paraId="29959E4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Age</w:t>
            </w:r>
          </w:p>
        </w:tc>
        <w:tc>
          <w:tcPr>
            <w:tcW w:w="2700" w:type="dxa"/>
            <w:vAlign w:val="center"/>
          </w:tcPr>
          <w:p w14:paraId="6BE4CC86"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Indigenous calendar included on government meteorology website, in project celebrating indigenous knowledge</w:t>
            </w:r>
          </w:p>
        </w:tc>
      </w:tr>
      <w:tr w:rsidR="000A51A2" w:rsidRPr="00AE7C77" w14:paraId="7D59F01D" w14:textId="77777777" w:rsidTr="003F3712">
        <w:trPr>
          <w:trHeight w:val="315"/>
        </w:trPr>
        <w:tc>
          <w:tcPr>
            <w:tcW w:w="0" w:type="auto"/>
            <w:vAlign w:val="center"/>
            <w:hideMark/>
          </w:tcPr>
          <w:p w14:paraId="2FAE166D"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Sale of Carbon Credits Helping Land-Rich, but Cash-Poor, Tribes</w:t>
            </w:r>
          </w:p>
        </w:tc>
        <w:tc>
          <w:tcPr>
            <w:tcW w:w="1410" w:type="dxa"/>
            <w:vAlign w:val="center"/>
          </w:tcPr>
          <w:p w14:paraId="449F1A5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Jim Robbins</w:t>
            </w:r>
          </w:p>
        </w:tc>
        <w:tc>
          <w:tcPr>
            <w:tcW w:w="1530" w:type="dxa"/>
            <w:vAlign w:val="center"/>
          </w:tcPr>
          <w:p w14:paraId="26C1F45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8 May 2007</w:t>
            </w:r>
          </w:p>
        </w:tc>
        <w:tc>
          <w:tcPr>
            <w:tcW w:w="1440" w:type="dxa"/>
            <w:vAlign w:val="center"/>
          </w:tcPr>
          <w:p w14:paraId="79C76FB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New York Times</w:t>
            </w:r>
          </w:p>
        </w:tc>
        <w:tc>
          <w:tcPr>
            <w:tcW w:w="2700" w:type="dxa"/>
            <w:vAlign w:val="center"/>
          </w:tcPr>
          <w:p w14:paraId="7314BB1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For the Nez Perce, planting forests for carbon credits </w:t>
            </w:r>
            <w:r w:rsidRPr="00AE7C77">
              <w:rPr>
                <w:rFonts w:asciiTheme="majorBidi" w:eastAsia="Times New Roman" w:hAnsiTheme="majorBidi" w:cstheme="majorBidi"/>
                <w:color w:val="auto"/>
              </w:rPr>
              <w:lastRenderedPageBreak/>
              <w:t>may provide much-needed income, if carbon markets can be stabilized</w:t>
            </w:r>
          </w:p>
        </w:tc>
      </w:tr>
      <w:tr w:rsidR="000A51A2" w:rsidRPr="00AE7C77" w14:paraId="65D0BFEA" w14:textId="77777777" w:rsidTr="003F3712">
        <w:trPr>
          <w:trHeight w:val="315"/>
        </w:trPr>
        <w:tc>
          <w:tcPr>
            <w:tcW w:w="0" w:type="auto"/>
            <w:vAlign w:val="center"/>
            <w:hideMark/>
          </w:tcPr>
          <w:p w14:paraId="7E5D807E"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lastRenderedPageBreak/>
              <w:t>Fur flies in Canada over proposed U.S. hides ban; Measure aimed at preserving species would block hunters from bringing back trophies, but...</w:t>
            </w:r>
          </w:p>
        </w:tc>
        <w:tc>
          <w:tcPr>
            <w:tcW w:w="1410" w:type="dxa"/>
            <w:vAlign w:val="center"/>
          </w:tcPr>
          <w:p w14:paraId="64175AA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Martin Mittelstaedt</w:t>
            </w:r>
          </w:p>
        </w:tc>
        <w:tc>
          <w:tcPr>
            <w:tcW w:w="1530" w:type="dxa"/>
            <w:vAlign w:val="center"/>
          </w:tcPr>
          <w:p w14:paraId="6EFCD23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23 June 2007</w:t>
            </w:r>
          </w:p>
        </w:tc>
        <w:tc>
          <w:tcPr>
            <w:tcW w:w="1440" w:type="dxa"/>
            <w:vAlign w:val="center"/>
          </w:tcPr>
          <w:p w14:paraId="741A62B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334B2B8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U.S. proposes banning polar bear hunting, citing impact of climate change. The ban would severely impact Inuit economies dependent on hunters for income.</w:t>
            </w:r>
          </w:p>
        </w:tc>
      </w:tr>
      <w:tr w:rsidR="000A51A2" w:rsidRPr="00AE7C77" w14:paraId="1BF3428E" w14:textId="77777777" w:rsidTr="003F3712">
        <w:trPr>
          <w:trHeight w:val="315"/>
        </w:trPr>
        <w:tc>
          <w:tcPr>
            <w:tcW w:w="0" w:type="auto"/>
            <w:vAlign w:val="center"/>
            <w:hideMark/>
          </w:tcPr>
          <w:p w14:paraId="145F5BDD"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Using dogs to adapt to global warming; Quebec Inuit should park their snowmobiles and return to dogsledding to negotiate increasingly...</w:t>
            </w:r>
          </w:p>
        </w:tc>
        <w:tc>
          <w:tcPr>
            <w:tcW w:w="1410" w:type="dxa"/>
            <w:vAlign w:val="center"/>
          </w:tcPr>
          <w:p w14:paraId="2953D75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Tu Thanh Ha</w:t>
            </w:r>
          </w:p>
        </w:tc>
        <w:tc>
          <w:tcPr>
            <w:tcW w:w="1530" w:type="dxa"/>
            <w:vAlign w:val="center"/>
          </w:tcPr>
          <w:p w14:paraId="10783AC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24 July 2007</w:t>
            </w:r>
          </w:p>
        </w:tc>
        <w:tc>
          <w:tcPr>
            <w:tcW w:w="1440" w:type="dxa"/>
            <w:vAlign w:val="center"/>
          </w:tcPr>
          <w:p w14:paraId="6F74DEC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71927DDC"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Researcher proposes that return to dogsledding may be safer for Inuit due to thinning ice. Several other indigenous responses to thinning ice are profiled.</w:t>
            </w:r>
          </w:p>
        </w:tc>
      </w:tr>
      <w:tr w:rsidR="000A51A2" w:rsidRPr="00AE7C77" w14:paraId="3A758842" w14:textId="77777777" w:rsidTr="003F3712">
        <w:trPr>
          <w:trHeight w:val="315"/>
        </w:trPr>
        <w:tc>
          <w:tcPr>
            <w:tcW w:w="0" w:type="auto"/>
            <w:vAlign w:val="center"/>
            <w:hideMark/>
          </w:tcPr>
          <w:p w14:paraId="5E4D0F23"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Navajos and Environmentalists Split on Power Plant</w:t>
            </w:r>
          </w:p>
        </w:tc>
        <w:tc>
          <w:tcPr>
            <w:tcW w:w="1410" w:type="dxa"/>
            <w:vAlign w:val="center"/>
          </w:tcPr>
          <w:p w14:paraId="4D4A8B7A"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Felicity Barringer</w:t>
            </w:r>
          </w:p>
        </w:tc>
        <w:tc>
          <w:tcPr>
            <w:tcW w:w="1530" w:type="dxa"/>
            <w:vAlign w:val="center"/>
          </w:tcPr>
          <w:p w14:paraId="3FD5B86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27 July 2007</w:t>
            </w:r>
          </w:p>
        </w:tc>
        <w:tc>
          <w:tcPr>
            <w:tcW w:w="1440" w:type="dxa"/>
            <w:vAlign w:val="center"/>
          </w:tcPr>
          <w:p w14:paraId="050F8B7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New York Times</w:t>
            </w:r>
          </w:p>
        </w:tc>
        <w:tc>
          <w:tcPr>
            <w:tcW w:w="2700" w:type="dxa"/>
            <w:vAlign w:val="center"/>
          </w:tcPr>
          <w:p w14:paraId="4066952C"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Navajo nation plans to build new coal plant to generate wealth in community, stirring opposition from Navajo individuals, environmentalists, and the New Mexico government</w:t>
            </w:r>
          </w:p>
        </w:tc>
      </w:tr>
      <w:tr w:rsidR="000A51A2" w:rsidRPr="00AE7C77" w14:paraId="781442D5" w14:textId="77777777" w:rsidTr="003F3712">
        <w:trPr>
          <w:trHeight w:val="315"/>
        </w:trPr>
        <w:tc>
          <w:tcPr>
            <w:tcW w:w="0" w:type="auto"/>
            <w:vAlign w:val="center"/>
            <w:hideMark/>
          </w:tcPr>
          <w:p w14:paraId="49F92C8F"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Inuit environmentalist a top contender for Nobel; Canadian nominated with Gore could jointly share prestigious award for creating awareness...</w:t>
            </w:r>
          </w:p>
        </w:tc>
        <w:tc>
          <w:tcPr>
            <w:tcW w:w="1410" w:type="dxa"/>
            <w:vAlign w:val="center"/>
          </w:tcPr>
          <w:p w14:paraId="772F48F5"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Martin Mittelstaedt</w:t>
            </w:r>
          </w:p>
        </w:tc>
        <w:tc>
          <w:tcPr>
            <w:tcW w:w="1530" w:type="dxa"/>
            <w:vAlign w:val="center"/>
          </w:tcPr>
          <w:p w14:paraId="6C0EC52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12 October 2007</w:t>
            </w:r>
          </w:p>
        </w:tc>
        <w:tc>
          <w:tcPr>
            <w:tcW w:w="1440" w:type="dxa"/>
            <w:vAlign w:val="center"/>
          </w:tcPr>
          <w:p w14:paraId="0DAD730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5221DC7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Sheila Watt-Cloutier, Inuit climate change activist, nominated for Nobel Prize</w:t>
            </w:r>
          </w:p>
        </w:tc>
      </w:tr>
      <w:tr w:rsidR="000A51A2" w:rsidRPr="00AE7C77" w14:paraId="3D361E13" w14:textId="77777777" w:rsidTr="003F3712">
        <w:trPr>
          <w:trHeight w:val="315"/>
        </w:trPr>
        <w:tc>
          <w:tcPr>
            <w:tcW w:w="0" w:type="auto"/>
            <w:vAlign w:val="center"/>
            <w:hideMark/>
          </w:tcPr>
          <w:p w14:paraId="3C54D1A7"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MAORI BUSINESSES URGED TO EMBRACE NEW TECHNOLOGY</w:t>
            </w:r>
          </w:p>
        </w:tc>
        <w:tc>
          <w:tcPr>
            <w:tcW w:w="1410" w:type="dxa"/>
            <w:vAlign w:val="center"/>
          </w:tcPr>
          <w:p w14:paraId="1CFBB94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Paul Easton</w:t>
            </w:r>
          </w:p>
        </w:tc>
        <w:tc>
          <w:tcPr>
            <w:tcW w:w="1530" w:type="dxa"/>
            <w:vAlign w:val="center"/>
          </w:tcPr>
          <w:p w14:paraId="7FFFA8D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19 October 2007</w:t>
            </w:r>
          </w:p>
        </w:tc>
        <w:tc>
          <w:tcPr>
            <w:tcW w:w="1440" w:type="dxa"/>
            <w:vAlign w:val="center"/>
          </w:tcPr>
          <w:p w14:paraId="0DFC337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Dominion Post</w:t>
            </w:r>
          </w:p>
        </w:tc>
        <w:tc>
          <w:tcPr>
            <w:tcW w:w="2700" w:type="dxa"/>
            <w:vAlign w:val="center"/>
          </w:tcPr>
          <w:p w14:paraId="1F4F387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Maori business associations identify new business opportunities, citing impacts of climate change on traditional Maori industries</w:t>
            </w:r>
          </w:p>
        </w:tc>
      </w:tr>
      <w:tr w:rsidR="000A51A2" w:rsidRPr="00AE7C77" w14:paraId="2A14C86C" w14:textId="77777777" w:rsidTr="003F3712">
        <w:trPr>
          <w:trHeight w:val="315"/>
        </w:trPr>
        <w:tc>
          <w:tcPr>
            <w:tcW w:w="0" w:type="auto"/>
            <w:vAlign w:val="center"/>
            <w:hideMark/>
          </w:tcPr>
          <w:p w14:paraId="602C8782"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Indigenous people describe real perils of global warming</w:t>
            </w:r>
          </w:p>
        </w:tc>
        <w:tc>
          <w:tcPr>
            <w:tcW w:w="1410" w:type="dxa"/>
            <w:vAlign w:val="center"/>
          </w:tcPr>
          <w:p w14:paraId="2757607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Geoffrey York</w:t>
            </w:r>
          </w:p>
        </w:tc>
        <w:tc>
          <w:tcPr>
            <w:tcW w:w="1530" w:type="dxa"/>
            <w:vAlign w:val="center"/>
          </w:tcPr>
          <w:p w14:paraId="5E1B9D3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14 December 2007</w:t>
            </w:r>
          </w:p>
        </w:tc>
        <w:tc>
          <w:tcPr>
            <w:tcW w:w="1440" w:type="dxa"/>
            <w:vAlign w:val="center"/>
          </w:tcPr>
          <w:p w14:paraId="646A98AC"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686FF4F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Profile of side event at Bali climate change conference, where indigenous leaders from across the world describe impacts of climate change</w:t>
            </w:r>
          </w:p>
        </w:tc>
      </w:tr>
      <w:tr w:rsidR="000A51A2" w:rsidRPr="00AE7C77" w14:paraId="6B5B323E" w14:textId="77777777" w:rsidTr="003F3712">
        <w:trPr>
          <w:trHeight w:val="315"/>
        </w:trPr>
        <w:tc>
          <w:tcPr>
            <w:tcW w:w="0" w:type="auto"/>
            <w:vAlign w:val="center"/>
            <w:hideMark/>
          </w:tcPr>
          <w:p w14:paraId="7A59AF46"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I still wonder how he didn't perish in that water'; Inuit hunter Simon Nattaq knows only too well what </w:t>
            </w:r>
            <w:r w:rsidRPr="00AE7C77">
              <w:rPr>
                <w:rFonts w:asciiTheme="majorBidi" w:eastAsia="Times New Roman" w:hAnsiTheme="majorBidi" w:cstheme="majorBidi"/>
                <w:color w:val="auto"/>
              </w:rPr>
              <w:lastRenderedPageBreak/>
              <w:t>climate change is doing to the Far...</w:t>
            </w:r>
          </w:p>
        </w:tc>
        <w:tc>
          <w:tcPr>
            <w:tcW w:w="1410" w:type="dxa"/>
            <w:vAlign w:val="center"/>
          </w:tcPr>
          <w:p w14:paraId="5DA5FAA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lastRenderedPageBreak/>
              <w:t>Anne McIlroy</w:t>
            </w:r>
          </w:p>
        </w:tc>
        <w:tc>
          <w:tcPr>
            <w:tcW w:w="1530" w:type="dxa"/>
            <w:vAlign w:val="center"/>
          </w:tcPr>
          <w:p w14:paraId="438EAE9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22 December 2007</w:t>
            </w:r>
          </w:p>
        </w:tc>
        <w:tc>
          <w:tcPr>
            <w:tcW w:w="1440" w:type="dxa"/>
            <w:vAlign w:val="center"/>
          </w:tcPr>
          <w:p w14:paraId="53CBC3D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4B25272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Profile of Inuit hunter who fell through thinning ice, </w:t>
            </w:r>
            <w:r w:rsidRPr="00AE7C77">
              <w:rPr>
                <w:rFonts w:asciiTheme="majorBidi" w:eastAsia="Times New Roman" w:hAnsiTheme="majorBidi" w:cstheme="majorBidi"/>
                <w:color w:val="auto"/>
              </w:rPr>
              <w:lastRenderedPageBreak/>
              <w:t>describes impact on him and his family</w:t>
            </w:r>
          </w:p>
        </w:tc>
      </w:tr>
      <w:tr w:rsidR="000A51A2" w:rsidRPr="00AE7C77" w14:paraId="064D74CE" w14:textId="77777777" w:rsidTr="003F3712">
        <w:trPr>
          <w:trHeight w:val="315"/>
        </w:trPr>
        <w:tc>
          <w:tcPr>
            <w:tcW w:w="0" w:type="auto"/>
            <w:vAlign w:val="center"/>
            <w:hideMark/>
          </w:tcPr>
          <w:p w14:paraId="24A36E22"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lastRenderedPageBreak/>
              <w:t>Fighting for the right to be cold; For the Inuit, the battle against global warming is about human rights – their culture and way of life...</w:t>
            </w:r>
          </w:p>
        </w:tc>
        <w:tc>
          <w:tcPr>
            <w:tcW w:w="1410" w:type="dxa"/>
            <w:vAlign w:val="center"/>
          </w:tcPr>
          <w:p w14:paraId="2CC4E0B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Anne McIlroy</w:t>
            </w:r>
          </w:p>
        </w:tc>
        <w:tc>
          <w:tcPr>
            <w:tcW w:w="1530" w:type="dxa"/>
            <w:vAlign w:val="center"/>
          </w:tcPr>
          <w:p w14:paraId="17ECFE6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28 December 2007</w:t>
            </w:r>
          </w:p>
        </w:tc>
        <w:tc>
          <w:tcPr>
            <w:tcW w:w="1440" w:type="dxa"/>
            <w:vAlign w:val="center"/>
          </w:tcPr>
          <w:p w14:paraId="79E8AB4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6DFFB84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Profile of Sheila Watt-Cloutier, Inuit climate change activist</w:t>
            </w:r>
          </w:p>
        </w:tc>
      </w:tr>
      <w:tr w:rsidR="000A51A2" w:rsidRPr="00AE7C77" w14:paraId="7E3C8839" w14:textId="77777777" w:rsidTr="003F3712">
        <w:trPr>
          <w:trHeight w:val="315"/>
        </w:trPr>
        <w:tc>
          <w:tcPr>
            <w:tcW w:w="0" w:type="auto"/>
            <w:vAlign w:val="center"/>
            <w:hideMark/>
          </w:tcPr>
          <w:p w14:paraId="6486C3CC"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FROM THE ARCTIC TO THE SAHARA: AN INUIT ADVENTURE IN TIMBUKTU</w:t>
            </w:r>
          </w:p>
        </w:tc>
        <w:tc>
          <w:tcPr>
            <w:tcW w:w="1410" w:type="dxa"/>
            <w:vAlign w:val="center"/>
          </w:tcPr>
          <w:p w14:paraId="21125575"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Stephanie Nolen</w:t>
            </w:r>
          </w:p>
        </w:tc>
        <w:tc>
          <w:tcPr>
            <w:tcW w:w="1530" w:type="dxa"/>
            <w:vAlign w:val="center"/>
          </w:tcPr>
          <w:p w14:paraId="5765360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12 January 2008</w:t>
            </w:r>
          </w:p>
        </w:tc>
        <w:tc>
          <w:tcPr>
            <w:tcW w:w="1440" w:type="dxa"/>
            <w:vAlign w:val="center"/>
          </w:tcPr>
          <w:p w14:paraId="60D5AFA9"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00C0C46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Inuit and Tuareg artists meet, discuss the impacts of climate change on their communities</w:t>
            </w:r>
          </w:p>
        </w:tc>
      </w:tr>
      <w:tr w:rsidR="000A51A2" w:rsidRPr="00AE7C77" w14:paraId="112F006C" w14:textId="77777777" w:rsidTr="003F3712">
        <w:trPr>
          <w:trHeight w:val="315"/>
        </w:trPr>
        <w:tc>
          <w:tcPr>
            <w:tcW w:w="0" w:type="auto"/>
            <w:vAlign w:val="center"/>
            <w:hideMark/>
          </w:tcPr>
          <w:p w14:paraId="7342F1DC"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Native towns at risk of going up in flames; More than 100 remote B.C. communities in danger after pine beetles create huge swath of dry...</w:t>
            </w:r>
          </w:p>
        </w:tc>
        <w:tc>
          <w:tcPr>
            <w:tcW w:w="1410" w:type="dxa"/>
            <w:vAlign w:val="center"/>
          </w:tcPr>
          <w:p w14:paraId="6A4573B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Bill Curry</w:t>
            </w:r>
          </w:p>
        </w:tc>
        <w:tc>
          <w:tcPr>
            <w:tcW w:w="1530" w:type="dxa"/>
            <w:vAlign w:val="center"/>
          </w:tcPr>
          <w:p w14:paraId="05760C6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6 February 2008</w:t>
            </w:r>
          </w:p>
        </w:tc>
        <w:tc>
          <w:tcPr>
            <w:tcW w:w="1440" w:type="dxa"/>
            <w:vAlign w:val="center"/>
          </w:tcPr>
          <w:p w14:paraId="1CC59C3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6407901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High fire risk for indigenous communities due to pine beetle infestation, request for pre-emptive large-scale tree removal rejected by government</w:t>
            </w:r>
          </w:p>
        </w:tc>
      </w:tr>
      <w:tr w:rsidR="000A51A2" w:rsidRPr="00AE7C77" w14:paraId="671DD1E7" w14:textId="77777777" w:rsidTr="003F3712">
        <w:trPr>
          <w:trHeight w:val="315"/>
        </w:trPr>
        <w:tc>
          <w:tcPr>
            <w:tcW w:w="0" w:type="auto"/>
            <w:vAlign w:val="center"/>
            <w:hideMark/>
          </w:tcPr>
          <w:p w14:paraId="532FE8B4"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Ottawa pays travel costs for aboriginal delegates</w:t>
            </w:r>
          </w:p>
        </w:tc>
        <w:tc>
          <w:tcPr>
            <w:tcW w:w="1410" w:type="dxa"/>
            <w:vAlign w:val="center"/>
          </w:tcPr>
          <w:p w14:paraId="6FFF277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Bill Curry</w:t>
            </w:r>
          </w:p>
        </w:tc>
        <w:tc>
          <w:tcPr>
            <w:tcW w:w="1530" w:type="dxa"/>
            <w:vAlign w:val="center"/>
          </w:tcPr>
          <w:p w14:paraId="2A99030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13 March 2008</w:t>
            </w:r>
          </w:p>
        </w:tc>
        <w:tc>
          <w:tcPr>
            <w:tcW w:w="1440" w:type="dxa"/>
            <w:vAlign w:val="center"/>
          </w:tcPr>
          <w:p w14:paraId="4B15E97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22A9CCA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Indigenous peoples from Canada, US and Mexico meet to discuss climate change and build unified strategies to address environmental health concerns.</w:t>
            </w:r>
          </w:p>
        </w:tc>
      </w:tr>
      <w:tr w:rsidR="000A51A2" w:rsidRPr="00AE7C77" w14:paraId="4AC7C2EE" w14:textId="77777777" w:rsidTr="003F3712">
        <w:trPr>
          <w:trHeight w:val="315"/>
        </w:trPr>
        <w:tc>
          <w:tcPr>
            <w:tcW w:w="0" w:type="auto"/>
            <w:vAlign w:val="center"/>
            <w:hideMark/>
          </w:tcPr>
          <w:p w14:paraId="7E0A6893"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MAORI FILM FESTIVAL TO GO ON THE ROAD</w:t>
            </w:r>
          </w:p>
        </w:tc>
        <w:tc>
          <w:tcPr>
            <w:tcW w:w="1410" w:type="dxa"/>
            <w:vAlign w:val="center"/>
          </w:tcPr>
          <w:p w14:paraId="705AD18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unknown</w:t>
            </w:r>
          </w:p>
        </w:tc>
        <w:tc>
          <w:tcPr>
            <w:tcW w:w="1530" w:type="dxa"/>
            <w:vAlign w:val="center"/>
          </w:tcPr>
          <w:p w14:paraId="6725FBB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27 March 2008</w:t>
            </w:r>
          </w:p>
        </w:tc>
        <w:tc>
          <w:tcPr>
            <w:tcW w:w="1440" w:type="dxa"/>
            <w:vAlign w:val="center"/>
          </w:tcPr>
          <w:p w14:paraId="37359DA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Dominion Post</w:t>
            </w:r>
          </w:p>
        </w:tc>
        <w:tc>
          <w:tcPr>
            <w:tcW w:w="2700" w:type="dxa"/>
            <w:vAlign w:val="center"/>
          </w:tcPr>
          <w:p w14:paraId="1EEED0AA"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Maori film festival features films about the impacts of climate change on Maori, as well as other environmental concerns</w:t>
            </w:r>
          </w:p>
        </w:tc>
      </w:tr>
      <w:tr w:rsidR="000A51A2" w:rsidRPr="00AE7C77" w14:paraId="70B69F0B" w14:textId="77777777" w:rsidTr="003F3712">
        <w:trPr>
          <w:trHeight w:val="315"/>
        </w:trPr>
        <w:tc>
          <w:tcPr>
            <w:tcW w:w="0" w:type="auto"/>
            <w:vAlign w:val="center"/>
            <w:hideMark/>
          </w:tcPr>
          <w:p w14:paraId="6C8DEEA3"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As Uranium Firms Eye N.M., Navajos Are Wary; As Ore's Prices Rebound, Navajos Are Wary of Return of Industry With Poor Safety Record in Area</w:t>
            </w:r>
          </w:p>
        </w:tc>
        <w:tc>
          <w:tcPr>
            <w:tcW w:w="1410" w:type="dxa"/>
            <w:vAlign w:val="center"/>
          </w:tcPr>
          <w:p w14:paraId="1C08DCA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Kari Lydersen</w:t>
            </w:r>
          </w:p>
        </w:tc>
        <w:tc>
          <w:tcPr>
            <w:tcW w:w="1530" w:type="dxa"/>
            <w:vAlign w:val="center"/>
          </w:tcPr>
          <w:p w14:paraId="1B069D4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28 March 2008</w:t>
            </w:r>
          </w:p>
        </w:tc>
        <w:tc>
          <w:tcPr>
            <w:tcW w:w="1440" w:type="dxa"/>
            <w:vAlign w:val="center"/>
          </w:tcPr>
          <w:p w14:paraId="67CBC09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Washington Post</w:t>
            </w:r>
          </w:p>
        </w:tc>
        <w:tc>
          <w:tcPr>
            <w:tcW w:w="2700" w:type="dxa"/>
            <w:vAlign w:val="center"/>
          </w:tcPr>
          <w:p w14:paraId="0EA87C56"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Global warming increases interest in uranium mining, creating conflict between potential economic benefits for Navajo and potentially drastic health/safety impacts</w:t>
            </w:r>
          </w:p>
        </w:tc>
      </w:tr>
      <w:tr w:rsidR="000A51A2" w:rsidRPr="00AE7C77" w14:paraId="331E7C04" w14:textId="77777777" w:rsidTr="003F3712">
        <w:trPr>
          <w:trHeight w:val="315"/>
        </w:trPr>
        <w:tc>
          <w:tcPr>
            <w:tcW w:w="0" w:type="auto"/>
            <w:vAlign w:val="center"/>
            <w:hideMark/>
          </w:tcPr>
          <w:p w14:paraId="290064DB"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Amazon's 'Forest Peoples' Seek a Role in Striking Global Climate Agreements</w:t>
            </w:r>
          </w:p>
        </w:tc>
        <w:tc>
          <w:tcPr>
            <w:tcW w:w="1410" w:type="dxa"/>
            <w:vAlign w:val="center"/>
          </w:tcPr>
          <w:p w14:paraId="0F29E2C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Alexei Barrionuevo</w:t>
            </w:r>
          </w:p>
        </w:tc>
        <w:tc>
          <w:tcPr>
            <w:tcW w:w="1530" w:type="dxa"/>
            <w:vAlign w:val="center"/>
          </w:tcPr>
          <w:p w14:paraId="54EDAF2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6 April 2008</w:t>
            </w:r>
          </w:p>
        </w:tc>
        <w:tc>
          <w:tcPr>
            <w:tcW w:w="1440" w:type="dxa"/>
            <w:vAlign w:val="center"/>
          </w:tcPr>
          <w:p w14:paraId="3D645FBA"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New York Times</w:t>
            </w:r>
          </w:p>
        </w:tc>
        <w:tc>
          <w:tcPr>
            <w:tcW w:w="2700" w:type="dxa"/>
            <w:vAlign w:val="center"/>
          </w:tcPr>
          <w:p w14:paraId="4EB93B2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Indigenous groups from across Latin America build consensus on plan for wealthier nations to compensate conservation of tropical forests, seek greater political role</w:t>
            </w:r>
          </w:p>
        </w:tc>
      </w:tr>
      <w:tr w:rsidR="000A51A2" w:rsidRPr="00AE7C77" w14:paraId="023C0D55" w14:textId="77777777" w:rsidTr="003F3712">
        <w:trPr>
          <w:trHeight w:val="315"/>
        </w:trPr>
        <w:tc>
          <w:tcPr>
            <w:tcW w:w="0" w:type="auto"/>
            <w:vAlign w:val="center"/>
            <w:hideMark/>
          </w:tcPr>
          <w:p w14:paraId="3388782D"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lastRenderedPageBreak/>
              <w:t>Hello, Dolly; The Gwich'in people of Canada's North have depended for centuries on a colourful fish called the Dolly Varden – which is now...</w:t>
            </w:r>
          </w:p>
        </w:tc>
        <w:tc>
          <w:tcPr>
            <w:tcW w:w="1410" w:type="dxa"/>
            <w:vAlign w:val="center"/>
          </w:tcPr>
          <w:p w14:paraId="15771E35"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Elie Dolgin</w:t>
            </w:r>
          </w:p>
        </w:tc>
        <w:tc>
          <w:tcPr>
            <w:tcW w:w="1530" w:type="dxa"/>
            <w:vAlign w:val="center"/>
          </w:tcPr>
          <w:p w14:paraId="15CE922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12 April 2008</w:t>
            </w:r>
          </w:p>
        </w:tc>
        <w:tc>
          <w:tcPr>
            <w:tcW w:w="1440" w:type="dxa"/>
            <w:vAlign w:val="center"/>
          </w:tcPr>
          <w:p w14:paraId="30C98CCE"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3F2B7BE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Indigenous elder helps scientist locate endangered fish, scientist conducts extensive research to aid in species conservation </w:t>
            </w:r>
          </w:p>
        </w:tc>
      </w:tr>
      <w:tr w:rsidR="000A51A2" w:rsidRPr="00AE7C77" w14:paraId="6FDC2783" w14:textId="77777777" w:rsidTr="003F3712">
        <w:trPr>
          <w:trHeight w:val="315"/>
        </w:trPr>
        <w:tc>
          <w:tcPr>
            <w:tcW w:w="0" w:type="auto"/>
            <w:vAlign w:val="center"/>
            <w:hideMark/>
          </w:tcPr>
          <w:p w14:paraId="54D817E5"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U.S. hunters targeting polar bears while they can; Looming import ban threatens to kill lucrative, but controversial, tradition of chasing...</w:t>
            </w:r>
          </w:p>
        </w:tc>
        <w:tc>
          <w:tcPr>
            <w:tcW w:w="1410" w:type="dxa"/>
            <w:vAlign w:val="center"/>
          </w:tcPr>
          <w:p w14:paraId="011997D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Katherine O'Neill</w:t>
            </w:r>
          </w:p>
        </w:tc>
        <w:tc>
          <w:tcPr>
            <w:tcW w:w="1530" w:type="dxa"/>
            <w:vAlign w:val="center"/>
          </w:tcPr>
          <w:p w14:paraId="4DE3EAC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26 April 2008</w:t>
            </w:r>
          </w:p>
        </w:tc>
        <w:tc>
          <w:tcPr>
            <w:tcW w:w="1440" w:type="dxa"/>
            <w:vAlign w:val="center"/>
          </w:tcPr>
          <w:p w14:paraId="3BB39B6E"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745EB1E9"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U.S. considers banning polar bear hunting, citing impact of climate change, despite conflicting Inuit knowledge about polar bear health. Article details positive economic and health/safety benefits for indigenous communities of polar bear hunting. </w:t>
            </w:r>
          </w:p>
        </w:tc>
      </w:tr>
      <w:tr w:rsidR="000A51A2" w:rsidRPr="00AE7C77" w14:paraId="7819953E" w14:textId="77777777" w:rsidTr="003F3712">
        <w:trPr>
          <w:trHeight w:val="315"/>
        </w:trPr>
        <w:tc>
          <w:tcPr>
            <w:tcW w:w="0" w:type="auto"/>
            <w:vAlign w:val="center"/>
            <w:hideMark/>
          </w:tcPr>
          <w:p w14:paraId="6BE4ADC5"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U. S. moves to protect polar bear; Condemned By Inuit; Declared a 'threatened' species</w:t>
            </w:r>
          </w:p>
        </w:tc>
        <w:tc>
          <w:tcPr>
            <w:tcW w:w="1410" w:type="dxa"/>
            <w:vAlign w:val="center"/>
          </w:tcPr>
          <w:p w14:paraId="3EEB4F09"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Joseph Brean</w:t>
            </w:r>
          </w:p>
        </w:tc>
        <w:tc>
          <w:tcPr>
            <w:tcW w:w="1530" w:type="dxa"/>
            <w:vAlign w:val="center"/>
          </w:tcPr>
          <w:p w14:paraId="6443D87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15 May 2008</w:t>
            </w:r>
          </w:p>
        </w:tc>
        <w:tc>
          <w:tcPr>
            <w:tcW w:w="1440" w:type="dxa"/>
            <w:vAlign w:val="center"/>
          </w:tcPr>
          <w:p w14:paraId="19D4696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National Post</w:t>
            </w:r>
          </w:p>
        </w:tc>
        <w:tc>
          <w:tcPr>
            <w:tcW w:w="2700" w:type="dxa"/>
            <w:vAlign w:val="center"/>
          </w:tcPr>
          <w:p w14:paraId="04DB9CC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US declares polar bear “endangered” species, despite Inuit traditional knowledge, Nunavut government contests decision</w:t>
            </w:r>
          </w:p>
        </w:tc>
      </w:tr>
      <w:tr w:rsidR="000A51A2" w:rsidRPr="00AE7C77" w14:paraId="307AA910" w14:textId="77777777" w:rsidTr="003F3712">
        <w:trPr>
          <w:trHeight w:val="315"/>
        </w:trPr>
        <w:tc>
          <w:tcPr>
            <w:tcW w:w="0" w:type="auto"/>
            <w:vAlign w:val="center"/>
            <w:hideMark/>
          </w:tcPr>
          <w:p w14:paraId="087F5267"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Polar bear politics hurt Inuit</w:t>
            </w:r>
          </w:p>
        </w:tc>
        <w:tc>
          <w:tcPr>
            <w:tcW w:w="1410" w:type="dxa"/>
            <w:vAlign w:val="center"/>
          </w:tcPr>
          <w:p w14:paraId="1788FC0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Mary Simon</w:t>
            </w:r>
          </w:p>
        </w:tc>
        <w:tc>
          <w:tcPr>
            <w:tcW w:w="1530" w:type="dxa"/>
            <w:vAlign w:val="center"/>
          </w:tcPr>
          <w:p w14:paraId="7D3984BC"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17 May 2008</w:t>
            </w:r>
          </w:p>
        </w:tc>
        <w:tc>
          <w:tcPr>
            <w:tcW w:w="1440" w:type="dxa"/>
            <w:vAlign w:val="center"/>
          </w:tcPr>
          <w:p w14:paraId="22A62B9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5BE30D1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Letter to the editor: Author argues that newspaper’s characterization of traditional indigenous knowledge is condescending, characterizes US decision as attempt to appease environmental lobby</w:t>
            </w:r>
          </w:p>
        </w:tc>
      </w:tr>
      <w:tr w:rsidR="000A51A2" w:rsidRPr="00AE7C77" w14:paraId="1135BBEE" w14:textId="77777777" w:rsidTr="003F3712">
        <w:trPr>
          <w:trHeight w:val="315"/>
        </w:trPr>
        <w:tc>
          <w:tcPr>
            <w:tcW w:w="0" w:type="auto"/>
            <w:vAlign w:val="center"/>
            <w:hideMark/>
          </w:tcPr>
          <w:p w14:paraId="6CB4A5FF"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Govt review to answer Maori fears</w:t>
            </w:r>
          </w:p>
        </w:tc>
        <w:tc>
          <w:tcPr>
            <w:tcW w:w="1410" w:type="dxa"/>
            <w:vAlign w:val="center"/>
          </w:tcPr>
          <w:p w14:paraId="69512A0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Paula Oliver</w:t>
            </w:r>
          </w:p>
        </w:tc>
        <w:tc>
          <w:tcPr>
            <w:tcW w:w="1530" w:type="dxa"/>
            <w:vAlign w:val="center"/>
          </w:tcPr>
          <w:p w14:paraId="69C59106"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3 September 2008</w:t>
            </w:r>
          </w:p>
        </w:tc>
        <w:tc>
          <w:tcPr>
            <w:tcW w:w="1440" w:type="dxa"/>
            <w:vAlign w:val="center"/>
          </w:tcPr>
          <w:p w14:paraId="5B598E8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New Zealand Herald</w:t>
            </w:r>
          </w:p>
        </w:tc>
        <w:tc>
          <w:tcPr>
            <w:tcW w:w="2700" w:type="dxa"/>
            <w:vAlign w:val="center"/>
          </w:tcPr>
          <w:p w14:paraId="15BD10A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Ngai Tahu launches claim with Waitangi Tribunal that government emission trading scheme lessens value of treaty settlement, government was not negotiating in good faith during treaty negotiations</w:t>
            </w:r>
          </w:p>
        </w:tc>
      </w:tr>
      <w:tr w:rsidR="000A51A2" w:rsidRPr="00AE7C77" w14:paraId="6136CC32" w14:textId="77777777" w:rsidTr="003F3712">
        <w:trPr>
          <w:trHeight w:val="315"/>
        </w:trPr>
        <w:tc>
          <w:tcPr>
            <w:tcW w:w="0" w:type="auto"/>
            <w:vAlign w:val="center"/>
            <w:hideMark/>
          </w:tcPr>
          <w:p w14:paraId="55774F55"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Ottawa's stand at talks hurting native rights, chiefs say; First nations blast Indian Affairs Minister</w:t>
            </w:r>
          </w:p>
        </w:tc>
        <w:tc>
          <w:tcPr>
            <w:tcW w:w="1410" w:type="dxa"/>
            <w:vAlign w:val="center"/>
          </w:tcPr>
          <w:p w14:paraId="5D2B60B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Bill Curry, Martin Mittelstaedt</w:t>
            </w:r>
          </w:p>
        </w:tc>
        <w:tc>
          <w:tcPr>
            <w:tcW w:w="1530" w:type="dxa"/>
            <w:vAlign w:val="center"/>
          </w:tcPr>
          <w:p w14:paraId="642A61D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12 December 2008</w:t>
            </w:r>
          </w:p>
        </w:tc>
        <w:tc>
          <w:tcPr>
            <w:tcW w:w="1440" w:type="dxa"/>
            <w:vAlign w:val="center"/>
          </w:tcPr>
          <w:p w14:paraId="48F742C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50C99A7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Canada’s opposition to including mention of indigenous rights in UNFCCC negotiations draws criticism from First Nations </w:t>
            </w:r>
          </w:p>
        </w:tc>
      </w:tr>
      <w:tr w:rsidR="000A51A2" w:rsidRPr="00AE7C77" w14:paraId="68785614" w14:textId="77777777" w:rsidTr="003F3712">
        <w:trPr>
          <w:trHeight w:val="315"/>
        </w:trPr>
        <w:tc>
          <w:tcPr>
            <w:tcW w:w="0" w:type="auto"/>
            <w:vAlign w:val="center"/>
            <w:hideMark/>
          </w:tcPr>
          <w:p w14:paraId="0E4490A1"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lastRenderedPageBreak/>
              <w:t>Indigenous input urged</w:t>
            </w:r>
          </w:p>
        </w:tc>
        <w:tc>
          <w:tcPr>
            <w:tcW w:w="1410" w:type="dxa"/>
            <w:vAlign w:val="center"/>
          </w:tcPr>
          <w:p w14:paraId="776D2AA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unknown</w:t>
            </w:r>
          </w:p>
        </w:tc>
        <w:tc>
          <w:tcPr>
            <w:tcW w:w="1530" w:type="dxa"/>
            <w:vAlign w:val="center"/>
          </w:tcPr>
          <w:p w14:paraId="320960E5"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20 December 2008</w:t>
            </w:r>
          </w:p>
        </w:tc>
        <w:tc>
          <w:tcPr>
            <w:tcW w:w="1440" w:type="dxa"/>
            <w:vAlign w:val="center"/>
          </w:tcPr>
          <w:p w14:paraId="2CD6F52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New Zealand Herald</w:t>
            </w:r>
          </w:p>
        </w:tc>
        <w:tc>
          <w:tcPr>
            <w:tcW w:w="2700" w:type="dxa"/>
            <w:vAlign w:val="center"/>
          </w:tcPr>
          <w:p w14:paraId="4D87A95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National science organization says indigenous communities can benefit financially from managing their lands so as to create carbon credits</w:t>
            </w:r>
          </w:p>
        </w:tc>
      </w:tr>
      <w:tr w:rsidR="000A51A2" w:rsidRPr="00AE7C77" w14:paraId="19B5A7C5" w14:textId="77777777" w:rsidTr="003F3712">
        <w:trPr>
          <w:trHeight w:val="315"/>
        </w:trPr>
        <w:tc>
          <w:tcPr>
            <w:tcW w:w="0" w:type="auto"/>
            <w:vAlign w:val="center"/>
            <w:hideMark/>
          </w:tcPr>
          <w:p w14:paraId="6B8B378C"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‘What are we going to do about the bears?'; For the first time, governments, environmentalists, researchers and Inuit are meeting to discuss...</w:t>
            </w:r>
          </w:p>
        </w:tc>
        <w:tc>
          <w:tcPr>
            <w:tcW w:w="1410" w:type="dxa"/>
            <w:vAlign w:val="center"/>
          </w:tcPr>
          <w:p w14:paraId="56DEE07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Patrick White</w:t>
            </w:r>
          </w:p>
        </w:tc>
        <w:tc>
          <w:tcPr>
            <w:tcW w:w="1530" w:type="dxa"/>
            <w:vAlign w:val="center"/>
          </w:tcPr>
          <w:p w14:paraId="3F56BACE"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14 January 2009</w:t>
            </w:r>
          </w:p>
        </w:tc>
        <w:tc>
          <w:tcPr>
            <w:tcW w:w="1440" w:type="dxa"/>
            <w:vAlign w:val="center"/>
          </w:tcPr>
          <w:p w14:paraId="7D494EC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0060B969"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At first national polar-bear roundtable, Inuit and scientists clash over appropriate government policy on polar bear conservation</w:t>
            </w:r>
          </w:p>
        </w:tc>
      </w:tr>
      <w:tr w:rsidR="000A51A2" w:rsidRPr="00AE7C77" w14:paraId="0825F710" w14:textId="77777777" w:rsidTr="003F3712">
        <w:trPr>
          <w:trHeight w:val="315"/>
        </w:trPr>
        <w:tc>
          <w:tcPr>
            <w:tcW w:w="0" w:type="auto"/>
            <w:vAlign w:val="center"/>
            <w:hideMark/>
          </w:tcPr>
          <w:p w14:paraId="68F1F400"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No common ground at first polar bear summit; Inuit leaders defend right to hunt giant mammals and accuse environmental groups of using...</w:t>
            </w:r>
          </w:p>
        </w:tc>
        <w:tc>
          <w:tcPr>
            <w:tcW w:w="1410" w:type="dxa"/>
            <w:vAlign w:val="center"/>
          </w:tcPr>
          <w:p w14:paraId="252A9E7E"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Patrick White</w:t>
            </w:r>
          </w:p>
        </w:tc>
        <w:tc>
          <w:tcPr>
            <w:tcW w:w="1530" w:type="dxa"/>
            <w:vAlign w:val="center"/>
          </w:tcPr>
          <w:p w14:paraId="6F0F027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17 January 2009</w:t>
            </w:r>
          </w:p>
        </w:tc>
        <w:tc>
          <w:tcPr>
            <w:tcW w:w="1440" w:type="dxa"/>
            <w:vAlign w:val="center"/>
          </w:tcPr>
          <w:p w14:paraId="2DDD8B8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273DC7C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At first national polar-bear roundtable, Inuit and scientists clash over appropriate government policy on polar bear conservation</w:t>
            </w:r>
          </w:p>
        </w:tc>
      </w:tr>
      <w:tr w:rsidR="000A51A2" w:rsidRPr="00AE7C77" w14:paraId="51EECA27" w14:textId="77777777" w:rsidTr="003F3712">
        <w:trPr>
          <w:trHeight w:val="315"/>
        </w:trPr>
        <w:tc>
          <w:tcPr>
            <w:tcW w:w="0" w:type="auto"/>
            <w:vAlign w:val="center"/>
            <w:hideMark/>
          </w:tcPr>
          <w:p w14:paraId="3383C527"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Where there's a will, there's … another will; How evangelical teachings, television and southern movies shape the Inuit ‘way of knowing' is...</w:t>
            </w:r>
          </w:p>
        </w:tc>
        <w:tc>
          <w:tcPr>
            <w:tcW w:w="1410" w:type="dxa"/>
            <w:vAlign w:val="center"/>
          </w:tcPr>
          <w:p w14:paraId="612F46A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Erling Friis-Baastad</w:t>
            </w:r>
          </w:p>
        </w:tc>
        <w:tc>
          <w:tcPr>
            <w:tcW w:w="1530" w:type="dxa"/>
            <w:vAlign w:val="center"/>
          </w:tcPr>
          <w:p w14:paraId="6DB74F0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 August 2009</w:t>
            </w:r>
          </w:p>
        </w:tc>
        <w:tc>
          <w:tcPr>
            <w:tcW w:w="1440" w:type="dxa"/>
            <w:vAlign w:val="center"/>
          </w:tcPr>
          <w:p w14:paraId="2C60E81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1CB474BA"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Review of book written by journalist about challenges of climate change research in Arctic, including clashes between indigenous peoples and scientists over research.  </w:t>
            </w:r>
          </w:p>
        </w:tc>
      </w:tr>
      <w:tr w:rsidR="000A51A2" w:rsidRPr="00AE7C77" w14:paraId="63C40FCD" w14:textId="77777777" w:rsidTr="003F3712">
        <w:trPr>
          <w:trHeight w:val="315"/>
        </w:trPr>
        <w:tc>
          <w:tcPr>
            <w:tcW w:w="0" w:type="auto"/>
            <w:vAlign w:val="center"/>
            <w:hideMark/>
          </w:tcPr>
          <w:p w14:paraId="50CE180D"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Maori try to pull criticism of emissions trading plan</w:t>
            </w:r>
          </w:p>
        </w:tc>
        <w:tc>
          <w:tcPr>
            <w:tcW w:w="1410" w:type="dxa"/>
            <w:vAlign w:val="center"/>
          </w:tcPr>
          <w:p w14:paraId="0D7D9B6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Claire Trevett</w:t>
            </w:r>
          </w:p>
        </w:tc>
        <w:tc>
          <w:tcPr>
            <w:tcW w:w="1530" w:type="dxa"/>
            <w:vAlign w:val="center"/>
          </w:tcPr>
          <w:p w14:paraId="26C0128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28 August 2009</w:t>
            </w:r>
          </w:p>
        </w:tc>
        <w:tc>
          <w:tcPr>
            <w:tcW w:w="1440" w:type="dxa"/>
            <w:vAlign w:val="center"/>
          </w:tcPr>
          <w:p w14:paraId="31941A9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New Zealand Herald</w:t>
            </w:r>
          </w:p>
        </w:tc>
        <w:tc>
          <w:tcPr>
            <w:tcW w:w="2700" w:type="dxa"/>
            <w:vAlign w:val="center"/>
          </w:tcPr>
          <w:p w14:paraId="19CCE04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Maori Party tries to withdraw report critical of National Party’s emissions trading scheme, drawing accusations of a political deal being made </w:t>
            </w:r>
          </w:p>
        </w:tc>
      </w:tr>
      <w:tr w:rsidR="000A51A2" w:rsidRPr="00AE7C77" w14:paraId="6A3EC4EB" w14:textId="77777777" w:rsidTr="003F3712">
        <w:trPr>
          <w:trHeight w:val="315"/>
        </w:trPr>
        <w:tc>
          <w:tcPr>
            <w:tcW w:w="0" w:type="auto"/>
            <w:vAlign w:val="center"/>
            <w:hideMark/>
          </w:tcPr>
          <w:p w14:paraId="739F24C7"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MAORI PARTY BACKS OFF CRITICISM OF CARBON DEAL</w:t>
            </w:r>
          </w:p>
        </w:tc>
        <w:tc>
          <w:tcPr>
            <w:tcW w:w="1410" w:type="dxa"/>
            <w:vAlign w:val="center"/>
          </w:tcPr>
          <w:p w14:paraId="3B52E96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Vernon Small</w:t>
            </w:r>
          </w:p>
        </w:tc>
        <w:tc>
          <w:tcPr>
            <w:tcW w:w="1530" w:type="dxa"/>
            <w:vAlign w:val="center"/>
          </w:tcPr>
          <w:p w14:paraId="76D182E9"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28 August 2009</w:t>
            </w:r>
          </w:p>
        </w:tc>
        <w:tc>
          <w:tcPr>
            <w:tcW w:w="1440" w:type="dxa"/>
            <w:vAlign w:val="center"/>
          </w:tcPr>
          <w:p w14:paraId="5E982B1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Dominion Post</w:t>
            </w:r>
          </w:p>
        </w:tc>
        <w:tc>
          <w:tcPr>
            <w:tcW w:w="2700" w:type="dxa"/>
            <w:vAlign w:val="center"/>
          </w:tcPr>
          <w:p w14:paraId="0EB8FFEC"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Maori Party tries to withdraw report critical of National Party’s emissions trading scheme, drawing accusations of a political deal being made</w:t>
            </w:r>
          </w:p>
        </w:tc>
      </w:tr>
      <w:tr w:rsidR="000A51A2" w:rsidRPr="00AE7C77" w14:paraId="5D7FE3F6" w14:textId="77777777" w:rsidTr="003F3712">
        <w:trPr>
          <w:trHeight w:val="315"/>
        </w:trPr>
        <w:tc>
          <w:tcPr>
            <w:tcW w:w="0" w:type="auto"/>
            <w:vAlign w:val="center"/>
            <w:hideMark/>
          </w:tcPr>
          <w:p w14:paraId="05155074"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Maori Party links ETS support to benefit boost</w:t>
            </w:r>
          </w:p>
        </w:tc>
        <w:tc>
          <w:tcPr>
            <w:tcW w:w="1410" w:type="dxa"/>
            <w:vAlign w:val="center"/>
          </w:tcPr>
          <w:p w14:paraId="1DBC26E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Patrick Gower</w:t>
            </w:r>
          </w:p>
        </w:tc>
        <w:tc>
          <w:tcPr>
            <w:tcW w:w="1530" w:type="dxa"/>
            <w:vAlign w:val="center"/>
          </w:tcPr>
          <w:p w14:paraId="562CCDD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16 September 2009</w:t>
            </w:r>
          </w:p>
        </w:tc>
        <w:tc>
          <w:tcPr>
            <w:tcW w:w="1440" w:type="dxa"/>
            <w:vAlign w:val="center"/>
          </w:tcPr>
          <w:p w14:paraId="0FE2C41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New Zealand Herald</w:t>
            </w:r>
          </w:p>
        </w:tc>
        <w:tc>
          <w:tcPr>
            <w:tcW w:w="2700" w:type="dxa"/>
            <w:vAlign w:val="center"/>
          </w:tcPr>
          <w:p w14:paraId="0988BB2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Maori Party negotiates with National Party for additional benefit payments in order to secure support for ETS</w:t>
            </w:r>
          </w:p>
        </w:tc>
      </w:tr>
      <w:tr w:rsidR="000A51A2" w:rsidRPr="00AE7C77" w14:paraId="08BC9BC0" w14:textId="77777777" w:rsidTr="003F3712">
        <w:trPr>
          <w:trHeight w:val="315"/>
        </w:trPr>
        <w:tc>
          <w:tcPr>
            <w:tcW w:w="0" w:type="auto"/>
            <w:vAlign w:val="center"/>
            <w:hideMark/>
          </w:tcPr>
          <w:p w14:paraId="0E5941B1"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Maori Party ETS deal put under microscope</w:t>
            </w:r>
          </w:p>
        </w:tc>
        <w:tc>
          <w:tcPr>
            <w:tcW w:w="1410" w:type="dxa"/>
            <w:vAlign w:val="center"/>
          </w:tcPr>
          <w:p w14:paraId="1139D74E"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Audrey Young</w:t>
            </w:r>
          </w:p>
        </w:tc>
        <w:tc>
          <w:tcPr>
            <w:tcW w:w="1530" w:type="dxa"/>
            <w:vAlign w:val="center"/>
          </w:tcPr>
          <w:p w14:paraId="7305810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18 September 2009</w:t>
            </w:r>
          </w:p>
        </w:tc>
        <w:tc>
          <w:tcPr>
            <w:tcW w:w="1440" w:type="dxa"/>
            <w:vAlign w:val="center"/>
          </w:tcPr>
          <w:p w14:paraId="3534FF5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New Zealand Herald</w:t>
            </w:r>
          </w:p>
        </w:tc>
        <w:tc>
          <w:tcPr>
            <w:tcW w:w="2700" w:type="dxa"/>
            <w:vAlign w:val="center"/>
          </w:tcPr>
          <w:p w14:paraId="4D3516E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Benefits such as subsidies for home insulation scrutinized by opposition </w:t>
            </w:r>
            <w:r w:rsidRPr="00AE7C77">
              <w:rPr>
                <w:rFonts w:asciiTheme="majorBidi" w:eastAsia="Times New Roman" w:hAnsiTheme="majorBidi" w:cstheme="majorBidi"/>
                <w:color w:val="auto"/>
              </w:rPr>
              <w:lastRenderedPageBreak/>
              <w:t>parties, as Maori Party and National Party negotiate over weakened ETS</w:t>
            </w:r>
          </w:p>
        </w:tc>
      </w:tr>
      <w:tr w:rsidR="000A51A2" w:rsidRPr="00AE7C77" w14:paraId="2DD07651" w14:textId="77777777" w:rsidTr="003F3712">
        <w:trPr>
          <w:trHeight w:val="315"/>
        </w:trPr>
        <w:tc>
          <w:tcPr>
            <w:tcW w:w="0" w:type="auto"/>
            <w:vAlign w:val="center"/>
            <w:hideMark/>
          </w:tcPr>
          <w:p w14:paraId="46AFC395"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lastRenderedPageBreak/>
              <w:t>Maori Party laughing all the way to the bank</w:t>
            </w:r>
          </w:p>
        </w:tc>
        <w:tc>
          <w:tcPr>
            <w:tcW w:w="1410" w:type="dxa"/>
            <w:vAlign w:val="center"/>
          </w:tcPr>
          <w:p w14:paraId="5FEEF2C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unknown</w:t>
            </w:r>
          </w:p>
        </w:tc>
        <w:tc>
          <w:tcPr>
            <w:tcW w:w="1530" w:type="dxa"/>
            <w:vAlign w:val="center"/>
          </w:tcPr>
          <w:p w14:paraId="6CE3EF3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19 September 2009</w:t>
            </w:r>
          </w:p>
        </w:tc>
        <w:tc>
          <w:tcPr>
            <w:tcW w:w="1440" w:type="dxa"/>
            <w:vAlign w:val="center"/>
          </w:tcPr>
          <w:p w14:paraId="7F5C082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New Zealand Herald</w:t>
            </w:r>
          </w:p>
        </w:tc>
        <w:tc>
          <w:tcPr>
            <w:tcW w:w="2700" w:type="dxa"/>
            <w:vAlign w:val="center"/>
          </w:tcPr>
          <w:p w14:paraId="08B1F35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Journalist accuses Maori Party of prioritizing Maori business interests, extracting money from National Party in exchange for supporting weakened ETS</w:t>
            </w:r>
          </w:p>
        </w:tc>
      </w:tr>
      <w:tr w:rsidR="000A51A2" w:rsidRPr="00AE7C77" w14:paraId="2E1D39F0" w14:textId="77777777" w:rsidTr="003F3712">
        <w:trPr>
          <w:trHeight w:val="315"/>
        </w:trPr>
        <w:tc>
          <w:tcPr>
            <w:tcW w:w="0" w:type="auto"/>
            <w:vAlign w:val="center"/>
            <w:hideMark/>
          </w:tcPr>
          <w:p w14:paraId="3157DFFD"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D OES THE Maori Party speak the same language as the Nats? After last week's...</w:t>
            </w:r>
          </w:p>
        </w:tc>
        <w:tc>
          <w:tcPr>
            <w:tcW w:w="1410" w:type="dxa"/>
            <w:vAlign w:val="center"/>
          </w:tcPr>
          <w:p w14:paraId="1338A93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Tapu Misa</w:t>
            </w:r>
          </w:p>
        </w:tc>
        <w:tc>
          <w:tcPr>
            <w:tcW w:w="1530" w:type="dxa"/>
            <w:vAlign w:val="center"/>
          </w:tcPr>
          <w:p w14:paraId="7FC0F85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21 September 2009</w:t>
            </w:r>
          </w:p>
        </w:tc>
        <w:tc>
          <w:tcPr>
            <w:tcW w:w="1440" w:type="dxa"/>
            <w:vAlign w:val="center"/>
          </w:tcPr>
          <w:p w14:paraId="290560B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New Zealand Herald</w:t>
            </w:r>
          </w:p>
        </w:tc>
        <w:tc>
          <w:tcPr>
            <w:tcW w:w="2700" w:type="dxa"/>
            <w:vAlign w:val="center"/>
          </w:tcPr>
          <w:p w14:paraId="4E5BAD89"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Article notes miscommunications over precise benefits obtained in negotiations over ETS legislation, questions integrity of Maori Party in negotiating with National</w:t>
            </w:r>
          </w:p>
        </w:tc>
      </w:tr>
      <w:tr w:rsidR="000A51A2" w:rsidRPr="00AE7C77" w14:paraId="5B9DC017" w14:textId="77777777" w:rsidTr="003F3712">
        <w:trPr>
          <w:trHeight w:val="315"/>
        </w:trPr>
        <w:tc>
          <w:tcPr>
            <w:tcW w:w="0" w:type="auto"/>
            <w:vAlign w:val="center"/>
            <w:hideMark/>
          </w:tcPr>
          <w:p w14:paraId="32446582"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Iwi prepare to exploit assets</w:t>
            </w:r>
          </w:p>
        </w:tc>
        <w:tc>
          <w:tcPr>
            <w:tcW w:w="1410" w:type="dxa"/>
            <w:vAlign w:val="center"/>
          </w:tcPr>
          <w:p w14:paraId="04F70459"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Julie Taylor</w:t>
            </w:r>
          </w:p>
        </w:tc>
        <w:tc>
          <w:tcPr>
            <w:tcW w:w="1530" w:type="dxa"/>
            <w:vAlign w:val="center"/>
          </w:tcPr>
          <w:p w14:paraId="136E6ED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24 September 2009</w:t>
            </w:r>
          </w:p>
        </w:tc>
        <w:tc>
          <w:tcPr>
            <w:tcW w:w="1440" w:type="dxa"/>
            <w:vAlign w:val="center"/>
          </w:tcPr>
          <w:p w14:paraId="0E9E59B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New Zealand Herald</w:t>
            </w:r>
          </w:p>
        </w:tc>
        <w:tc>
          <w:tcPr>
            <w:tcW w:w="2700" w:type="dxa"/>
            <w:vAlign w:val="center"/>
          </w:tcPr>
          <w:p w14:paraId="6BE56D4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Iwi prepare for impacts of climate change on industry</w:t>
            </w:r>
          </w:p>
        </w:tc>
      </w:tr>
      <w:tr w:rsidR="000A51A2" w:rsidRPr="00AE7C77" w14:paraId="1DEB13B3" w14:textId="77777777" w:rsidTr="003F3712">
        <w:trPr>
          <w:trHeight w:val="315"/>
        </w:trPr>
        <w:tc>
          <w:tcPr>
            <w:tcW w:w="0" w:type="auto"/>
            <w:vAlign w:val="center"/>
            <w:hideMark/>
          </w:tcPr>
          <w:p w14:paraId="4DDF0BE5"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In a changing North, the torch recalls tradition; Threatened by climate change, the Gwitchin of Old Crow reflect on the links between the...</w:t>
            </w:r>
          </w:p>
        </w:tc>
        <w:tc>
          <w:tcPr>
            <w:tcW w:w="1410" w:type="dxa"/>
            <w:vAlign w:val="center"/>
          </w:tcPr>
          <w:p w14:paraId="00D82C5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Gary Mason</w:t>
            </w:r>
          </w:p>
        </w:tc>
        <w:tc>
          <w:tcPr>
            <w:tcW w:w="1530" w:type="dxa"/>
            <w:vAlign w:val="center"/>
          </w:tcPr>
          <w:p w14:paraId="002A629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5 November 2009</w:t>
            </w:r>
          </w:p>
        </w:tc>
        <w:tc>
          <w:tcPr>
            <w:tcW w:w="1440" w:type="dxa"/>
            <w:vAlign w:val="center"/>
          </w:tcPr>
          <w:p w14:paraId="751447C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26120F8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Olympic flame arrives in remote Gwitchin community facing socio-cultural impacts of climate change</w:t>
            </w:r>
          </w:p>
        </w:tc>
      </w:tr>
      <w:tr w:rsidR="000A51A2" w:rsidRPr="00AE7C77" w14:paraId="7BCC8D88" w14:textId="77777777" w:rsidTr="003F3712">
        <w:trPr>
          <w:trHeight w:val="315"/>
        </w:trPr>
        <w:tc>
          <w:tcPr>
            <w:tcW w:w="0" w:type="auto"/>
            <w:vAlign w:val="center"/>
            <w:hideMark/>
          </w:tcPr>
          <w:p w14:paraId="5E5F8973"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EMISSIONS DEAL FOR IWI ON OFFER Government needs Maori Party votes Carbon dating</w:t>
            </w:r>
          </w:p>
        </w:tc>
        <w:tc>
          <w:tcPr>
            <w:tcW w:w="1410" w:type="dxa"/>
            <w:vAlign w:val="center"/>
          </w:tcPr>
          <w:p w14:paraId="1228EF4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Colin Espiner, Tracy Watkins</w:t>
            </w:r>
          </w:p>
        </w:tc>
        <w:tc>
          <w:tcPr>
            <w:tcW w:w="1530" w:type="dxa"/>
            <w:vAlign w:val="center"/>
          </w:tcPr>
          <w:p w14:paraId="47710D6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17 November 2009</w:t>
            </w:r>
          </w:p>
        </w:tc>
        <w:tc>
          <w:tcPr>
            <w:tcW w:w="1440" w:type="dxa"/>
            <w:vAlign w:val="center"/>
          </w:tcPr>
          <w:p w14:paraId="571B02C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Dominion Post</w:t>
            </w:r>
          </w:p>
        </w:tc>
        <w:tc>
          <w:tcPr>
            <w:tcW w:w="2700" w:type="dxa"/>
            <w:vAlign w:val="center"/>
          </w:tcPr>
          <w:p w14:paraId="424568A6"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Article details gains won by Maori during negotiations over ETS with National, National rejects claims of ‘preferential deal’ for Maori</w:t>
            </w:r>
          </w:p>
        </w:tc>
      </w:tr>
      <w:tr w:rsidR="000A51A2" w:rsidRPr="00AE7C77" w14:paraId="2AA8A405" w14:textId="77777777" w:rsidTr="003F3712">
        <w:trPr>
          <w:trHeight w:val="315"/>
        </w:trPr>
        <w:tc>
          <w:tcPr>
            <w:tcW w:w="0" w:type="auto"/>
            <w:vAlign w:val="center"/>
            <w:hideMark/>
          </w:tcPr>
          <w:p w14:paraId="715E8374"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Maori Party deal saves climate change bill</w:t>
            </w:r>
          </w:p>
        </w:tc>
        <w:tc>
          <w:tcPr>
            <w:tcW w:w="1410" w:type="dxa"/>
            <w:vAlign w:val="center"/>
          </w:tcPr>
          <w:p w14:paraId="51E5EC7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unknown</w:t>
            </w:r>
          </w:p>
        </w:tc>
        <w:tc>
          <w:tcPr>
            <w:tcW w:w="1530" w:type="dxa"/>
            <w:vAlign w:val="center"/>
          </w:tcPr>
          <w:p w14:paraId="7CAD0CF5"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17 November 2009</w:t>
            </w:r>
          </w:p>
        </w:tc>
        <w:tc>
          <w:tcPr>
            <w:tcW w:w="1440" w:type="dxa"/>
            <w:vAlign w:val="center"/>
          </w:tcPr>
          <w:p w14:paraId="15D705A6"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New Zealand Herald</w:t>
            </w:r>
          </w:p>
        </w:tc>
        <w:tc>
          <w:tcPr>
            <w:tcW w:w="2700" w:type="dxa"/>
            <w:vAlign w:val="center"/>
          </w:tcPr>
          <w:p w14:paraId="7500617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Article details gains won by Maori during negotiations over ETS with National, accusation of ‘preferential treatment’ from other parties</w:t>
            </w:r>
          </w:p>
        </w:tc>
      </w:tr>
      <w:tr w:rsidR="000A51A2" w:rsidRPr="00AE7C77" w14:paraId="282CF703" w14:textId="77777777" w:rsidTr="003F3712">
        <w:trPr>
          <w:trHeight w:val="315"/>
        </w:trPr>
        <w:tc>
          <w:tcPr>
            <w:tcW w:w="0" w:type="auto"/>
            <w:vAlign w:val="center"/>
            <w:hideMark/>
          </w:tcPr>
          <w:p w14:paraId="22A922DE"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EMISSIONS TRADING ACCORD WITH IWI WILL COST TAXPAYERS</w:t>
            </w:r>
          </w:p>
        </w:tc>
        <w:tc>
          <w:tcPr>
            <w:tcW w:w="1410" w:type="dxa"/>
            <w:vAlign w:val="center"/>
          </w:tcPr>
          <w:p w14:paraId="4DAB6A5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Colin Espiner</w:t>
            </w:r>
          </w:p>
        </w:tc>
        <w:tc>
          <w:tcPr>
            <w:tcW w:w="1530" w:type="dxa"/>
            <w:vAlign w:val="center"/>
          </w:tcPr>
          <w:p w14:paraId="441ADD86"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18 November 2009</w:t>
            </w:r>
          </w:p>
        </w:tc>
        <w:tc>
          <w:tcPr>
            <w:tcW w:w="1440" w:type="dxa"/>
            <w:vAlign w:val="center"/>
          </w:tcPr>
          <w:p w14:paraId="55B142A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Dominion Post</w:t>
            </w:r>
          </w:p>
        </w:tc>
        <w:tc>
          <w:tcPr>
            <w:tcW w:w="2700" w:type="dxa"/>
            <w:vAlign w:val="center"/>
          </w:tcPr>
          <w:p w14:paraId="0C5807B9"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Article details potential cost of ETS settlement with the Maori Party for taxpayers</w:t>
            </w:r>
          </w:p>
        </w:tc>
      </w:tr>
      <w:tr w:rsidR="000A51A2" w:rsidRPr="00AE7C77" w14:paraId="6FAB66C2" w14:textId="77777777" w:rsidTr="003F3712">
        <w:trPr>
          <w:trHeight w:val="315"/>
        </w:trPr>
        <w:tc>
          <w:tcPr>
            <w:tcW w:w="0" w:type="auto"/>
            <w:vAlign w:val="center"/>
            <w:hideMark/>
          </w:tcPr>
          <w:p w14:paraId="600CE769"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National `buying' Maori votes for emissions plan</w:t>
            </w:r>
          </w:p>
        </w:tc>
        <w:tc>
          <w:tcPr>
            <w:tcW w:w="1410" w:type="dxa"/>
            <w:vAlign w:val="center"/>
          </w:tcPr>
          <w:p w14:paraId="6A167F4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Claire Trevett</w:t>
            </w:r>
          </w:p>
        </w:tc>
        <w:tc>
          <w:tcPr>
            <w:tcW w:w="1530" w:type="dxa"/>
            <w:vAlign w:val="center"/>
          </w:tcPr>
          <w:p w14:paraId="7C1CF83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18 November 2009</w:t>
            </w:r>
          </w:p>
        </w:tc>
        <w:tc>
          <w:tcPr>
            <w:tcW w:w="1440" w:type="dxa"/>
            <w:vAlign w:val="center"/>
          </w:tcPr>
          <w:p w14:paraId="7E6A5B3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New Zealand Herald</w:t>
            </w:r>
          </w:p>
        </w:tc>
        <w:tc>
          <w:tcPr>
            <w:tcW w:w="2700" w:type="dxa"/>
            <w:vAlign w:val="center"/>
          </w:tcPr>
          <w:p w14:paraId="513B6C0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Labor Party accuses National of giving Maori preferential treatment to secure passage of ETS, </w:t>
            </w:r>
            <w:r w:rsidRPr="00AE7C77">
              <w:rPr>
                <w:rFonts w:asciiTheme="majorBidi" w:eastAsia="Times New Roman" w:hAnsiTheme="majorBidi" w:cstheme="majorBidi"/>
                <w:color w:val="auto"/>
              </w:rPr>
              <w:lastRenderedPageBreak/>
              <w:t>criticizes lack of transparency</w:t>
            </w:r>
          </w:p>
        </w:tc>
      </w:tr>
      <w:tr w:rsidR="000A51A2" w:rsidRPr="00AE7C77" w14:paraId="0EC62FCC" w14:textId="77777777" w:rsidTr="003F3712">
        <w:trPr>
          <w:trHeight w:val="315"/>
        </w:trPr>
        <w:tc>
          <w:tcPr>
            <w:tcW w:w="0" w:type="auto"/>
            <w:vAlign w:val="center"/>
            <w:hideMark/>
          </w:tcPr>
          <w:p w14:paraId="1D921F1C"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lastRenderedPageBreak/>
              <w:t>Indigenous leaders want ETS bill shelved</w:t>
            </w:r>
          </w:p>
        </w:tc>
        <w:tc>
          <w:tcPr>
            <w:tcW w:w="1410" w:type="dxa"/>
            <w:vAlign w:val="center"/>
          </w:tcPr>
          <w:p w14:paraId="09C027C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Dennis Shanahan</w:t>
            </w:r>
          </w:p>
        </w:tc>
        <w:tc>
          <w:tcPr>
            <w:tcW w:w="1530" w:type="dxa"/>
            <w:vAlign w:val="center"/>
          </w:tcPr>
          <w:p w14:paraId="2BC1BB8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21 November 2009</w:t>
            </w:r>
          </w:p>
        </w:tc>
        <w:tc>
          <w:tcPr>
            <w:tcW w:w="1440" w:type="dxa"/>
            <w:vAlign w:val="center"/>
          </w:tcPr>
          <w:p w14:paraId="42440E86"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Australian</w:t>
            </w:r>
          </w:p>
        </w:tc>
        <w:tc>
          <w:tcPr>
            <w:tcW w:w="2700" w:type="dxa"/>
            <w:vAlign w:val="center"/>
          </w:tcPr>
          <w:p w14:paraId="47EDF469"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Indigenous leaders call for Australian ETS legislation to be deferred until legal position of indigenous lands and rights to trade carbon credits are clarified. Leaders cite exclusion from policy-making process</w:t>
            </w:r>
          </w:p>
        </w:tc>
      </w:tr>
      <w:tr w:rsidR="000A51A2" w:rsidRPr="00AE7C77" w14:paraId="35C3D589" w14:textId="77777777" w:rsidTr="003F3712">
        <w:trPr>
          <w:trHeight w:val="315"/>
        </w:trPr>
        <w:tc>
          <w:tcPr>
            <w:tcW w:w="0" w:type="auto"/>
            <w:vAlign w:val="center"/>
            <w:hideMark/>
          </w:tcPr>
          <w:p w14:paraId="64245BCE"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$50m deal buys Maori vote on emissions</w:t>
            </w:r>
          </w:p>
        </w:tc>
        <w:tc>
          <w:tcPr>
            <w:tcW w:w="1410" w:type="dxa"/>
            <w:vAlign w:val="center"/>
          </w:tcPr>
          <w:p w14:paraId="61E2DE9A"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Claire Trevett</w:t>
            </w:r>
          </w:p>
        </w:tc>
        <w:tc>
          <w:tcPr>
            <w:tcW w:w="1530" w:type="dxa"/>
            <w:vAlign w:val="center"/>
          </w:tcPr>
          <w:p w14:paraId="5782A1F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23 November 2009</w:t>
            </w:r>
          </w:p>
        </w:tc>
        <w:tc>
          <w:tcPr>
            <w:tcW w:w="1440" w:type="dxa"/>
            <w:vAlign w:val="center"/>
          </w:tcPr>
          <w:p w14:paraId="498B9F4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New Zealand Herald</w:t>
            </w:r>
          </w:p>
        </w:tc>
        <w:tc>
          <w:tcPr>
            <w:tcW w:w="2700" w:type="dxa"/>
            <w:vAlign w:val="center"/>
          </w:tcPr>
          <w:p w14:paraId="0C69280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Final deal with Maori supposedly gives five iwi rights to plant trees on conservation land and</w:t>
            </w:r>
          </w:p>
          <w:p w14:paraId="39315CD9"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take profits from the carbon credits, cited as worth $50m a year for Maori, in exchange for political support for ETS</w:t>
            </w:r>
          </w:p>
        </w:tc>
      </w:tr>
      <w:tr w:rsidR="000A51A2" w:rsidRPr="00AE7C77" w14:paraId="12BA6971" w14:textId="77777777" w:rsidTr="003F3712">
        <w:trPr>
          <w:trHeight w:val="315"/>
        </w:trPr>
        <w:tc>
          <w:tcPr>
            <w:tcW w:w="0" w:type="auto"/>
            <w:vAlign w:val="center"/>
            <w:hideMark/>
          </w:tcPr>
          <w:p w14:paraId="34E3C768"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IWI COUNTING CASH BEFORE DEAL IS FINAL</w:t>
            </w:r>
          </w:p>
        </w:tc>
        <w:tc>
          <w:tcPr>
            <w:tcW w:w="1410" w:type="dxa"/>
            <w:vAlign w:val="center"/>
          </w:tcPr>
          <w:p w14:paraId="2165A41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Colin Espiner</w:t>
            </w:r>
          </w:p>
        </w:tc>
        <w:tc>
          <w:tcPr>
            <w:tcW w:w="1530" w:type="dxa"/>
            <w:vAlign w:val="center"/>
          </w:tcPr>
          <w:p w14:paraId="5353FE5C"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23 November 2009</w:t>
            </w:r>
          </w:p>
        </w:tc>
        <w:tc>
          <w:tcPr>
            <w:tcW w:w="1440" w:type="dxa"/>
            <w:vAlign w:val="center"/>
          </w:tcPr>
          <w:p w14:paraId="5851F59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Dominion Post</w:t>
            </w:r>
          </w:p>
        </w:tc>
        <w:tc>
          <w:tcPr>
            <w:tcW w:w="2700" w:type="dxa"/>
            <w:vAlign w:val="center"/>
          </w:tcPr>
          <w:p w14:paraId="5B48CBAC"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Article argues that ETS deal struck because Maori threatened legal action, claims of ‘sweetheart deal’ for Maori at cost of taxpayers and environment</w:t>
            </w:r>
          </w:p>
        </w:tc>
      </w:tr>
      <w:tr w:rsidR="000A51A2" w:rsidRPr="00AE7C77" w14:paraId="7F8A27AA" w14:textId="77777777" w:rsidTr="003F3712">
        <w:trPr>
          <w:trHeight w:val="315"/>
        </w:trPr>
        <w:tc>
          <w:tcPr>
            <w:tcW w:w="0" w:type="auto"/>
            <w:vAlign w:val="center"/>
            <w:hideMark/>
          </w:tcPr>
          <w:p w14:paraId="146BD35E"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Goff: Iwi tree deal little help to Maori</w:t>
            </w:r>
          </w:p>
        </w:tc>
        <w:tc>
          <w:tcPr>
            <w:tcW w:w="1410" w:type="dxa"/>
            <w:vAlign w:val="center"/>
          </w:tcPr>
          <w:p w14:paraId="07988349"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Claire Trevett</w:t>
            </w:r>
          </w:p>
        </w:tc>
        <w:tc>
          <w:tcPr>
            <w:tcW w:w="1530" w:type="dxa"/>
            <w:vAlign w:val="center"/>
          </w:tcPr>
          <w:p w14:paraId="00F13B99"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24 November 2009</w:t>
            </w:r>
          </w:p>
        </w:tc>
        <w:tc>
          <w:tcPr>
            <w:tcW w:w="1440" w:type="dxa"/>
            <w:vAlign w:val="center"/>
          </w:tcPr>
          <w:p w14:paraId="41881946"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New Zealand Herald</w:t>
            </w:r>
          </w:p>
        </w:tc>
        <w:tc>
          <w:tcPr>
            <w:tcW w:w="2700" w:type="dxa"/>
            <w:vAlign w:val="center"/>
          </w:tcPr>
          <w:p w14:paraId="1D3E713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Article argues that Maori Party ETS deal primarily benefits Maori elite, results in weakened ETS without addressing impacts on low-income households</w:t>
            </w:r>
          </w:p>
        </w:tc>
      </w:tr>
      <w:tr w:rsidR="000A51A2" w:rsidRPr="00AE7C77" w14:paraId="1FBBD692" w14:textId="77777777" w:rsidTr="003F3712">
        <w:trPr>
          <w:trHeight w:val="315"/>
        </w:trPr>
        <w:tc>
          <w:tcPr>
            <w:tcW w:w="0" w:type="auto"/>
            <w:vAlign w:val="center"/>
            <w:hideMark/>
          </w:tcPr>
          <w:p w14:paraId="7220990B"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SELLOUT' CLAIMS OVER MAORI ETS DEAL</w:t>
            </w:r>
          </w:p>
        </w:tc>
        <w:tc>
          <w:tcPr>
            <w:tcW w:w="1410" w:type="dxa"/>
            <w:vAlign w:val="center"/>
          </w:tcPr>
          <w:p w14:paraId="679C379A"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Tracy Watkins</w:t>
            </w:r>
          </w:p>
        </w:tc>
        <w:tc>
          <w:tcPr>
            <w:tcW w:w="1530" w:type="dxa"/>
            <w:vAlign w:val="center"/>
          </w:tcPr>
          <w:p w14:paraId="6F0DEB7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24 November 2009</w:t>
            </w:r>
          </w:p>
        </w:tc>
        <w:tc>
          <w:tcPr>
            <w:tcW w:w="1440" w:type="dxa"/>
            <w:vAlign w:val="center"/>
          </w:tcPr>
          <w:p w14:paraId="040FB40A"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Dominion Post</w:t>
            </w:r>
          </w:p>
        </w:tc>
        <w:tc>
          <w:tcPr>
            <w:tcW w:w="2700" w:type="dxa"/>
            <w:vAlign w:val="center"/>
          </w:tcPr>
          <w:p w14:paraId="697A9BE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Article argues that Maori Party ETS deal primarily benefits Maori elite, results in weakened ETS </w:t>
            </w:r>
          </w:p>
        </w:tc>
      </w:tr>
      <w:tr w:rsidR="000A51A2" w:rsidRPr="00AE7C77" w14:paraId="238B71DC" w14:textId="77777777" w:rsidTr="003F3712">
        <w:trPr>
          <w:trHeight w:val="315"/>
        </w:trPr>
        <w:tc>
          <w:tcPr>
            <w:tcW w:w="0" w:type="auto"/>
            <w:vAlign w:val="center"/>
            <w:hideMark/>
          </w:tcPr>
          <w:p w14:paraId="042356DD"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FREE TRIP OFFERED TO IWI LEADERS</w:t>
            </w:r>
          </w:p>
        </w:tc>
        <w:tc>
          <w:tcPr>
            <w:tcW w:w="1410" w:type="dxa"/>
            <w:vAlign w:val="center"/>
          </w:tcPr>
          <w:p w14:paraId="5AC81C1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unknown</w:t>
            </w:r>
          </w:p>
        </w:tc>
        <w:tc>
          <w:tcPr>
            <w:tcW w:w="1530" w:type="dxa"/>
            <w:vAlign w:val="center"/>
          </w:tcPr>
          <w:p w14:paraId="49EBC82C"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24 November 2009</w:t>
            </w:r>
          </w:p>
        </w:tc>
        <w:tc>
          <w:tcPr>
            <w:tcW w:w="1440" w:type="dxa"/>
            <w:vAlign w:val="center"/>
          </w:tcPr>
          <w:p w14:paraId="756B23F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Dominion Post</w:t>
            </w:r>
          </w:p>
        </w:tc>
        <w:tc>
          <w:tcPr>
            <w:tcW w:w="2700" w:type="dxa"/>
            <w:vAlign w:val="center"/>
          </w:tcPr>
          <w:p w14:paraId="2A4E93DE"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Government flies iwi leaders and elders to Copenhagen climate talks as part of official NZ delegation, one of the conditions of negotiations over ETS legislation</w:t>
            </w:r>
          </w:p>
        </w:tc>
      </w:tr>
      <w:tr w:rsidR="000A51A2" w:rsidRPr="00AE7C77" w14:paraId="5C29CCC4" w14:textId="77777777" w:rsidTr="003F3712">
        <w:trPr>
          <w:trHeight w:val="315"/>
        </w:trPr>
        <w:tc>
          <w:tcPr>
            <w:tcW w:w="0" w:type="auto"/>
            <w:vAlign w:val="center"/>
            <w:hideMark/>
          </w:tcPr>
          <w:p w14:paraId="379BBFF7"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lastRenderedPageBreak/>
              <w:t>SWEETHEART DEAL WITH IWI ELITE LEAVES URBAN MAORI JILTED AGAIN</w:t>
            </w:r>
          </w:p>
        </w:tc>
        <w:tc>
          <w:tcPr>
            <w:tcW w:w="1410" w:type="dxa"/>
            <w:vAlign w:val="center"/>
          </w:tcPr>
          <w:p w14:paraId="6D2045AA"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Karl Du Fresne</w:t>
            </w:r>
          </w:p>
        </w:tc>
        <w:tc>
          <w:tcPr>
            <w:tcW w:w="1530" w:type="dxa"/>
            <w:vAlign w:val="center"/>
          </w:tcPr>
          <w:p w14:paraId="0A1D69EC"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24 November 2009</w:t>
            </w:r>
          </w:p>
        </w:tc>
        <w:tc>
          <w:tcPr>
            <w:tcW w:w="1440" w:type="dxa"/>
            <w:vAlign w:val="center"/>
          </w:tcPr>
          <w:p w14:paraId="25752A39"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Dominion Post</w:t>
            </w:r>
          </w:p>
        </w:tc>
        <w:tc>
          <w:tcPr>
            <w:tcW w:w="2700" w:type="dxa"/>
            <w:vAlign w:val="center"/>
          </w:tcPr>
          <w:p w14:paraId="1AE19BFC"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Article argues that Maori Party ETS deal primarily benefits Maori elite at cost of marginalized Maori, accuses Maori ‘aristocracy’ of brokering deal that results in ineffective ETS</w:t>
            </w:r>
          </w:p>
        </w:tc>
      </w:tr>
      <w:tr w:rsidR="000A51A2" w:rsidRPr="00AE7C77" w14:paraId="0B38AC9B" w14:textId="77777777" w:rsidTr="003F3712">
        <w:trPr>
          <w:trHeight w:val="315"/>
        </w:trPr>
        <w:tc>
          <w:tcPr>
            <w:tcW w:w="0" w:type="auto"/>
            <w:vAlign w:val="center"/>
            <w:hideMark/>
          </w:tcPr>
          <w:p w14:paraId="4AA15A36"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Communities need funds to adapt to Arctic climate change: Inuit leader</w:t>
            </w:r>
          </w:p>
        </w:tc>
        <w:tc>
          <w:tcPr>
            <w:tcW w:w="1410" w:type="dxa"/>
            <w:vAlign w:val="center"/>
          </w:tcPr>
          <w:p w14:paraId="2B0EAFB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unknown</w:t>
            </w:r>
          </w:p>
        </w:tc>
        <w:tc>
          <w:tcPr>
            <w:tcW w:w="1530" w:type="dxa"/>
            <w:vAlign w:val="center"/>
          </w:tcPr>
          <w:p w14:paraId="6D78FBF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12 December 2009</w:t>
            </w:r>
          </w:p>
        </w:tc>
        <w:tc>
          <w:tcPr>
            <w:tcW w:w="1440" w:type="dxa"/>
            <w:vAlign w:val="center"/>
          </w:tcPr>
          <w:p w14:paraId="55671ACE"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National Post</w:t>
            </w:r>
          </w:p>
        </w:tc>
        <w:tc>
          <w:tcPr>
            <w:tcW w:w="2700" w:type="dxa"/>
            <w:vAlign w:val="center"/>
          </w:tcPr>
          <w:p w14:paraId="6F7C3636"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Inuit leader discusses need for money for communal deep freezers to store game, as global warming reduces the hunting season</w:t>
            </w:r>
          </w:p>
        </w:tc>
      </w:tr>
      <w:tr w:rsidR="000A51A2" w:rsidRPr="00AE7C77" w14:paraId="033916C2" w14:textId="77777777" w:rsidTr="003F3712">
        <w:trPr>
          <w:trHeight w:val="315"/>
        </w:trPr>
        <w:tc>
          <w:tcPr>
            <w:tcW w:w="0" w:type="auto"/>
            <w:vAlign w:val="center"/>
            <w:hideMark/>
          </w:tcPr>
          <w:p w14:paraId="18427ADF"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Inuit launch hotline for polar bear hunters to dispute proposed ban</w:t>
            </w:r>
          </w:p>
        </w:tc>
        <w:tc>
          <w:tcPr>
            <w:tcW w:w="1410" w:type="dxa"/>
            <w:vAlign w:val="center"/>
          </w:tcPr>
          <w:p w14:paraId="4970783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unknown</w:t>
            </w:r>
          </w:p>
        </w:tc>
        <w:tc>
          <w:tcPr>
            <w:tcW w:w="1530" w:type="dxa"/>
            <w:vAlign w:val="center"/>
          </w:tcPr>
          <w:p w14:paraId="7AC04FC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8 January 2010</w:t>
            </w:r>
          </w:p>
        </w:tc>
        <w:tc>
          <w:tcPr>
            <w:tcW w:w="1440" w:type="dxa"/>
            <w:vAlign w:val="center"/>
          </w:tcPr>
          <w:p w14:paraId="3EC0C2C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National Post</w:t>
            </w:r>
          </w:p>
        </w:tc>
        <w:tc>
          <w:tcPr>
            <w:tcW w:w="2700" w:type="dxa"/>
            <w:vAlign w:val="center"/>
          </w:tcPr>
          <w:p w14:paraId="03FC5AEE"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Inuit launch phone line for hunters to call and provide evidence disputing decline of polar bear population</w:t>
            </w:r>
          </w:p>
        </w:tc>
      </w:tr>
      <w:tr w:rsidR="000A51A2" w:rsidRPr="00AE7C77" w14:paraId="15ED12FE" w14:textId="77777777" w:rsidTr="003F3712">
        <w:trPr>
          <w:trHeight w:val="315"/>
        </w:trPr>
        <w:tc>
          <w:tcPr>
            <w:tcW w:w="0" w:type="auto"/>
            <w:vAlign w:val="center"/>
            <w:hideMark/>
          </w:tcPr>
          <w:p w14:paraId="402AD017"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A caribou herd in decline – a way of life in jeopardy; Natives' fight for right to hunt mysteriously disappearing species threatens to..</w:t>
            </w:r>
          </w:p>
        </w:tc>
        <w:tc>
          <w:tcPr>
            <w:tcW w:w="1410" w:type="dxa"/>
            <w:vAlign w:val="center"/>
          </w:tcPr>
          <w:p w14:paraId="457DE45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Patrick White</w:t>
            </w:r>
          </w:p>
        </w:tc>
        <w:tc>
          <w:tcPr>
            <w:tcW w:w="1530" w:type="dxa"/>
            <w:vAlign w:val="center"/>
          </w:tcPr>
          <w:p w14:paraId="09AEA4B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5 May 2010</w:t>
            </w:r>
          </w:p>
        </w:tc>
        <w:tc>
          <w:tcPr>
            <w:tcW w:w="1440" w:type="dxa"/>
            <w:vAlign w:val="center"/>
          </w:tcPr>
          <w:p w14:paraId="0BF2E88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00CEBB1E"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The Yellowknives Dene First Nation and the Government of the NWT fight over a caribou hunting ban</w:t>
            </w:r>
          </w:p>
        </w:tc>
      </w:tr>
      <w:tr w:rsidR="000A51A2" w:rsidRPr="00AE7C77" w14:paraId="3D80785B" w14:textId="77777777" w:rsidTr="003F3712">
        <w:trPr>
          <w:trHeight w:val="315"/>
        </w:trPr>
        <w:tc>
          <w:tcPr>
            <w:tcW w:w="0" w:type="auto"/>
            <w:vAlign w:val="center"/>
            <w:hideMark/>
          </w:tcPr>
          <w:p w14:paraId="42FE4A61"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The Inuit of Greenland have weather on their side</w:t>
            </w:r>
          </w:p>
        </w:tc>
        <w:tc>
          <w:tcPr>
            <w:tcW w:w="1410" w:type="dxa"/>
            <w:vAlign w:val="center"/>
          </w:tcPr>
          <w:p w14:paraId="307841B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Doug Saunders</w:t>
            </w:r>
          </w:p>
        </w:tc>
        <w:tc>
          <w:tcPr>
            <w:tcW w:w="1530" w:type="dxa"/>
            <w:vAlign w:val="center"/>
          </w:tcPr>
          <w:p w14:paraId="107EF7BC"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 October 2010</w:t>
            </w:r>
          </w:p>
        </w:tc>
        <w:tc>
          <w:tcPr>
            <w:tcW w:w="1440" w:type="dxa"/>
            <w:vAlign w:val="center"/>
          </w:tcPr>
          <w:p w14:paraId="71F2956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025978E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Comment: Author argues that global warming will benefit Inuit communities in Greenland because of increased access to oil drilling, mining</w:t>
            </w:r>
          </w:p>
        </w:tc>
      </w:tr>
      <w:tr w:rsidR="000A51A2" w:rsidRPr="00AE7C77" w14:paraId="21F65019" w14:textId="77777777" w:rsidTr="003F3712">
        <w:trPr>
          <w:trHeight w:val="315"/>
        </w:trPr>
        <w:tc>
          <w:tcPr>
            <w:tcW w:w="0" w:type="auto"/>
            <w:vAlign w:val="center"/>
            <w:hideMark/>
          </w:tcPr>
          <w:p w14:paraId="0496229E"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Kunuk's done what no one else has: listened to the elders; The Fast Runner director skips the ‘experts,' going directly to Inuit elders, and...</w:t>
            </w:r>
          </w:p>
        </w:tc>
        <w:tc>
          <w:tcPr>
            <w:tcW w:w="1410" w:type="dxa"/>
            <w:vAlign w:val="center"/>
          </w:tcPr>
          <w:p w14:paraId="0EBAAC9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Guy Dixon</w:t>
            </w:r>
          </w:p>
        </w:tc>
        <w:tc>
          <w:tcPr>
            <w:tcW w:w="1530" w:type="dxa"/>
            <w:vAlign w:val="center"/>
          </w:tcPr>
          <w:p w14:paraId="2A7AEDC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20 October 2010</w:t>
            </w:r>
          </w:p>
        </w:tc>
        <w:tc>
          <w:tcPr>
            <w:tcW w:w="1440" w:type="dxa"/>
            <w:vAlign w:val="center"/>
          </w:tcPr>
          <w:p w14:paraId="48FFA5A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12820B4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Nunavut filmmaker makes documentary detailing Inuit observations of climate change. Article also details one particular observation disputed by scientists.</w:t>
            </w:r>
          </w:p>
        </w:tc>
      </w:tr>
      <w:tr w:rsidR="000A51A2" w:rsidRPr="00AE7C77" w14:paraId="1B8716B1" w14:textId="77777777" w:rsidTr="003F3712">
        <w:trPr>
          <w:trHeight w:val="315"/>
        </w:trPr>
        <w:tc>
          <w:tcPr>
            <w:tcW w:w="0" w:type="auto"/>
            <w:vAlign w:val="center"/>
            <w:hideMark/>
          </w:tcPr>
          <w:p w14:paraId="016B8B41"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In the land of surfers arrives a cold Inuit message: Climate change is real</w:t>
            </w:r>
          </w:p>
        </w:tc>
        <w:tc>
          <w:tcPr>
            <w:tcW w:w="1410" w:type="dxa"/>
            <w:vAlign w:val="center"/>
          </w:tcPr>
          <w:p w14:paraId="15C9EA9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Geoffrey York</w:t>
            </w:r>
          </w:p>
        </w:tc>
        <w:tc>
          <w:tcPr>
            <w:tcW w:w="1530" w:type="dxa"/>
            <w:vAlign w:val="center"/>
          </w:tcPr>
          <w:p w14:paraId="7E3A9D77"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5 December 2011</w:t>
            </w:r>
          </w:p>
        </w:tc>
        <w:tc>
          <w:tcPr>
            <w:tcW w:w="1440" w:type="dxa"/>
            <w:vAlign w:val="center"/>
          </w:tcPr>
          <w:p w14:paraId="29B7E36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0E9C417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Two Inuit hunters attend Durban climate conference, hoping to prompt action despite stalled negotiation processes </w:t>
            </w:r>
          </w:p>
        </w:tc>
      </w:tr>
      <w:tr w:rsidR="000A51A2" w:rsidRPr="00AE7C77" w14:paraId="4D9BD840" w14:textId="77777777" w:rsidTr="003F3712">
        <w:trPr>
          <w:trHeight w:val="315"/>
        </w:trPr>
        <w:tc>
          <w:tcPr>
            <w:tcW w:w="0" w:type="auto"/>
            <w:vAlign w:val="center"/>
            <w:hideMark/>
          </w:tcPr>
          <w:p w14:paraId="287E5633"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Capturing carbon, unlocking wealth for Aborigines - EXCLUSIVE -</w:t>
            </w:r>
          </w:p>
        </w:tc>
        <w:tc>
          <w:tcPr>
            <w:tcW w:w="1410" w:type="dxa"/>
            <w:vAlign w:val="center"/>
          </w:tcPr>
          <w:p w14:paraId="11BDAA76"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Mark Schliebs, Patricia Karvelas</w:t>
            </w:r>
          </w:p>
        </w:tc>
        <w:tc>
          <w:tcPr>
            <w:tcW w:w="1530" w:type="dxa"/>
            <w:vAlign w:val="center"/>
          </w:tcPr>
          <w:p w14:paraId="344132B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13 July 2012</w:t>
            </w:r>
          </w:p>
        </w:tc>
        <w:tc>
          <w:tcPr>
            <w:tcW w:w="1440" w:type="dxa"/>
            <w:vAlign w:val="center"/>
          </w:tcPr>
          <w:p w14:paraId="4443FCC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Australian</w:t>
            </w:r>
          </w:p>
        </w:tc>
        <w:tc>
          <w:tcPr>
            <w:tcW w:w="2700" w:type="dxa"/>
            <w:vAlign w:val="center"/>
          </w:tcPr>
          <w:p w14:paraId="7F4678F9"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Profile of an indigenous-owned carbon farming initiatives with the potential to create jobs for indigenous communities </w:t>
            </w:r>
          </w:p>
        </w:tc>
      </w:tr>
      <w:tr w:rsidR="000A51A2" w:rsidRPr="00AE7C77" w14:paraId="2301B939" w14:textId="77777777" w:rsidTr="003F3712">
        <w:trPr>
          <w:trHeight w:val="315"/>
        </w:trPr>
        <w:tc>
          <w:tcPr>
            <w:tcW w:w="0" w:type="auto"/>
            <w:vAlign w:val="center"/>
            <w:hideMark/>
          </w:tcPr>
          <w:p w14:paraId="6EC3E963"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lastRenderedPageBreak/>
              <w:t>Iwi lose out in carbon crash</w:t>
            </w:r>
          </w:p>
        </w:tc>
        <w:tc>
          <w:tcPr>
            <w:tcW w:w="1410" w:type="dxa"/>
            <w:vAlign w:val="center"/>
          </w:tcPr>
          <w:p w14:paraId="6CDD688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Brian Fallow</w:t>
            </w:r>
          </w:p>
        </w:tc>
        <w:tc>
          <w:tcPr>
            <w:tcW w:w="1530" w:type="dxa"/>
            <w:vAlign w:val="center"/>
          </w:tcPr>
          <w:p w14:paraId="04FF32A6"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18 October 2012</w:t>
            </w:r>
          </w:p>
        </w:tc>
        <w:tc>
          <w:tcPr>
            <w:tcW w:w="1440" w:type="dxa"/>
            <w:vAlign w:val="center"/>
          </w:tcPr>
          <w:p w14:paraId="4D46C1A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New Zealand Herald</w:t>
            </w:r>
          </w:p>
        </w:tc>
        <w:tc>
          <w:tcPr>
            <w:tcW w:w="2700" w:type="dxa"/>
            <w:vAlign w:val="center"/>
          </w:tcPr>
          <w:p w14:paraId="2E80EC9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Crash in carbon prices due to cheap imported units disproportionately impacts Maori, opposition parties criticize weakness of ETS </w:t>
            </w:r>
          </w:p>
        </w:tc>
      </w:tr>
      <w:tr w:rsidR="000A51A2" w:rsidRPr="00AE7C77" w14:paraId="5D0F8CB1" w14:textId="77777777" w:rsidTr="003F3712">
        <w:trPr>
          <w:trHeight w:val="315"/>
        </w:trPr>
        <w:tc>
          <w:tcPr>
            <w:tcW w:w="0" w:type="auto"/>
            <w:vAlign w:val="center"/>
            <w:hideMark/>
          </w:tcPr>
          <w:p w14:paraId="142B7B0E"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Arctic peoples first to feel climate effects</w:t>
            </w:r>
          </w:p>
        </w:tc>
        <w:tc>
          <w:tcPr>
            <w:tcW w:w="1410" w:type="dxa"/>
            <w:vAlign w:val="center"/>
          </w:tcPr>
          <w:p w14:paraId="631C762A"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Jaime Morton</w:t>
            </w:r>
          </w:p>
        </w:tc>
        <w:tc>
          <w:tcPr>
            <w:tcW w:w="1530" w:type="dxa"/>
            <w:vAlign w:val="center"/>
          </w:tcPr>
          <w:p w14:paraId="55EE1E4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23 April 2013</w:t>
            </w:r>
          </w:p>
        </w:tc>
        <w:tc>
          <w:tcPr>
            <w:tcW w:w="1440" w:type="dxa"/>
            <w:vAlign w:val="center"/>
          </w:tcPr>
          <w:p w14:paraId="2B0D18C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New Zealand Herald</w:t>
            </w:r>
          </w:p>
        </w:tc>
        <w:tc>
          <w:tcPr>
            <w:tcW w:w="2700" w:type="dxa"/>
            <w:vAlign w:val="center"/>
          </w:tcPr>
          <w:p w14:paraId="307D96D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Geologist from NZ makes documentary interviewing climate scientists and the Sami people about climate change, aims to increase understanding of impacts</w:t>
            </w:r>
          </w:p>
        </w:tc>
      </w:tr>
      <w:tr w:rsidR="000A51A2" w:rsidRPr="00AE7C77" w14:paraId="53AAABEC" w14:textId="77777777" w:rsidTr="003F3712">
        <w:trPr>
          <w:trHeight w:val="315"/>
        </w:trPr>
        <w:tc>
          <w:tcPr>
            <w:tcW w:w="0" w:type="auto"/>
            <w:vAlign w:val="center"/>
            <w:hideMark/>
          </w:tcPr>
          <w:p w14:paraId="3895480E"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Leona Aglukkaq's personal Arctic stake; The Health Minister plans to use her direct knowledge to give Canada's Inuit a real say in...</w:t>
            </w:r>
          </w:p>
        </w:tc>
        <w:tc>
          <w:tcPr>
            <w:tcW w:w="1410" w:type="dxa"/>
            <w:vAlign w:val="center"/>
          </w:tcPr>
          <w:p w14:paraId="51FA0E3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Paul Koring</w:t>
            </w:r>
          </w:p>
        </w:tc>
        <w:tc>
          <w:tcPr>
            <w:tcW w:w="1530" w:type="dxa"/>
            <w:vAlign w:val="center"/>
          </w:tcPr>
          <w:p w14:paraId="00FF1DC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11 May 2013</w:t>
            </w:r>
          </w:p>
        </w:tc>
        <w:tc>
          <w:tcPr>
            <w:tcW w:w="1440" w:type="dxa"/>
            <w:vAlign w:val="center"/>
          </w:tcPr>
          <w:p w14:paraId="5625588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71C2A7C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Health Minister Leona Aglukkaq discusses her role within the federal government, argues that resource extraction should expand to the Arctic, argues for greater collaboration with indigenous communities </w:t>
            </w:r>
          </w:p>
        </w:tc>
      </w:tr>
      <w:tr w:rsidR="000A51A2" w:rsidRPr="00AE7C77" w14:paraId="63998F71" w14:textId="77777777" w:rsidTr="003F3712">
        <w:trPr>
          <w:trHeight w:val="315"/>
        </w:trPr>
        <w:tc>
          <w:tcPr>
            <w:tcW w:w="0" w:type="auto"/>
            <w:vAlign w:val="center"/>
            <w:hideMark/>
          </w:tcPr>
          <w:p w14:paraId="55924CAF"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Indigenous connect</w:t>
            </w:r>
          </w:p>
        </w:tc>
        <w:tc>
          <w:tcPr>
            <w:tcW w:w="1410" w:type="dxa"/>
            <w:vAlign w:val="center"/>
          </w:tcPr>
          <w:p w14:paraId="6894A825"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Rick Feneley</w:t>
            </w:r>
          </w:p>
        </w:tc>
        <w:tc>
          <w:tcPr>
            <w:tcW w:w="1530" w:type="dxa"/>
            <w:vAlign w:val="center"/>
          </w:tcPr>
          <w:p w14:paraId="2A0373BA"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27 May 2013</w:t>
            </w:r>
          </w:p>
        </w:tc>
        <w:tc>
          <w:tcPr>
            <w:tcW w:w="1440" w:type="dxa"/>
            <w:vAlign w:val="center"/>
          </w:tcPr>
          <w:p w14:paraId="617B69B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Age</w:t>
            </w:r>
          </w:p>
        </w:tc>
        <w:tc>
          <w:tcPr>
            <w:tcW w:w="2700" w:type="dxa"/>
            <w:vAlign w:val="center"/>
          </w:tcPr>
          <w:p w14:paraId="5693150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Coverage of World Indigenous Network Conference, where indigenous delegates from across the globe connect to discuss environmental opportunities and challenges</w:t>
            </w:r>
          </w:p>
        </w:tc>
      </w:tr>
      <w:tr w:rsidR="000A51A2" w:rsidRPr="00AE7C77" w14:paraId="769C21B7" w14:textId="77777777" w:rsidTr="003F3712">
        <w:trPr>
          <w:trHeight w:val="315"/>
        </w:trPr>
        <w:tc>
          <w:tcPr>
            <w:tcW w:w="0" w:type="auto"/>
            <w:vAlign w:val="center"/>
            <w:hideMark/>
          </w:tcPr>
          <w:p w14:paraId="1520D837"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Future of an Industry and a Tribe Hinges on a Coal Export Battle</w:t>
            </w:r>
          </w:p>
        </w:tc>
        <w:tc>
          <w:tcPr>
            <w:tcW w:w="1410" w:type="dxa"/>
            <w:vAlign w:val="center"/>
          </w:tcPr>
          <w:p w14:paraId="28137A9E"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Clifford Krauss</w:t>
            </w:r>
          </w:p>
        </w:tc>
        <w:tc>
          <w:tcPr>
            <w:tcW w:w="1530" w:type="dxa"/>
            <w:vAlign w:val="center"/>
          </w:tcPr>
          <w:p w14:paraId="0E53C19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15 June 2013</w:t>
            </w:r>
          </w:p>
        </w:tc>
        <w:tc>
          <w:tcPr>
            <w:tcW w:w="1440" w:type="dxa"/>
            <w:vAlign w:val="center"/>
          </w:tcPr>
          <w:p w14:paraId="3E3573B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New York Times</w:t>
            </w:r>
          </w:p>
        </w:tc>
        <w:tc>
          <w:tcPr>
            <w:tcW w:w="2700" w:type="dxa"/>
            <w:vAlign w:val="center"/>
          </w:tcPr>
          <w:p w14:paraId="23A4715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The Crow Nation is attempting to address impoverishment by exporting their enormous coal reserves. However, this requires construction of new export terminals, which are fiercely opposed by environmental groups and other indigenous communities. </w:t>
            </w:r>
          </w:p>
        </w:tc>
      </w:tr>
      <w:tr w:rsidR="000A51A2" w:rsidRPr="00AE7C77" w14:paraId="6E47E461" w14:textId="77777777" w:rsidTr="003F3712">
        <w:trPr>
          <w:trHeight w:val="315"/>
        </w:trPr>
        <w:tc>
          <w:tcPr>
            <w:tcW w:w="0" w:type="auto"/>
            <w:vAlign w:val="center"/>
            <w:hideMark/>
          </w:tcPr>
          <w:p w14:paraId="5EC65BE5"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Global warming blessing and curse for road to tuk; Forging a future</w:t>
            </w:r>
          </w:p>
        </w:tc>
        <w:tc>
          <w:tcPr>
            <w:tcW w:w="1410" w:type="dxa"/>
            <w:vAlign w:val="center"/>
          </w:tcPr>
          <w:p w14:paraId="7AC0481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Jeff Lewis</w:t>
            </w:r>
          </w:p>
        </w:tc>
        <w:tc>
          <w:tcPr>
            <w:tcW w:w="1530" w:type="dxa"/>
            <w:vAlign w:val="center"/>
          </w:tcPr>
          <w:p w14:paraId="3D9B7E4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10 September 2013</w:t>
            </w:r>
          </w:p>
        </w:tc>
        <w:tc>
          <w:tcPr>
            <w:tcW w:w="1440" w:type="dxa"/>
            <w:vAlign w:val="center"/>
          </w:tcPr>
          <w:p w14:paraId="1147C8C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National Post</w:t>
            </w:r>
          </w:p>
        </w:tc>
        <w:tc>
          <w:tcPr>
            <w:tcW w:w="2700" w:type="dxa"/>
            <w:vAlign w:val="center"/>
          </w:tcPr>
          <w:p w14:paraId="09ED439F"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Road-building project between Inuvik and Tuktoyaktuk could be transformative as climate change eases access to </w:t>
            </w:r>
            <w:r w:rsidRPr="00AE7C77">
              <w:rPr>
                <w:rFonts w:asciiTheme="majorBidi" w:eastAsia="Times New Roman" w:hAnsiTheme="majorBidi" w:cstheme="majorBidi"/>
                <w:color w:val="auto"/>
              </w:rPr>
              <w:lastRenderedPageBreak/>
              <w:t>natural resources, but permafrost melt may hinder construction</w:t>
            </w:r>
          </w:p>
        </w:tc>
      </w:tr>
      <w:tr w:rsidR="000A51A2" w:rsidRPr="00AE7C77" w14:paraId="53BFD8DE" w14:textId="77777777" w:rsidTr="003F3712">
        <w:trPr>
          <w:trHeight w:val="315"/>
        </w:trPr>
        <w:tc>
          <w:tcPr>
            <w:tcW w:w="0" w:type="auto"/>
            <w:vAlign w:val="center"/>
            <w:hideMark/>
          </w:tcPr>
          <w:p w14:paraId="5711513A"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lastRenderedPageBreak/>
              <w:t>THE ROAD AHEAD; Jeffrey Jones explores the $300-million highway from Inuvik to Tuktoyaktuk and discovers the project's potential to reshape...</w:t>
            </w:r>
          </w:p>
        </w:tc>
        <w:tc>
          <w:tcPr>
            <w:tcW w:w="1410" w:type="dxa"/>
            <w:vAlign w:val="center"/>
          </w:tcPr>
          <w:p w14:paraId="4E65FEC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Jeffrey Jones</w:t>
            </w:r>
          </w:p>
        </w:tc>
        <w:tc>
          <w:tcPr>
            <w:tcW w:w="1530" w:type="dxa"/>
            <w:vAlign w:val="center"/>
          </w:tcPr>
          <w:p w14:paraId="39ECEB6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18 January 2014</w:t>
            </w:r>
          </w:p>
        </w:tc>
        <w:tc>
          <w:tcPr>
            <w:tcW w:w="1440" w:type="dxa"/>
            <w:vAlign w:val="center"/>
          </w:tcPr>
          <w:p w14:paraId="511045C1"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7850EDC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Road-building project between Inuvik and Tuktoyaktuk could be transformative as climate change eases access to natural resources, but permafrost melt may hinder construction</w:t>
            </w:r>
          </w:p>
        </w:tc>
      </w:tr>
      <w:tr w:rsidR="000A51A2" w:rsidRPr="00AE7C77" w14:paraId="2D6E4041" w14:textId="77777777" w:rsidTr="003F3712">
        <w:trPr>
          <w:trHeight w:val="315"/>
        </w:trPr>
        <w:tc>
          <w:tcPr>
            <w:tcW w:w="0" w:type="auto"/>
            <w:vAlign w:val="center"/>
            <w:hideMark/>
          </w:tcPr>
          <w:p w14:paraId="01EF9F2F"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Iwi plan million-hectare forest planting</w:t>
            </w:r>
          </w:p>
        </w:tc>
        <w:tc>
          <w:tcPr>
            <w:tcW w:w="1410" w:type="dxa"/>
            <w:vAlign w:val="center"/>
          </w:tcPr>
          <w:p w14:paraId="60BA7C1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Isaac Davidson, Claire Trevett</w:t>
            </w:r>
          </w:p>
        </w:tc>
        <w:tc>
          <w:tcPr>
            <w:tcW w:w="1530" w:type="dxa"/>
            <w:vAlign w:val="center"/>
          </w:tcPr>
          <w:p w14:paraId="6D36F956"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10 February 2015</w:t>
            </w:r>
          </w:p>
        </w:tc>
        <w:tc>
          <w:tcPr>
            <w:tcW w:w="1440" w:type="dxa"/>
            <w:vAlign w:val="center"/>
          </w:tcPr>
          <w:p w14:paraId="71084290"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New Zealand Herald</w:t>
            </w:r>
          </w:p>
        </w:tc>
        <w:tc>
          <w:tcPr>
            <w:tcW w:w="2700" w:type="dxa"/>
            <w:vAlign w:val="center"/>
          </w:tcPr>
          <w:p w14:paraId="64EE84EC"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Iwi leaders propose planting a million hectares of forest in exchange for championing of Maori interests in any international climate change deal, greater emission reduction targets</w:t>
            </w:r>
          </w:p>
        </w:tc>
      </w:tr>
      <w:tr w:rsidR="000A51A2" w:rsidRPr="00AE7C77" w14:paraId="1C073470" w14:textId="77777777" w:rsidTr="003F3712">
        <w:trPr>
          <w:trHeight w:val="315"/>
        </w:trPr>
        <w:tc>
          <w:tcPr>
            <w:tcW w:w="0" w:type="auto"/>
            <w:vAlign w:val="center"/>
            <w:hideMark/>
          </w:tcPr>
          <w:p w14:paraId="79A3D461"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On Parched Navajo Reservation, 'Water Lady' Brings Liquid Gold</w:t>
            </w:r>
          </w:p>
        </w:tc>
        <w:tc>
          <w:tcPr>
            <w:tcW w:w="1410" w:type="dxa"/>
            <w:vAlign w:val="center"/>
          </w:tcPr>
          <w:p w14:paraId="1D17741E"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Fernanda Santos</w:t>
            </w:r>
          </w:p>
        </w:tc>
        <w:tc>
          <w:tcPr>
            <w:tcW w:w="1530" w:type="dxa"/>
            <w:vAlign w:val="center"/>
          </w:tcPr>
          <w:p w14:paraId="27CE658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14 July 2015</w:t>
            </w:r>
          </w:p>
        </w:tc>
        <w:tc>
          <w:tcPr>
            <w:tcW w:w="1440" w:type="dxa"/>
            <w:vAlign w:val="center"/>
          </w:tcPr>
          <w:p w14:paraId="3419186D"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New York Times</w:t>
            </w:r>
          </w:p>
        </w:tc>
        <w:tc>
          <w:tcPr>
            <w:tcW w:w="2700" w:type="dxa"/>
            <w:vAlign w:val="center"/>
          </w:tcPr>
          <w:p w14:paraId="41CACC2A"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Responding to drought exacerbated by climate change, one Navajo woman supplies water to those facing extreme water scarcity in her community </w:t>
            </w:r>
          </w:p>
        </w:tc>
      </w:tr>
      <w:tr w:rsidR="000A51A2" w:rsidRPr="00AE7C77" w14:paraId="38FD437A" w14:textId="77777777" w:rsidTr="003F3712">
        <w:trPr>
          <w:trHeight w:val="315"/>
        </w:trPr>
        <w:tc>
          <w:tcPr>
            <w:tcW w:w="0" w:type="auto"/>
            <w:vAlign w:val="center"/>
            <w:hideMark/>
          </w:tcPr>
          <w:p w14:paraId="5B73639C"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Climate change tops the agenda of indigenous visits</w:t>
            </w:r>
          </w:p>
        </w:tc>
        <w:tc>
          <w:tcPr>
            <w:tcW w:w="1410" w:type="dxa"/>
            <w:vAlign w:val="center"/>
          </w:tcPr>
          <w:p w14:paraId="74C136FA"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Michael McKenna</w:t>
            </w:r>
          </w:p>
        </w:tc>
        <w:tc>
          <w:tcPr>
            <w:tcW w:w="1530" w:type="dxa"/>
            <w:vAlign w:val="center"/>
          </w:tcPr>
          <w:p w14:paraId="336716D2"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22 August 2015</w:t>
            </w:r>
          </w:p>
        </w:tc>
        <w:tc>
          <w:tcPr>
            <w:tcW w:w="1440" w:type="dxa"/>
            <w:vAlign w:val="center"/>
          </w:tcPr>
          <w:p w14:paraId="14E355D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Australian</w:t>
            </w:r>
          </w:p>
        </w:tc>
        <w:tc>
          <w:tcPr>
            <w:tcW w:w="2700" w:type="dxa"/>
            <w:vAlign w:val="center"/>
          </w:tcPr>
          <w:p w14:paraId="706049D4"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Torres Strait Island leaders confront the federal government about the disastrous impacts of climate change on the low-lying islands and government inaction</w:t>
            </w:r>
          </w:p>
        </w:tc>
      </w:tr>
      <w:tr w:rsidR="000A51A2" w:rsidRPr="00AE7C77" w14:paraId="3B0F7CB8" w14:textId="77777777" w:rsidTr="003F3712">
        <w:trPr>
          <w:trHeight w:val="315"/>
        </w:trPr>
        <w:tc>
          <w:tcPr>
            <w:tcW w:w="0" w:type="auto"/>
            <w:vAlign w:val="center"/>
            <w:hideMark/>
          </w:tcPr>
          <w:p w14:paraId="671263BA"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First Nations chief lauds powers in climate plan</w:t>
            </w:r>
          </w:p>
        </w:tc>
        <w:tc>
          <w:tcPr>
            <w:tcW w:w="1410" w:type="dxa"/>
            <w:vAlign w:val="center"/>
          </w:tcPr>
          <w:p w14:paraId="4788D08E"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Bob Weber</w:t>
            </w:r>
          </w:p>
        </w:tc>
        <w:tc>
          <w:tcPr>
            <w:tcW w:w="1530" w:type="dxa"/>
            <w:vAlign w:val="center"/>
          </w:tcPr>
          <w:p w14:paraId="66B5A655"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28 November 2015</w:t>
            </w:r>
          </w:p>
        </w:tc>
        <w:tc>
          <w:tcPr>
            <w:tcW w:w="1440" w:type="dxa"/>
            <w:vAlign w:val="center"/>
          </w:tcPr>
          <w:p w14:paraId="61BB076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5F181CA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Greater provisions for consultation of and collaboration with First Nations included in new Alberta climate-change policy</w:t>
            </w:r>
          </w:p>
        </w:tc>
      </w:tr>
      <w:tr w:rsidR="000A51A2" w:rsidRPr="00AE7C77" w14:paraId="718B7889" w14:textId="77777777" w:rsidTr="003F3712">
        <w:trPr>
          <w:trHeight w:val="315"/>
        </w:trPr>
        <w:tc>
          <w:tcPr>
            <w:tcW w:w="0" w:type="auto"/>
            <w:vAlign w:val="center"/>
            <w:hideMark/>
          </w:tcPr>
          <w:p w14:paraId="5C308113" w14:textId="77777777" w:rsidR="000A51A2" w:rsidRPr="00AE7C77" w:rsidRDefault="000A51A2" w:rsidP="003F3712">
            <w:pPr>
              <w:rPr>
                <w:rFonts w:asciiTheme="majorBidi" w:eastAsia="Times New Roman" w:hAnsiTheme="majorBidi" w:cstheme="majorBidi"/>
                <w:color w:val="auto"/>
              </w:rPr>
            </w:pPr>
            <w:r w:rsidRPr="00AE7C77">
              <w:rPr>
                <w:rFonts w:asciiTheme="majorBidi" w:eastAsia="Times New Roman" w:hAnsiTheme="majorBidi" w:cstheme="majorBidi"/>
                <w:color w:val="auto"/>
              </w:rPr>
              <w:t>Climate change threatens traditional Inuit food supply</w:t>
            </w:r>
          </w:p>
        </w:tc>
        <w:tc>
          <w:tcPr>
            <w:tcW w:w="1410" w:type="dxa"/>
            <w:vAlign w:val="center"/>
          </w:tcPr>
          <w:p w14:paraId="4BD494C3"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Dan Joling</w:t>
            </w:r>
          </w:p>
        </w:tc>
        <w:tc>
          <w:tcPr>
            <w:tcW w:w="1530" w:type="dxa"/>
            <w:vAlign w:val="center"/>
          </w:tcPr>
          <w:p w14:paraId="355BD508"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30 December 2015</w:t>
            </w:r>
          </w:p>
        </w:tc>
        <w:tc>
          <w:tcPr>
            <w:tcW w:w="1440" w:type="dxa"/>
            <w:vAlign w:val="center"/>
          </w:tcPr>
          <w:p w14:paraId="1F0865BB"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hAnsiTheme="majorBidi" w:cstheme="majorBidi"/>
              </w:rPr>
              <w:t>The Globe and Mail</w:t>
            </w:r>
          </w:p>
        </w:tc>
        <w:tc>
          <w:tcPr>
            <w:tcW w:w="2700" w:type="dxa"/>
            <w:vAlign w:val="center"/>
          </w:tcPr>
          <w:p w14:paraId="203377E6" w14:textId="77777777" w:rsidR="000A51A2" w:rsidRPr="00AE7C77" w:rsidRDefault="000A51A2" w:rsidP="003F3712">
            <w:pPr>
              <w:jc w:val="center"/>
              <w:rPr>
                <w:rFonts w:asciiTheme="majorBidi" w:eastAsia="Times New Roman" w:hAnsiTheme="majorBidi" w:cstheme="majorBidi"/>
                <w:color w:val="auto"/>
              </w:rPr>
            </w:pPr>
            <w:r w:rsidRPr="00AE7C77">
              <w:rPr>
                <w:rFonts w:asciiTheme="majorBidi" w:eastAsia="Times New Roman" w:hAnsiTheme="majorBidi" w:cstheme="majorBidi"/>
                <w:color w:val="auto"/>
              </w:rPr>
              <w:t xml:space="preserve">Release of report by Inuit Circumpolar Council calls for policies to protect traditional Inuit food and the Arctic environment, cites health and cultural </w:t>
            </w:r>
            <w:r w:rsidRPr="00AE7C77">
              <w:rPr>
                <w:rFonts w:asciiTheme="majorBidi" w:eastAsia="Times New Roman" w:hAnsiTheme="majorBidi" w:cstheme="majorBidi"/>
                <w:color w:val="auto"/>
              </w:rPr>
              <w:lastRenderedPageBreak/>
              <w:t>impacts of environmental degradation</w:t>
            </w:r>
          </w:p>
        </w:tc>
      </w:tr>
    </w:tbl>
    <w:p w14:paraId="01A3F5D5" w14:textId="77777777" w:rsidR="00885FBB" w:rsidRPr="00AE7C77" w:rsidRDefault="00885FBB" w:rsidP="00885FBB">
      <w:pPr>
        <w:rPr>
          <w:rFonts w:asciiTheme="majorBidi" w:hAnsiTheme="majorBidi" w:cstheme="majorBidi"/>
          <w:b/>
          <w:bCs/>
        </w:rPr>
      </w:pPr>
    </w:p>
    <w:p w14:paraId="7A8B4B9C" w14:textId="4AA39BFC" w:rsidR="00885FBB" w:rsidRPr="00AE7C77" w:rsidRDefault="00885FBB" w:rsidP="00885FBB">
      <w:pPr>
        <w:rPr>
          <w:rFonts w:asciiTheme="majorBidi" w:hAnsiTheme="majorBidi" w:cstheme="majorBidi"/>
          <w:b/>
          <w:bCs/>
        </w:rPr>
      </w:pPr>
      <w:r w:rsidRPr="00AE7C77">
        <w:rPr>
          <w:rFonts w:asciiTheme="majorBidi" w:hAnsiTheme="majorBidi" w:cstheme="majorBidi"/>
          <w:b/>
          <w:bCs/>
        </w:rPr>
        <w:t>Table S4: Prevalence of Actor Types</w:t>
      </w:r>
    </w:p>
    <w:tbl>
      <w:tblPr>
        <w:tblpPr w:leftFromText="144" w:rightFromText="144" w:vertAnchor="text" w:horzAnchor="margin" w:tblpY="191"/>
        <w:tblOverlap w:val="never"/>
        <w:tblW w:w="6112" w:type="dxa"/>
        <w:tblCellMar>
          <w:top w:w="15" w:type="dxa"/>
          <w:left w:w="15" w:type="dxa"/>
          <w:bottom w:w="15" w:type="dxa"/>
          <w:right w:w="15" w:type="dxa"/>
        </w:tblCellMar>
        <w:tblLook w:val="04A0" w:firstRow="1" w:lastRow="0" w:firstColumn="1" w:lastColumn="0" w:noHBand="0" w:noVBand="1"/>
      </w:tblPr>
      <w:tblGrid>
        <w:gridCol w:w="3278"/>
        <w:gridCol w:w="1189"/>
        <w:gridCol w:w="1645"/>
      </w:tblGrid>
      <w:tr w:rsidR="00885FBB" w:rsidRPr="00AE7C77" w14:paraId="5D5A090A" w14:textId="77777777" w:rsidTr="009F1F10">
        <w:trPr>
          <w:trHeight w:val="150"/>
        </w:trPr>
        <w:tc>
          <w:tcPr>
            <w:tcW w:w="6112" w:type="dxa"/>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E08BA5" w14:textId="77777777" w:rsidR="00885FBB" w:rsidRPr="00AE7C77" w:rsidRDefault="00885FBB" w:rsidP="009F1F10">
            <w:pPr>
              <w:spacing w:line="240" w:lineRule="auto"/>
              <w:jc w:val="center"/>
              <w:rPr>
                <w:rFonts w:asciiTheme="majorBidi" w:eastAsia="Times New Roman" w:hAnsiTheme="majorBidi" w:cstheme="majorBidi"/>
                <w:color w:val="auto"/>
              </w:rPr>
            </w:pPr>
            <w:r w:rsidRPr="00AE7C77">
              <w:rPr>
                <w:rFonts w:asciiTheme="majorBidi" w:eastAsia="Times New Roman" w:hAnsiTheme="majorBidi" w:cstheme="majorBidi"/>
              </w:rPr>
              <w:t>Prevalence of Actor Types</w:t>
            </w:r>
          </w:p>
        </w:tc>
      </w:tr>
      <w:tr w:rsidR="00885FBB" w:rsidRPr="00AE7C77" w14:paraId="33BEBE03" w14:textId="77777777" w:rsidTr="009F1F10">
        <w:tc>
          <w:tcPr>
            <w:tcW w:w="32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219A524"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Type</w:t>
            </w:r>
          </w:p>
        </w:tc>
        <w:tc>
          <w:tcPr>
            <w:tcW w:w="11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E12E1F"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Indigenous</w:t>
            </w:r>
          </w:p>
        </w:tc>
        <w:tc>
          <w:tcPr>
            <w:tcW w:w="1645" w:type="dxa"/>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35B31F26"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Non-Indigenous</w:t>
            </w:r>
          </w:p>
        </w:tc>
      </w:tr>
      <w:tr w:rsidR="00885FBB" w:rsidRPr="00AE7C77" w14:paraId="03E4A27E" w14:textId="77777777" w:rsidTr="009F1F10">
        <w:tc>
          <w:tcPr>
            <w:tcW w:w="32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78C3E53"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General population</w:t>
            </w:r>
          </w:p>
        </w:tc>
        <w:tc>
          <w:tcPr>
            <w:tcW w:w="11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A3FC9B3"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12</w:t>
            </w:r>
          </w:p>
        </w:tc>
        <w:tc>
          <w:tcPr>
            <w:tcW w:w="1645" w:type="dxa"/>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1C299FD0"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8</w:t>
            </w:r>
          </w:p>
        </w:tc>
      </w:tr>
      <w:tr w:rsidR="00885FBB" w:rsidRPr="00AE7C77" w14:paraId="29368AF3" w14:textId="77777777" w:rsidTr="009F1F10">
        <w:tc>
          <w:tcPr>
            <w:tcW w:w="32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3A6A87"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Politician / government official</w:t>
            </w:r>
          </w:p>
        </w:tc>
        <w:tc>
          <w:tcPr>
            <w:tcW w:w="11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D15A411"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67</w:t>
            </w:r>
          </w:p>
        </w:tc>
        <w:tc>
          <w:tcPr>
            <w:tcW w:w="1645" w:type="dxa"/>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22441717"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80</w:t>
            </w:r>
          </w:p>
        </w:tc>
      </w:tr>
      <w:tr w:rsidR="00885FBB" w:rsidRPr="00AE7C77" w14:paraId="2F9AC268" w14:textId="77777777" w:rsidTr="009F1F10">
        <w:tc>
          <w:tcPr>
            <w:tcW w:w="32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C7D4B98"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Researcher / academic</w:t>
            </w:r>
          </w:p>
        </w:tc>
        <w:tc>
          <w:tcPr>
            <w:tcW w:w="11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DC9CC5A"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3</w:t>
            </w:r>
          </w:p>
        </w:tc>
        <w:tc>
          <w:tcPr>
            <w:tcW w:w="1645" w:type="dxa"/>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21B17323"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28</w:t>
            </w:r>
          </w:p>
        </w:tc>
      </w:tr>
      <w:tr w:rsidR="00885FBB" w:rsidRPr="00AE7C77" w14:paraId="440FB117" w14:textId="77777777" w:rsidTr="009F1F10">
        <w:tc>
          <w:tcPr>
            <w:tcW w:w="32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F20EE90"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Activist</w:t>
            </w:r>
          </w:p>
        </w:tc>
        <w:tc>
          <w:tcPr>
            <w:tcW w:w="11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D6D01E7"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19</w:t>
            </w:r>
          </w:p>
        </w:tc>
        <w:tc>
          <w:tcPr>
            <w:tcW w:w="1645" w:type="dxa"/>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29EEAA80"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16</w:t>
            </w:r>
          </w:p>
        </w:tc>
      </w:tr>
      <w:tr w:rsidR="00885FBB" w:rsidRPr="00AE7C77" w14:paraId="7045FD72" w14:textId="77777777" w:rsidTr="009F1F10">
        <w:tc>
          <w:tcPr>
            <w:tcW w:w="32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90988DD"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Industry</w:t>
            </w:r>
          </w:p>
        </w:tc>
        <w:tc>
          <w:tcPr>
            <w:tcW w:w="11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DD44107"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10</w:t>
            </w:r>
          </w:p>
        </w:tc>
        <w:tc>
          <w:tcPr>
            <w:tcW w:w="1645" w:type="dxa"/>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02CF92F9"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14</w:t>
            </w:r>
          </w:p>
        </w:tc>
      </w:tr>
      <w:tr w:rsidR="00885FBB" w:rsidRPr="00AE7C77" w14:paraId="10FF28F8" w14:textId="77777777" w:rsidTr="009F1F10">
        <w:tc>
          <w:tcPr>
            <w:tcW w:w="32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818F7F3"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Artist</w:t>
            </w:r>
          </w:p>
        </w:tc>
        <w:tc>
          <w:tcPr>
            <w:tcW w:w="11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0ED07AA"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4</w:t>
            </w:r>
          </w:p>
        </w:tc>
        <w:tc>
          <w:tcPr>
            <w:tcW w:w="1645" w:type="dxa"/>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204BA4D4"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w:t>
            </w:r>
          </w:p>
        </w:tc>
      </w:tr>
      <w:tr w:rsidR="00885FBB" w:rsidRPr="00AE7C77" w14:paraId="4E55FAF2" w14:textId="77777777" w:rsidTr="009F1F10">
        <w:tc>
          <w:tcPr>
            <w:tcW w:w="32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D369CE"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Elder</w:t>
            </w:r>
          </w:p>
        </w:tc>
        <w:tc>
          <w:tcPr>
            <w:tcW w:w="11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8ECC67"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20</w:t>
            </w:r>
          </w:p>
        </w:tc>
        <w:tc>
          <w:tcPr>
            <w:tcW w:w="1645" w:type="dxa"/>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25447555"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N/A</w:t>
            </w:r>
          </w:p>
        </w:tc>
      </w:tr>
      <w:tr w:rsidR="00885FBB" w:rsidRPr="00AE7C77" w14:paraId="59E5A639" w14:textId="77777777" w:rsidTr="009F1F10">
        <w:tc>
          <w:tcPr>
            <w:tcW w:w="32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88F12D"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Hunter</w:t>
            </w:r>
          </w:p>
        </w:tc>
        <w:tc>
          <w:tcPr>
            <w:tcW w:w="11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7992E54"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15</w:t>
            </w:r>
          </w:p>
        </w:tc>
        <w:tc>
          <w:tcPr>
            <w:tcW w:w="1645" w:type="dxa"/>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5A932455"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N/A</w:t>
            </w:r>
          </w:p>
        </w:tc>
      </w:tr>
      <w:tr w:rsidR="00885FBB" w:rsidRPr="00AE7C77" w14:paraId="51D23CC7" w14:textId="77777777" w:rsidTr="009F1F10">
        <w:tc>
          <w:tcPr>
            <w:tcW w:w="32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26AE46"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Children / youth</w:t>
            </w:r>
          </w:p>
        </w:tc>
        <w:tc>
          <w:tcPr>
            <w:tcW w:w="11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8F89DE8"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3</w:t>
            </w:r>
          </w:p>
        </w:tc>
        <w:tc>
          <w:tcPr>
            <w:tcW w:w="1645" w:type="dxa"/>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14CE8508"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N/A</w:t>
            </w:r>
          </w:p>
        </w:tc>
      </w:tr>
      <w:tr w:rsidR="00885FBB" w:rsidRPr="00AE7C77" w14:paraId="2BB88646" w14:textId="77777777" w:rsidTr="009F1F10">
        <w:trPr>
          <w:trHeight w:val="282"/>
        </w:trPr>
        <w:tc>
          <w:tcPr>
            <w:tcW w:w="327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7272F7"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Other</w:t>
            </w:r>
          </w:p>
        </w:tc>
        <w:tc>
          <w:tcPr>
            <w:tcW w:w="1189"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6B12AF3"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7</w:t>
            </w:r>
          </w:p>
        </w:tc>
        <w:tc>
          <w:tcPr>
            <w:tcW w:w="1645" w:type="dxa"/>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55C96F1D" w14:textId="77777777" w:rsidR="00885FBB" w:rsidRPr="00AE7C77" w:rsidRDefault="00885FBB"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8 (4 celebrities)</w:t>
            </w:r>
          </w:p>
        </w:tc>
      </w:tr>
    </w:tbl>
    <w:p w14:paraId="610403FE" w14:textId="77777777" w:rsidR="00885FBB" w:rsidRPr="00AE7C77" w:rsidRDefault="00885FBB" w:rsidP="00885FBB">
      <w:pPr>
        <w:rPr>
          <w:rFonts w:asciiTheme="majorBidi" w:hAnsiTheme="majorBidi" w:cstheme="majorBidi"/>
          <w:b/>
          <w:bCs/>
        </w:rPr>
      </w:pPr>
    </w:p>
    <w:p w14:paraId="721A1BEF" w14:textId="77777777" w:rsidR="00885FBB" w:rsidRPr="00AE7C77" w:rsidRDefault="00885FBB" w:rsidP="00885FBB">
      <w:pPr>
        <w:rPr>
          <w:rFonts w:asciiTheme="majorBidi" w:hAnsiTheme="majorBidi" w:cstheme="majorBidi"/>
          <w:b/>
          <w:bCs/>
        </w:rPr>
      </w:pPr>
    </w:p>
    <w:p w14:paraId="6EAE98E8" w14:textId="77777777" w:rsidR="00885FBB" w:rsidRPr="00AE7C77" w:rsidRDefault="00885FBB" w:rsidP="00885FBB">
      <w:pPr>
        <w:rPr>
          <w:rFonts w:asciiTheme="majorBidi" w:hAnsiTheme="majorBidi" w:cstheme="majorBidi"/>
          <w:b/>
          <w:bCs/>
        </w:rPr>
      </w:pPr>
    </w:p>
    <w:p w14:paraId="3B2CEA80" w14:textId="77777777" w:rsidR="00885FBB" w:rsidRPr="00AE7C77" w:rsidRDefault="00885FBB" w:rsidP="00885FBB">
      <w:pPr>
        <w:rPr>
          <w:rFonts w:asciiTheme="majorBidi" w:hAnsiTheme="majorBidi" w:cstheme="majorBidi"/>
          <w:b/>
          <w:bCs/>
        </w:rPr>
      </w:pPr>
    </w:p>
    <w:p w14:paraId="452D11D5" w14:textId="77777777" w:rsidR="00885FBB" w:rsidRPr="00AE7C77" w:rsidRDefault="00885FBB" w:rsidP="00885FBB">
      <w:pPr>
        <w:rPr>
          <w:rFonts w:asciiTheme="majorBidi" w:hAnsiTheme="majorBidi" w:cstheme="majorBidi"/>
          <w:b/>
          <w:bCs/>
        </w:rPr>
      </w:pPr>
    </w:p>
    <w:p w14:paraId="6D11F058" w14:textId="77777777" w:rsidR="00885FBB" w:rsidRPr="00AE7C77" w:rsidRDefault="00885FBB" w:rsidP="00885FBB">
      <w:pPr>
        <w:rPr>
          <w:rFonts w:asciiTheme="majorBidi" w:hAnsiTheme="majorBidi" w:cstheme="majorBidi"/>
          <w:b/>
          <w:bCs/>
        </w:rPr>
      </w:pPr>
    </w:p>
    <w:p w14:paraId="643E433F" w14:textId="77777777" w:rsidR="00885FBB" w:rsidRPr="00AE7C77" w:rsidRDefault="00885FBB" w:rsidP="00885FBB">
      <w:pPr>
        <w:rPr>
          <w:rFonts w:asciiTheme="majorBidi" w:hAnsiTheme="majorBidi" w:cstheme="majorBidi"/>
          <w:b/>
          <w:bCs/>
        </w:rPr>
      </w:pPr>
    </w:p>
    <w:p w14:paraId="43A6BBA7" w14:textId="77777777" w:rsidR="00885FBB" w:rsidRPr="00AE7C77" w:rsidRDefault="00885FBB" w:rsidP="00885FBB">
      <w:pPr>
        <w:rPr>
          <w:rFonts w:asciiTheme="majorBidi" w:hAnsiTheme="majorBidi" w:cstheme="majorBidi"/>
          <w:b/>
          <w:bCs/>
        </w:rPr>
      </w:pPr>
    </w:p>
    <w:p w14:paraId="6E79C17E" w14:textId="77777777" w:rsidR="00885FBB" w:rsidRPr="00AE7C77" w:rsidRDefault="00885FBB" w:rsidP="00885FBB">
      <w:pPr>
        <w:rPr>
          <w:rFonts w:asciiTheme="majorBidi" w:hAnsiTheme="majorBidi" w:cstheme="majorBidi"/>
          <w:b/>
          <w:bCs/>
        </w:rPr>
      </w:pPr>
    </w:p>
    <w:p w14:paraId="5000F815" w14:textId="77777777" w:rsidR="00885FBB" w:rsidRPr="00AE7C77" w:rsidRDefault="00885FBB" w:rsidP="00885FBB">
      <w:pPr>
        <w:rPr>
          <w:rFonts w:asciiTheme="majorBidi" w:hAnsiTheme="majorBidi" w:cstheme="majorBidi"/>
          <w:b/>
          <w:bCs/>
        </w:rPr>
      </w:pPr>
    </w:p>
    <w:p w14:paraId="503A1A77" w14:textId="77777777" w:rsidR="00885FBB" w:rsidRPr="00AE7C77" w:rsidRDefault="00885FBB" w:rsidP="00885FBB">
      <w:pPr>
        <w:rPr>
          <w:rFonts w:asciiTheme="majorBidi" w:hAnsiTheme="majorBidi" w:cstheme="majorBidi"/>
          <w:b/>
          <w:bCs/>
        </w:rPr>
      </w:pPr>
    </w:p>
    <w:p w14:paraId="60162317" w14:textId="77777777" w:rsidR="00885FBB" w:rsidRPr="00AE7C77" w:rsidRDefault="00885FBB" w:rsidP="00885FBB">
      <w:pPr>
        <w:rPr>
          <w:rFonts w:asciiTheme="majorBidi" w:hAnsiTheme="majorBidi" w:cstheme="majorBidi"/>
          <w:b/>
          <w:bCs/>
        </w:rPr>
      </w:pPr>
    </w:p>
    <w:p w14:paraId="4C4D1DB8" w14:textId="77777777" w:rsidR="00885FBB" w:rsidRPr="00AE7C77" w:rsidRDefault="00885FBB" w:rsidP="00885FBB">
      <w:pPr>
        <w:rPr>
          <w:rFonts w:asciiTheme="majorBidi" w:hAnsiTheme="majorBidi" w:cstheme="majorBidi"/>
          <w:b/>
          <w:bCs/>
        </w:rPr>
      </w:pPr>
    </w:p>
    <w:p w14:paraId="4579F90E" w14:textId="77777777" w:rsidR="00885FBB" w:rsidRPr="00AE7C77" w:rsidRDefault="00885FBB" w:rsidP="00885FBB">
      <w:pPr>
        <w:rPr>
          <w:rFonts w:asciiTheme="majorBidi" w:hAnsiTheme="majorBidi" w:cstheme="majorBidi"/>
          <w:b/>
          <w:bCs/>
        </w:rPr>
      </w:pPr>
    </w:p>
    <w:p w14:paraId="7354666C" w14:textId="77777777" w:rsidR="00885FBB" w:rsidRPr="00AE7C77" w:rsidRDefault="00885FBB" w:rsidP="00885FBB">
      <w:pPr>
        <w:rPr>
          <w:rFonts w:asciiTheme="majorBidi" w:hAnsiTheme="majorBidi" w:cstheme="majorBidi"/>
          <w:b/>
          <w:bCs/>
        </w:rPr>
      </w:pPr>
    </w:p>
    <w:p w14:paraId="07EA435C" w14:textId="77777777" w:rsidR="00885FBB" w:rsidRPr="00AE7C77" w:rsidRDefault="00885FBB" w:rsidP="00885FBB">
      <w:pPr>
        <w:rPr>
          <w:rFonts w:asciiTheme="majorBidi" w:hAnsiTheme="majorBidi" w:cstheme="majorBidi"/>
          <w:b/>
          <w:bCs/>
        </w:rPr>
      </w:pPr>
    </w:p>
    <w:p w14:paraId="4126D94B" w14:textId="77777777" w:rsidR="00885FBB" w:rsidRPr="00AE7C77" w:rsidRDefault="00885FBB" w:rsidP="00885FBB">
      <w:pPr>
        <w:rPr>
          <w:rFonts w:asciiTheme="majorBidi" w:hAnsiTheme="majorBidi" w:cstheme="majorBidi"/>
          <w:b/>
          <w:bCs/>
        </w:rPr>
      </w:pPr>
    </w:p>
    <w:p w14:paraId="0A6AE6EB" w14:textId="77777777" w:rsidR="00885FBB" w:rsidRPr="00AE7C77" w:rsidRDefault="00885FBB" w:rsidP="00885FBB">
      <w:pPr>
        <w:rPr>
          <w:rFonts w:asciiTheme="majorBidi" w:hAnsiTheme="majorBidi" w:cstheme="majorBidi"/>
          <w:b/>
          <w:bCs/>
        </w:rPr>
      </w:pPr>
    </w:p>
    <w:p w14:paraId="42298296" w14:textId="77777777" w:rsidR="00885FBB" w:rsidRPr="00AE7C77" w:rsidRDefault="00885FBB" w:rsidP="00885FBB">
      <w:pPr>
        <w:rPr>
          <w:rFonts w:asciiTheme="majorBidi" w:hAnsiTheme="majorBidi" w:cstheme="majorBidi"/>
          <w:b/>
          <w:bCs/>
        </w:rPr>
      </w:pPr>
    </w:p>
    <w:p w14:paraId="4D839DB1" w14:textId="77777777" w:rsidR="00885FBB" w:rsidRPr="00AE7C77" w:rsidRDefault="00885FBB" w:rsidP="00885FBB">
      <w:pPr>
        <w:rPr>
          <w:rFonts w:asciiTheme="majorBidi" w:hAnsiTheme="majorBidi" w:cstheme="majorBidi"/>
          <w:b/>
          <w:bCs/>
        </w:rPr>
      </w:pPr>
    </w:p>
    <w:p w14:paraId="7ED121FB" w14:textId="77777777" w:rsidR="00B129DE" w:rsidRPr="00AE7C77" w:rsidRDefault="00B129DE" w:rsidP="00B129DE">
      <w:pPr>
        <w:rPr>
          <w:rFonts w:asciiTheme="majorBidi" w:hAnsiTheme="majorBidi" w:cstheme="majorBidi"/>
          <w:b/>
          <w:bCs/>
        </w:rPr>
      </w:pPr>
    </w:p>
    <w:p w14:paraId="1FE04A33" w14:textId="77777777" w:rsidR="00885FBB" w:rsidRPr="00AE7C77" w:rsidRDefault="00885FBB" w:rsidP="00B129DE">
      <w:pPr>
        <w:spacing w:line="240" w:lineRule="auto"/>
        <w:rPr>
          <w:rFonts w:asciiTheme="majorBidi" w:eastAsia="Times New Roman" w:hAnsiTheme="majorBidi" w:cstheme="majorBidi"/>
          <w:b/>
          <w:bCs/>
          <w:color w:val="auto"/>
        </w:rPr>
      </w:pPr>
    </w:p>
    <w:p w14:paraId="7B01DA32" w14:textId="77777777" w:rsidR="00885FBB" w:rsidRPr="00AE7C77" w:rsidRDefault="00885FBB" w:rsidP="00B129DE">
      <w:pPr>
        <w:spacing w:line="240" w:lineRule="auto"/>
        <w:rPr>
          <w:rFonts w:asciiTheme="majorBidi" w:eastAsia="Times New Roman" w:hAnsiTheme="majorBidi" w:cstheme="majorBidi"/>
          <w:b/>
          <w:bCs/>
          <w:color w:val="auto"/>
        </w:rPr>
      </w:pPr>
    </w:p>
    <w:p w14:paraId="60890707" w14:textId="77777777" w:rsidR="00885FBB" w:rsidRPr="00AE7C77" w:rsidRDefault="00885FBB" w:rsidP="00B129DE">
      <w:pPr>
        <w:spacing w:line="240" w:lineRule="auto"/>
        <w:rPr>
          <w:rFonts w:asciiTheme="majorBidi" w:eastAsia="Times New Roman" w:hAnsiTheme="majorBidi" w:cstheme="majorBidi"/>
          <w:b/>
          <w:bCs/>
          <w:color w:val="auto"/>
        </w:rPr>
      </w:pPr>
    </w:p>
    <w:p w14:paraId="38119717" w14:textId="3BC06FAD" w:rsidR="00B129DE" w:rsidRPr="00AE7C77" w:rsidRDefault="00B129DE" w:rsidP="00B129DE">
      <w:pPr>
        <w:spacing w:line="240" w:lineRule="auto"/>
        <w:rPr>
          <w:rFonts w:asciiTheme="majorBidi" w:eastAsia="Times New Roman" w:hAnsiTheme="majorBidi" w:cstheme="majorBidi"/>
          <w:b/>
          <w:bCs/>
          <w:color w:val="auto"/>
        </w:rPr>
      </w:pPr>
      <w:r w:rsidRPr="00AE7C77">
        <w:rPr>
          <w:rFonts w:asciiTheme="majorBidi" w:eastAsia="Times New Roman" w:hAnsiTheme="majorBidi" w:cstheme="majorBidi"/>
          <w:b/>
          <w:bCs/>
          <w:color w:val="auto"/>
        </w:rPr>
        <w:t>Table S5: Prevalence of roles</w:t>
      </w:r>
    </w:p>
    <w:p w14:paraId="15DE1F68" w14:textId="77777777" w:rsidR="00B129DE" w:rsidRPr="00AE7C77" w:rsidRDefault="00B129DE" w:rsidP="00B129DE">
      <w:pPr>
        <w:spacing w:line="240" w:lineRule="auto"/>
        <w:rPr>
          <w:rFonts w:asciiTheme="majorBidi" w:eastAsia="Times New Roman" w:hAnsiTheme="majorBidi" w:cstheme="majorBidi"/>
          <w:color w:val="auto"/>
        </w:rPr>
      </w:pPr>
    </w:p>
    <w:tbl>
      <w:tblPr>
        <w:tblW w:w="0" w:type="auto"/>
        <w:tblCellMar>
          <w:top w:w="15" w:type="dxa"/>
          <w:left w:w="15" w:type="dxa"/>
          <w:bottom w:w="15" w:type="dxa"/>
          <w:right w:w="15" w:type="dxa"/>
        </w:tblCellMar>
        <w:tblLook w:val="04A0" w:firstRow="1" w:lastRow="0" w:firstColumn="1" w:lastColumn="0" w:noHBand="0" w:noVBand="1"/>
      </w:tblPr>
      <w:tblGrid>
        <w:gridCol w:w="2170"/>
        <w:gridCol w:w="1188"/>
        <w:gridCol w:w="1423"/>
        <w:gridCol w:w="592"/>
        <w:gridCol w:w="692"/>
        <w:gridCol w:w="504"/>
        <w:gridCol w:w="589"/>
        <w:gridCol w:w="504"/>
        <w:gridCol w:w="589"/>
        <w:gridCol w:w="504"/>
        <w:gridCol w:w="589"/>
      </w:tblGrid>
      <w:tr w:rsidR="00B129DE" w:rsidRPr="00AE7C77" w14:paraId="02E96C12" w14:textId="77777777" w:rsidTr="009F1F10">
        <w:trPr>
          <w:trHeight w:val="420"/>
        </w:trPr>
        <w:tc>
          <w:tcPr>
            <w:tcW w:w="0" w:type="auto"/>
            <w:gridSpan w:val="3"/>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67884A" w14:textId="77777777" w:rsidR="00B129DE" w:rsidRPr="00AE7C77" w:rsidRDefault="00B129DE" w:rsidP="009F1F10">
            <w:pPr>
              <w:spacing w:line="240" w:lineRule="auto"/>
              <w:jc w:val="center"/>
              <w:rPr>
                <w:rFonts w:asciiTheme="majorBidi" w:eastAsia="Times New Roman" w:hAnsiTheme="majorBidi" w:cstheme="majorBidi"/>
                <w:color w:val="auto"/>
              </w:rPr>
            </w:pPr>
            <w:r w:rsidRPr="00AE7C77">
              <w:rPr>
                <w:rFonts w:asciiTheme="majorBidi" w:eastAsia="Times New Roman" w:hAnsiTheme="majorBidi" w:cstheme="majorBidi"/>
              </w:rPr>
              <w:t>Prevalence of Roles</w:t>
            </w:r>
          </w:p>
        </w:tc>
        <w:tc>
          <w:tcPr>
            <w:tcW w:w="0" w:type="auto"/>
            <w:gridSpan w:val="2"/>
            <w:tcBorders>
              <w:top w:val="single" w:sz="6" w:space="0" w:color="000000"/>
              <w:left w:val="single" w:sz="12" w:space="0" w:color="000000"/>
              <w:bottom w:val="single" w:sz="6" w:space="0" w:color="000000"/>
              <w:right w:val="single" w:sz="6" w:space="0" w:color="000000"/>
            </w:tcBorders>
            <w:tcMar>
              <w:top w:w="105" w:type="dxa"/>
              <w:left w:w="105" w:type="dxa"/>
              <w:bottom w:w="105" w:type="dxa"/>
              <w:right w:w="105" w:type="dxa"/>
            </w:tcMar>
            <w:hideMark/>
          </w:tcPr>
          <w:p w14:paraId="6FE43880"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b/>
                <w:bCs/>
              </w:rPr>
              <w:t>New Zealand</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1587A7E"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b/>
                <w:bCs/>
              </w:rPr>
              <w:t>Australia</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5FEE24"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b/>
                <w:bCs/>
              </w:rPr>
              <w:t>Canada</w:t>
            </w:r>
          </w:p>
        </w:tc>
        <w:tc>
          <w:tcPr>
            <w:tcW w:w="0" w:type="auto"/>
            <w:gridSpan w:val="2"/>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D3FC806"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b/>
                <w:bCs/>
              </w:rPr>
              <w:t>USA</w:t>
            </w:r>
          </w:p>
        </w:tc>
      </w:tr>
      <w:tr w:rsidR="00B129DE" w:rsidRPr="00AE7C77" w14:paraId="5D8FEEE8" w14:textId="77777777" w:rsidTr="009F1F1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E39281"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Roles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8783FE5"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Indigenous</w:t>
            </w:r>
          </w:p>
        </w:tc>
        <w:tc>
          <w:tcPr>
            <w:tcW w:w="0" w:type="auto"/>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68382DA6"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Non-indigenous</w:t>
            </w:r>
          </w:p>
        </w:tc>
        <w:tc>
          <w:tcPr>
            <w:tcW w:w="0" w:type="auto"/>
            <w:tcBorders>
              <w:top w:val="single" w:sz="6" w:space="0" w:color="000000"/>
              <w:left w:val="single" w:sz="12" w:space="0" w:color="000000"/>
              <w:bottom w:val="single" w:sz="6" w:space="0" w:color="000000"/>
              <w:right w:val="single" w:sz="6" w:space="0" w:color="000000"/>
            </w:tcBorders>
            <w:tcMar>
              <w:top w:w="105" w:type="dxa"/>
              <w:left w:w="105" w:type="dxa"/>
              <w:bottom w:w="105" w:type="dxa"/>
              <w:right w:w="105" w:type="dxa"/>
            </w:tcMar>
            <w:hideMark/>
          </w:tcPr>
          <w:p w14:paraId="4E3C2401"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Ind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43E0703"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9FF754"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Ind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E00119"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D96DCAB"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Ind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F9C7BFD"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14D7A18"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Ind</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451B4BF"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Non</w:t>
            </w:r>
          </w:p>
        </w:tc>
      </w:tr>
      <w:tr w:rsidR="00B129DE" w:rsidRPr="00AE7C77" w14:paraId="6EB60E97" w14:textId="77777777" w:rsidTr="009F1F1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5CD2D38"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General population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4CAF9C"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12</w:t>
            </w:r>
          </w:p>
        </w:tc>
        <w:tc>
          <w:tcPr>
            <w:tcW w:w="0" w:type="auto"/>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27F9CDAA"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8</w:t>
            </w:r>
          </w:p>
        </w:tc>
        <w:tc>
          <w:tcPr>
            <w:tcW w:w="0" w:type="auto"/>
            <w:tcBorders>
              <w:top w:val="single" w:sz="6" w:space="0" w:color="000000"/>
              <w:left w:val="single" w:sz="12" w:space="0" w:color="000000"/>
              <w:bottom w:val="single" w:sz="6" w:space="0" w:color="000000"/>
              <w:right w:val="single" w:sz="6" w:space="0" w:color="000000"/>
            </w:tcBorders>
            <w:tcMar>
              <w:top w:w="105" w:type="dxa"/>
              <w:left w:w="105" w:type="dxa"/>
              <w:bottom w:w="105" w:type="dxa"/>
              <w:right w:w="105" w:type="dxa"/>
            </w:tcMar>
            <w:hideMark/>
          </w:tcPr>
          <w:p w14:paraId="3553AC01"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5FA7382"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42E3790"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C167A63"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561F118"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96B0A59"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5</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A78D000"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D05768"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2</w:t>
            </w:r>
          </w:p>
        </w:tc>
      </w:tr>
      <w:tr w:rsidR="00B129DE" w:rsidRPr="00AE7C77" w14:paraId="0FB78359" w14:textId="77777777" w:rsidTr="009F1F1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95AA094"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Politician / government official</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CF32FF"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67</w:t>
            </w:r>
          </w:p>
        </w:tc>
        <w:tc>
          <w:tcPr>
            <w:tcW w:w="0" w:type="auto"/>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1BE42353"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80</w:t>
            </w:r>
          </w:p>
        </w:tc>
        <w:tc>
          <w:tcPr>
            <w:tcW w:w="0" w:type="auto"/>
            <w:tcBorders>
              <w:top w:val="single" w:sz="6" w:space="0" w:color="000000"/>
              <w:left w:val="single" w:sz="12" w:space="0" w:color="000000"/>
              <w:bottom w:val="single" w:sz="6" w:space="0" w:color="000000"/>
              <w:right w:val="single" w:sz="6" w:space="0" w:color="000000"/>
            </w:tcBorders>
            <w:tcMar>
              <w:top w:w="105" w:type="dxa"/>
              <w:left w:w="105" w:type="dxa"/>
              <w:bottom w:w="105" w:type="dxa"/>
              <w:right w:w="105" w:type="dxa"/>
            </w:tcMar>
            <w:hideMark/>
          </w:tcPr>
          <w:p w14:paraId="1A2BF3F5"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26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33AB873"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41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EC2E155"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4B2D48"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014EDDD"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27</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DF5EE6E"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28</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EC8E62D"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C331B9F"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8</w:t>
            </w:r>
          </w:p>
        </w:tc>
      </w:tr>
      <w:tr w:rsidR="00B129DE" w:rsidRPr="00AE7C77" w14:paraId="776CE50B" w14:textId="77777777" w:rsidTr="009F1F1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E36A5FB"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Researcher / academic</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18A4DF2"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3</w:t>
            </w:r>
          </w:p>
        </w:tc>
        <w:tc>
          <w:tcPr>
            <w:tcW w:w="0" w:type="auto"/>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11DD2CDC"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28</w:t>
            </w:r>
          </w:p>
        </w:tc>
        <w:tc>
          <w:tcPr>
            <w:tcW w:w="0" w:type="auto"/>
            <w:tcBorders>
              <w:top w:val="single" w:sz="6" w:space="0" w:color="000000"/>
              <w:left w:val="single" w:sz="12" w:space="0" w:color="000000"/>
              <w:bottom w:val="single" w:sz="6" w:space="0" w:color="000000"/>
              <w:right w:val="single" w:sz="6" w:space="0" w:color="000000"/>
            </w:tcBorders>
            <w:tcMar>
              <w:top w:w="105" w:type="dxa"/>
              <w:left w:w="105" w:type="dxa"/>
              <w:bottom w:w="105" w:type="dxa"/>
              <w:right w:w="105" w:type="dxa"/>
            </w:tcMar>
            <w:hideMark/>
          </w:tcPr>
          <w:p w14:paraId="6D0EB5A2"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85AED27"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348E131"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DF3B71F"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9C4DB16"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01595AA"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18</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71B56D9"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DFB699"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6</w:t>
            </w:r>
          </w:p>
        </w:tc>
      </w:tr>
      <w:tr w:rsidR="00B129DE" w:rsidRPr="00AE7C77" w14:paraId="2986AE0F" w14:textId="77777777" w:rsidTr="009F1F1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79BD28E"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Activist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FE9594B"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19</w:t>
            </w:r>
          </w:p>
        </w:tc>
        <w:tc>
          <w:tcPr>
            <w:tcW w:w="0" w:type="auto"/>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56136591"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16</w:t>
            </w:r>
          </w:p>
        </w:tc>
        <w:tc>
          <w:tcPr>
            <w:tcW w:w="0" w:type="auto"/>
            <w:tcBorders>
              <w:top w:val="single" w:sz="6" w:space="0" w:color="000000"/>
              <w:left w:val="single" w:sz="12" w:space="0" w:color="000000"/>
              <w:bottom w:val="single" w:sz="6" w:space="0" w:color="000000"/>
              <w:right w:val="single" w:sz="6" w:space="0" w:color="000000"/>
            </w:tcBorders>
            <w:tcMar>
              <w:top w:w="105" w:type="dxa"/>
              <w:left w:w="105" w:type="dxa"/>
              <w:bottom w:w="105" w:type="dxa"/>
              <w:right w:w="105" w:type="dxa"/>
            </w:tcMar>
            <w:hideMark/>
          </w:tcPr>
          <w:p w14:paraId="412C44EA"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5CABA9"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0324664"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3C3358F"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2EA7083"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EB28F5"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68F10E6"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8835D9"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6</w:t>
            </w:r>
          </w:p>
        </w:tc>
      </w:tr>
      <w:tr w:rsidR="00B129DE" w:rsidRPr="00AE7C77" w14:paraId="61ED7773" w14:textId="77777777" w:rsidTr="009F1F1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ED04254"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Industry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68D51EF"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10</w:t>
            </w:r>
          </w:p>
        </w:tc>
        <w:tc>
          <w:tcPr>
            <w:tcW w:w="0" w:type="auto"/>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768CE0E3"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14</w:t>
            </w:r>
          </w:p>
        </w:tc>
        <w:tc>
          <w:tcPr>
            <w:tcW w:w="0" w:type="auto"/>
            <w:tcBorders>
              <w:top w:val="single" w:sz="6" w:space="0" w:color="000000"/>
              <w:left w:val="single" w:sz="12" w:space="0" w:color="000000"/>
              <w:bottom w:val="single" w:sz="6" w:space="0" w:color="000000"/>
              <w:right w:val="single" w:sz="6" w:space="0" w:color="000000"/>
            </w:tcBorders>
            <w:tcMar>
              <w:top w:w="105" w:type="dxa"/>
              <w:left w:w="105" w:type="dxa"/>
              <w:bottom w:w="105" w:type="dxa"/>
              <w:right w:w="105" w:type="dxa"/>
            </w:tcMar>
            <w:hideMark/>
          </w:tcPr>
          <w:p w14:paraId="159C64F8"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5</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BDA455A"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FA35D91"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4975A4"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232F90F"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5</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8897E2E"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3</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DBA7A5D"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5F4F87C"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7</w:t>
            </w:r>
          </w:p>
        </w:tc>
      </w:tr>
      <w:tr w:rsidR="00B129DE" w:rsidRPr="00AE7C77" w14:paraId="35B98229" w14:textId="77777777" w:rsidTr="009F1F1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E0C5EC6"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lastRenderedPageBreak/>
              <w:t>Artist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B9CD6A0"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4</w:t>
            </w:r>
          </w:p>
        </w:tc>
        <w:tc>
          <w:tcPr>
            <w:tcW w:w="0" w:type="auto"/>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7AE2AC56"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w:t>
            </w:r>
          </w:p>
        </w:tc>
        <w:tc>
          <w:tcPr>
            <w:tcW w:w="0" w:type="auto"/>
            <w:tcBorders>
              <w:top w:val="single" w:sz="6" w:space="0" w:color="000000"/>
              <w:left w:val="single" w:sz="12" w:space="0" w:color="000000"/>
              <w:bottom w:val="single" w:sz="6" w:space="0" w:color="000000"/>
              <w:right w:val="single" w:sz="6" w:space="0" w:color="000000"/>
            </w:tcBorders>
            <w:tcMar>
              <w:top w:w="105" w:type="dxa"/>
              <w:left w:w="105" w:type="dxa"/>
              <w:bottom w:w="105" w:type="dxa"/>
              <w:right w:w="105" w:type="dxa"/>
            </w:tcMar>
            <w:hideMark/>
          </w:tcPr>
          <w:p w14:paraId="64FA54F4"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299FC44"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86F9E90"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D22B67C"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7BF610E"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3FB1DCB"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3B2C811"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B20D6A"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w:t>
            </w:r>
          </w:p>
        </w:tc>
      </w:tr>
      <w:tr w:rsidR="00B129DE" w:rsidRPr="00AE7C77" w14:paraId="3C91F3DA" w14:textId="77777777" w:rsidTr="009F1F1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8C332E4"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Elder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384200E"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20</w:t>
            </w:r>
          </w:p>
        </w:tc>
        <w:tc>
          <w:tcPr>
            <w:tcW w:w="0" w:type="auto"/>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5ECEA103"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N/A</w:t>
            </w:r>
          </w:p>
        </w:tc>
        <w:tc>
          <w:tcPr>
            <w:tcW w:w="0" w:type="auto"/>
            <w:tcBorders>
              <w:top w:val="single" w:sz="6" w:space="0" w:color="000000"/>
              <w:left w:val="single" w:sz="12" w:space="0" w:color="000000"/>
              <w:bottom w:val="single" w:sz="6" w:space="0" w:color="000000"/>
              <w:right w:val="single" w:sz="6" w:space="0" w:color="000000"/>
            </w:tcBorders>
            <w:tcMar>
              <w:top w:w="105" w:type="dxa"/>
              <w:left w:w="105" w:type="dxa"/>
              <w:bottom w:w="105" w:type="dxa"/>
              <w:right w:w="105" w:type="dxa"/>
            </w:tcMar>
            <w:hideMark/>
          </w:tcPr>
          <w:p w14:paraId="3803C775"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407A568"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461285A"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E55C690"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BAF28D4"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9</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9BE0E6D"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B3C5B63"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8AE579"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N/A</w:t>
            </w:r>
          </w:p>
        </w:tc>
      </w:tr>
      <w:tr w:rsidR="00B129DE" w:rsidRPr="00AE7C77" w14:paraId="2AF5EC75" w14:textId="77777777" w:rsidTr="009F1F1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644C212"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Hunter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6D5F824"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15</w:t>
            </w:r>
          </w:p>
        </w:tc>
        <w:tc>
          <w:tcPr>
            <w:tcW w:w="0" w:type="auto"/>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699D617B"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N/A</w:t>
            </w:r>
          </w:p>
        </w:tc>
        <w:tc>
          <w:tcPr>
            <w:tcW w:w="0" w:type="auto"/>
            <w:tcBorders>
              <w:top w:val="single" w:sz="6" w:space="0" w:color="000000"/>
              <w:left w:val="single" w:sz="12" w:space="0" w:color="000000"/>
              <w:bottom w:val="single" w:sz="6" w:space="0" w:color="000000"/>
              <w:right w:val="single" w:sz="6" w:space="0" w:color="000000"/>
            </w:tcBorders>
            <w:tcMar>
              <w:top w:w="105" w:type="dxa"/>
              <w:left w:w="105" w:type="dxa"/>
              <w:bottom w:w="105" w:type="dxa"/>
              <w:right w:w="105" w:type="dxa"/>
            </w:tcMar>
            <w:hideMark/>
          </w:tcPr>
          <w:p w14:paraId="55B194CF"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8A69CF9"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AE0B2C8"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9377095"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E6DA5F"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544AFA"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1CD11D8"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6</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33247B6"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N/A</w:t>
            </w:r>
          </w:p>
        </w:tc>
      </w:tr>
      <w:tr w:rsidR="00B129DE" w:rsidRPr="00AE7C77" w14:paraId="56F7053E" w14:textId="77777777" w:rsidTr="009F1F1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77D1F18"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Children / youth</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61EA659"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3</w:t>
            </w:r>
          </w:p>
        </w:tc>
        <w:tc>
          <w:tcPr>
            <w:tcW w:w="0" w:type="auto"/>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70E07ADF"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N/A</w:t>
            </w:r>
          </w:p>
        </w:tc>
        <w:tc>
          <w:tcPr>
            <w:tcW w:w="0" w:type="auto"/>
            <w:tcBorders>
              <w:top w:val="single" w:sz="6" w:space="0" w:color="000000"/>
              <w:left w:val="single" w:sz="12" w:space="0" w:color="000000"/>
              <w:bottom w:val="single" w:sz="6" w:space="0" w:color="000000"/>
              <w:right w:val="single" w:sz="6" w:space="0" w:color="000000"/>
            </w:tcBorders>
            <w:tcMar>
              <w:top w:w="105" w:type="dxa"/>
              <w:left w:w="105" w:type="dxa"/>
              <w:bottom w:w="105" w:type="dxa"/>
              <w:right w:w="105" w:type="dxa"/>
            </w:tcMar>
            <w:hideMark/>
          </w:tcPr>
          <w:p w14:paraId="6ED6B558"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DF7E662"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A4E095A"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C9B409"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B0C9E27"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E1C12B1"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N/A</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605BF95"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5938236"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N/A</w:t>
            </w:r>
          </w:p>
        </w:tc>
      </w:tr>
      <w:tr w:rsidR="00B129DE" w:rsidRPr="00AE7C77" w14:paraId="4F9FF62B" w14:textId="77777777" w:rsidTr="009F1F10">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D90FB21"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Other</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DFF1880"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7</w:t>
            </w:r>
          </w:p>
        </w:tc>
        <w:tc>
          <w:tcPr>
            <w:tcW w:w="0" w:type="auto"/>
            <w:tcBorders>
              <w:top w:val="single" w:sz="6" w:space="0" w:color="000000"/>
              <w:left w:val="single" w:sz="6" w:space="0" w:color="000000"/>
              <w:bottom w:val="single" w:sz="6" w:space="0" w:color="000000"/>
              <w:right w:val="single" w:sz="12" w:space="0" w:color="000000"/>
            </w:tcBorders>
            <w:tcMar>
              <w:top w:w="105" w:type="dxa"/>
              <w:left w:w="105" w:type="dxa"/>
              <w:bottom w:w="105" w:type="dxa"/>
              <w:right w:w="105" w:type="dxa"/>
            </w:tcMar>
            <w:hideMark/>
          </w:tcPr>
          <w:p w14:paraId="5E5BB579"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8 (4 celebrities)</w:t>
            </w:r>
          </w:p>
        </w:tc>
        <w:tc>
          <w:tcPr>
            <w:tcW w:w="0" w:type="auto"/>
            <w:tcBorders>
              <w:top w:val="single" w:sz="6" w:space="0" w:color="000000"/>
              <w:left w:val="single" w:sz="12" w:space="0" w:color="000000"/>
              <w:bottom w:val="single" w:sz="6" w:space="0" w:color="000000"/>
              <w:right w:val="single" w:sz="6" w:space="0" w:color="000000"/>
            </w:tcBorders>
            <w:tcMar>
              <w:top w:w="105" w:type="dxa"/>
              <w:left w:w="105" w:type="dxa"/>
              <w:bottom w:w="105" w:type="dxa"/>
              <w:right w:w="105" w:type="dxa"/>
            </w:tcMar>
            <w:hideMark/>
          </w:tcPr>
          <w:p w14:paraId="7F4DCE07"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6E5D209"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9B787E7"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1</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0E55A39"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0</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9C3041D"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981AA58"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4</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E70DBB0"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2</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AA8FA87" w14:textId="77777777" w:rsidR="00B129DE" w:rsidRPr="00AE7C77" w:rsidRDefault="00B129DE" w:rsidP="009F1F10">
            <w:pPr>
              <w:spacing w:line="240" w:lineRule="auto"/>
              <w:rPr>
                <w:rFonts w:asciiTheme="majorBidi" w:eastAsia="Times New Roman" w:hAnsiTheme="majorBidi" w:cstheme="majorBidi"/>
                <w:color w:val="auto"/>
              </w:rPr>
            </w:pPr>
            <w:r w:rsidRPr="00AE7C77">
              <w:rPr>
                <w:rFonts w:asciiTheme="majorBidi" w:eastAsia="Times New Roman" w:hAnsiTheme="majorBidi" w:cstheme="majorBidi"/>
              </w:rPr>
              <w:t>4</w:t>
            </w:r>
          </w:p>
        </w:tc>
      </w:tr>
    </w:tbl>
    <w:p w14:paraId="5629D26D" w14:textId="77777777" w:rsidR="00F005FF" w:rsidRPr="00AE7C77" w:rsidRDefault="00F005FF">
      <w:pPr>
        <w:rPr>
          <w:rFonts w:asciiTheme="majorBidi" w:hAnsiTheme="majorBidi" w:cstheme="majorBidi"/>
        </w:rPr>
      </w:pPr>
    </w:p>
    <w:p w14:paraId="0249048E" w14:textId="77777777" w:rsidR="00F005FF" w:rsidRPr="00AE7C77" w:rsidRDefault="00F005FF">
      <w:pPr>
        <w:rPr>
          <w:rFonts w:asciiTheme="majorBidi" w:hAnsiTheme="majorBidi" w:cstheme="majorBidi"/>
        </w:rPr>
      </w:pPr>
    </w:p>
    <w:p w14:paraId="5DBE3B1B" w14:textId="27D1B563" w:rsidR="00F82347" w:rsidRPr="00AE7C77" w:rsidRDefault="00F82347" w:rsidP="00F82347">
      <w:pPr>
        <w:pStyle w:val="EndNoteBibliography"/>
        <w:ind w:left="720" w:hanging="720"/>
        <w:rPr>
          <w:rFonts w:asciiTheme="majorBidi" w:hAnsiTheme="majorBidi" w:cstheme="majorBidi"/>
          <w:b/>
          <w:bCs/>
        </w:rPr>
      </w:pPr>
      <w:r w:rsidRPr="00AE7C77">
        <w:rPr>
          <w:rFonts w:asciiTheme="majorBidi" w:hAnsiTheme="majorBidi" w:cstheme="majorBidi"/>
          <w:b/>
          <w:bCs/>
        </w:rPr>
        <w:t>Sources Cited</w:t>
      </w:r>
    </w:p>
    <w:p w14:paraId="33285621" w14:textId="2FF7F2BB" w:rsidR="00F82347" w:rsidRPr="00AE7C77" w:rsidRDefault="00F82347" w:rsidP="00F82347">
      <w:pPr>
        <w:pStyle w:val="EndNoteBibliography"/>
        <w:ind w:left="720" w:hanging="720"/>
        <w:rPr>
          <w:rFonts w:asciiTheme="majorBidi" w:hAnsiTheme="majorBidi" w:cstheme="majorBidi"/>
          <w:b/>
          <w:bCs/>
        </w:rPr>
      </w:pPr>
    </w:p>
    <w:p w14:paraId="2E733580" w14:textId="5333EBD4" w:rsidR="00BE3C35" w:rsidRPr="00AE7C77" w:rsidRDefault="00BE3C35" w:rsidP="00BE3C35">
      <w:pPr>
        <w:autoSpaceDE w:val="0"/>
        <w:autoSpaceDN w:val="0"/>
        <w:adjustRightInd w:val="0"/>
        <w:spacing w:line="240" w:lineRule="auto"/>
        <w:ind w:left="720" w:hanging="720"/>
        <w:rPr>
          <w:rFonts w:asciiTheme="majorBidi" w:eastAsiaTheme="minorHAnsi" w:hAnsiTheme="majorBidi" w:cstheme="majorBidi"/>
          <w:color w:val="auto"/>
        </w:rPr>
      </w:pPr>
      <w:r w:rsidRPr="00AE7C77">
        <w:rPr>
          <w:rFonts w:asciiTheme="majorBidi" w:eastAsiaTheme="minorHAnsi" w:hAnsiTheme="majorBidi" w:cstheme="majorBidi"/>
          <w:color w:val="auto"/>
        </w:rPr>
        <w:t>2013 Census iwi individual profiles (2013) Statistics New Zealand. http://www.stats.govt.nz/Census/2013-census/profile-and-summary-reports/iwi-profiles-individual.aspx?request_value=2</w:t>
      </w:r>
      <w:r w:rsidR="009B5836">
        <w:rPr>
          <w:rFonts w:asciiTheme="majorBidi" w:eastAsiaTheme="minorHAnsi" w:hAnsiTheme="majorBidi" w:cstheme="majorBidi"/>
          <w:color w:val="auto"/>
        </w:rPr>
        <w:t>4540#24540. Accessed May 05 2016</w:t>
      </w:r>
    </w:p>
    <w:p w14:paraId="5627AF8C" w14:textId="720133F4" w:rsidR="00BE3C35" w:rsidRPr="00AE7C77" w:rsidRDefault="00BE3C35" w:rsidP="00BE3C35">
      <w:pPr>
        <w:autoSpaceDE w:val="0"/>
        <w:autoSpaceDN w:val="0"/>
        <w:adjustRightInd w:val="0"/>
        <w:spacing w:line="240" w:lineRule="auto"/>
        <w:ind w:left="720" w:hanging="720"/>
        <w:rPr>
          <w:rFonts w:asciiTheme="majorBidi" w:eastAsiaTheme="minorHAnsi" w:hAnsiTheme="majorBidi" w:cstheme="majorBidi"/>
          <w:color w:val="auto"/>
        </w:rPr>
      </w:pPr>
      <w:r w:rsidRPr="00AE7C77">
        <w:rPr>
          <w:rFonts w:asciiTheme="majorBidi" w:eastAsiaTheme="minorHAnsi" w:hAnsiTheme="majorBidi" w:cstheme="majorBidi"/>
          <w:color w:val="auto"/>
        </w:rPr>
        <w:t>2013</w:t>
      </w:r>
      <w:r w:rsidRPr="00AE7C77">
        <w:rPr>
          <w:rFonts w:asciiTheme="majorBidi" w:eastAsiaTheme="minorHAnsi" w:hAnsiTheme="majorBidi" w:cstheme="majorBidi"/>
          <w:color w:val="auto"/>
        </w:rPr>
        <w:t xml:space="preserve"> Census iwi grouping profiles </w:t>
      </w:r>
      <w:r w:rsidRPr="00AE7C77">
        <w:rPr>
          <w:rFonts w:asciiTheme="majorBidi" w:eastAsiaTheme="minorHAnsi" w:hAnsiTheme="majorBidi" w:cstheme="majorBidi"/>
          <w:color w:val="auto"/>
        </w:rPr>
        <w:t>(2013) Statistics New Zealand. http://www.stats.govt.nz/Census/2013-census/profile-and-summary-reports/iwi-profiles-grou</w:t>
      </w:r>
      <w:r w:rsidRPr="00AE7C77">
        <w:rPr>
          <w:rFonts w:asciiTheme="majorBidi" w:eastAsiaTheme="minorHAnsi" w:hAnsiTheme="majorBidi" w:cstheme="majorBidi"/>
          <w:color w:val="auto"/>
        </w:rPr>
        <w:t xml:space="preserve">ping.aspx. </w:t>
      </w:r>
      <w:r w:rsidR="009B5836">
        <w:rPr>
          <w:rFonts w:asciiTheme="majorBidi" w:eastAsiaTheme="minorHAnsi" w:hAnsiTheme="majorBidi" w:cstheme="majorBidi"/>
          <w:color w:val="auto"/>
        </w:rPr>
        <w:t>Accessed May 05 2016</w:t>
      </w:r>
    </w:p>
    <w:p w14:paraId="30A1F830" w14:textId="2E9B4672" w:rsidR="00BE3C35" w:rsidRPr="00AE7C77" w:rsidRDefault="00BE3C35" w:rsidP="00BE3C35">
      <w:pPr>
        <w:autoSpaceDE w:val="0"/>
        <w:autoSpaceDN w:val="0"/>
        <w:adjustRightInd w:val="0"/>
        <w:spacing w:line="240" w:lineRule="auto"/>
        <w:ind w:left="720" w:hanging="720"/>
        <w:rPr>
          <w:rFonts w:asciiTheme="majorBidi" w:eastAsiaTheme="minorHAnsi" w:hAnsiTheme="majorBidi" w:cstheme="majorBidi"/>
          <w:color w:val="auto"/>
        </w:rPr>
      </w:pPr>
      <w:r w:rsidRPr="00AE7C77">
        <w:rPr>
          <w:rFonts w:asciiTheme="majorBidi" w:eastAsia="Arial Unicode MS" w:hAnsiTheme="majorBidi" w:cstheme="majorBidi"/>
          <w:color w:val="2E2E2E"/>
        </w:rPr>
        <w:t>4imn.com</w:t>
      </w:r>
      <w:r w:rsidRPr="00AE7C77">
        <w:rPr>
          <w:rFonts w:asciiTheme="majorBidi" w:eastAsia="Arial Unicode MS" w:hAnsiTheme="majorBidi" w:cstheme="majorBidi"/>
          <w:color w:val="2E2E2E"/>
        </w:rPr>
        <w:t xml:space="preserve"> (</w:t>
      </w:r>
      <w:r w:rsidRPr="00AE7C77">
        <w:rPr>
          <w:rFonts w:asciiTheme="majorBidi" w:eastAsia="Arial Unicode MS" w:hAnsiTheme="majorBidi" w:cstheme="majorBidi"/>
          <w:color w:val="2E2E2E"/>
        </w:rPr>
        <w:t>2014</w:t>
      </w:r>
      <w:r w:rsidRPr="00AE7C77">
        <w:rPr>
          <w:rFonts w:asciiTheme="majorBidi" w:eastAsia="Arial Unicode MS" w:hAnsiTheme="majorBidi" w:cstheme="majorBidi"/>
          <w:color w:val="2E2E2E"/>
        </w:rPr>
        <w:t>)</w:t>
      </w:r>
      <w:r w:rsidRPr="00AE7C77">
        <w:rPr>
          <w:rFonts w:asciiTheme="majorBidi" w:eastAsia="Arial Unicode MS" w:hAnsiTheme="majorBidi" w:cstheme="majorBidi"/>
          <w:color w:val="2E2E2E"/>
        </w:rPr>
        <w:t xml:space="preserve"> 2014 Newspaper Rankings.</w:t>
      </w:r>
      <w:r w:rsidRPr="00AE7C77">
        <w:rPr>
          <w:rStyle w:val="apple-converted-space"/>
          <w:rFonts w:asciiTheme="majorBidi" w:eastAsia="Arial Unicode MS" w:hAnsiTheme="majorBidi" w:cstheme="majorBidi"/>
          <w:color w:val="2E2E2E"/>
        </w:rPr>
        <w:t> </w:t>
      </w:r>
      <w:r w:rsidR="009B5836" w:rsidRPr="009B5836">
        <w:rPr>
          <w:rStyle w:val="interref"/>
          <w:rFonts w:asciiTheme="majorBidi" w:eastAsia="Arial Unicode MS" w:hAnsiTheme="majorBidi" w:cstheme="majorBidi" w:hint="eastAsia"/>
          <w:color w:val="2E2E2E"/>
          <w:bdr w:val="none" w:sz="0" w:space="0" w:color="auto" w:frame="1"/>
        </w:rPr>
        <w:t>http://www.4imn.com/topNorth-America/</w:t>
      </w:r>
      <w:r w:rsidRPr="00AE7C77">
        <w:rPr>
          <w:rFonts w:asciiTheme="majorBidi" w:eastAsia="Arial Unicode MS" w:hAnsiTheme="majorBidi" w:cstheme="majorBidi"/>
          <w:color w:val="2E2E2E"/>
        </w:rPr>
        <w:t>.</w:t>
      </w:r>
      <w:r w:rsidR="009B5836">
        <w:rPr>
          <w:rFonts w:asciiTheme="majorBidi" w:eastAsia="Arial Unicode MS" w:hAnsiTheme="majorBidi" w:cstheme="majorBidi"/>
          <w:color w:val="2E2E2E"/>
        </w:rPr>
        <w:t xml:space="preserve"> </w:t>
      </w:r>
      <w:r w:rsidR="009B5836">
        <w:rPr>
          <w:rFonts w:asciiTheme="majorBidi" w:eastAsiaTheme="minorHAnsi" w:hAnsiTheme="majorBidi" w:cstheme="majorBidi"/>
          <w:color w:val="auto"/>
        </w:rPr>
        <w:t>Accessed May 0</w:t>
      </w:r>
      <w:r w:rsidR="009B5836">
        <w:rPr>
          <w:rFonts w:asciiTheme="majorBidi" w:eastAsiaTheme="minorHAnsi" w:hAnsiTheme="majorBidi" w:cstheme="majorBidi"/>
          <w:color w:val="auto"/>
        </w:rPr>
        <w:t>8</w:t>
      </w:r>
      <w:r w:rsidR="009B5836">
        <w:rPr>
          <w:rFonts w:asciiTheme="majorBidi" w:eastAsiaTheme="minorHAnsi" w:hAnsiTheme="majorBidi" w:cstheme="majorBidi"/>
          <w:color w:val="auto"/>
        </w:rPr>
        <w:t xml:space="preserve"> 2016</w:t>
      </w:r>
    </w:p>
    <w:p w14:paraId="2C5F4E9F" w14:textId="79962937" w:rsidR="00BE3C35" w:rsidRPr="00AE7C77" w:rsidRDefault="00BE3C35" w:rsidP="00BE3C35">
      <w:pPr>
        <w:autoSpaceDE w:val="0"/>
        <w:autoSpaceDN w:val="0"/>
        <w:adjustRightInd w:val="0"/>
        <w:spacing w:line="240" w:lineRule="auto"/>
        <w:ind w:left="720" w:hanging="720"/>
        <w:rPr>
          <w:rFonts w:asciiTheme="majorBidi" w:eastAsiaTheme="minorHAnsi" w:hAnsiTheme="majorBidi" w:cstheme="majorBidi"/>
          <w:color w:val="auto"/>
        </w:rPr>
      </w:pPr>
      <w:r w:rsidRPr="00AE7C77">
        <w:rPr>
          <w:rFonts w:asciiTheme="majorBidi" w:eastAsiaTheme="minorHAnsi" w:hAnsiTheme="majorBidi" w:cstheme="majorBidi"/>
          <w:color w:val="auto"/>
        </w:rPr>
        <w:t>Appendix D: Mother tongue and home language: classifications from 2011, 2006 and 2001</w:t>
      </w:r>
      <w:r w:rsidRPr="00AE7C77">
        <w:rPr>
          <w:rFonts w:asciiTheme="majorBidi" w:eastAsiaTheme="minorHAnsi" w:hAnsiTheme="majorBidi" w:cstheme="majorBidi"/>
          <w:color w:val="auto"/>
        </w:rPr>
        <w:t xml:space="preserve"> </w:t>
      </w:r>
      <w:r w:rsidRPr="00AE7C77">
        <w:rPr>
          <w:rFonts w:asciiTheme="majorBidi" w:eastAsiaTheme="minorHAnsi" w:hAnsiTheme="majorBidi" w:cstheme="majorBidi"/>
          <w:color w:val="auto"/>
        </w:rPr>
        <w:t xml:space="preserve">(2015) Statistics Canada. https://www12.statcan.gc.ca/census-recensement/2011/ref/dict/app-ann004-eng.cfm. </w:t>
      </w:r>
      <w:r w:rsidR="009B5836">
        <w:rPr>
          <w:rFonts w:asciiTheme="majorBidi" w:eastAsiaTheme="minorHAnsi" w:hAnsiTheme="majorBidi" w:cstheme="majorBidi"/>
          <w:color w:val="auto"/>
        </w:rPr>
        <w:t>Accessed May 05 2016</w:t>
      </w:r>
    </w:p>
    <w:p w14:paraId="47193050" w14:textId="04B84FCF" w:rsidR="00BE3C35" w:rsidRPr="00AE7C77" w:rsidRDefault="00BE3C35" w:rsidP="00BE3C35">
      <w:pPr>
        <w:autoSpaceDE w:val="0"/>
        <w:autoSpaceDN w:val="0"/>
        <w:adjustRightInd w:val="0"/>
        <w:spacing w:line="240" w:lineRule="auto"/>
        <w:ind w:left="720" w:hanging="720"/>
        <w:rPr>
          <w:rFonts w:asciiTheme="majorBidi" w:eastAsiaTheme="minorHAnsi" w:hAnsiTheme="majorBidi" w:cstheme="majorBidi"/>
          <w:color w:val="auto"/>
        </w:rPr>
      </w:pPr>
      <w:r w:rsidRPr="00AE7C77">
        <w:rPr>
          <w:rFonts w:asciiTheme="majorBidi" w:eastAsiaTheme="minorHAnsi" w:hAnsiTheme="majorBidi" w:cstheme="majorBidi"/>
          <w:color w:val="auto"/>
        </w:rPr>
        <w:t>Audit Bureau of Circulation (2016) Press audit results. Auck</w:t>
      </w:r>
      <w:r w:rsidR="00AE7C77" w:rsidRPr="00AE7C77">
        <w:rPr>
          <w:rFonts w:asciiTheme="majorBidi" w:eastAsiaTheme="minorHAnsi" w:hAnsiTheme="majorBidi" w:cstheme="majorBidi"/>
          <w:color w:val="auto"/>
        </w:rPr>
        <w:t>l</w:t>
      </w:r>
      <w:r w:rsidRPr="00AE7C77">
        <w:rPr>
          <w:rFonts w:asciiTheme="majorBidi" w:eastAsiaTheme="minorHAnsi" w:hAnsiTheme="majorBidi" w:cstheme="majorBidi"/>
          <w:color w:val="auto"/>
        </w:rPr>
        <w:t>and, NZ</w:t>
      </w:r>
      <w:r w:rsidRPr="00AE7C77">
        <w:rPr>
          <w:rFonts w:asciiTheme="majorBidi" w:eastAsiaTheme="minorHAnsi" w:hAnsiTheme="majorBidi" w:cstheme="majorBidi"/>
          <w:color w:val="auto"/>
        </w:rPr>
        <w:t xml:space="preserve">. </w:t>
      </w:r>
      <w:r w:rsidR="009B5836" w:rsidRPr="009B5836">
        <w:rPr>
          <w:rFonts w:asciiTheme="majorBidi" w:eastAsiaTheme="minorHAnsi" w:hAnsiTheme="majorBidi" w:cstheme="majorBidi"/>
          <w:color w:val="auto"/>
        </w:rPr>
        <w:t>http://newspaper.abc.org.nz/audit.html</w:t>
      </w:r>
      <w:r w:rsidR="009B5836">
        <w:rPr>
          <w:rFonts w:asciiTheme="majorBidi" w:eastAsiaTheme="minorHAnsi" w:hAnsiTheme="majorBidi" w:cstheme="majorBidi"/>
          <w:color w:val="auto"/>
        </w:rPr>
        <w:t>. Accessed May 08 2016</w:t>
      </w:r>
    </w:p>
    <w:p w14:paraId="48FC2A5D" w14:textId="2889BCB5" w:rsidR="00A432A5" w:rsidRPr="00AE7C77" w:rsidRDefault="00A432A5" w:rsidP="00BE3C35">
      <w:pPr>
        <w:spacing w:line="240" w:lineRule="auto"/>
        <w:rPr>
          <w:rFonts w:asciiTheme="majorBidi" w:hAnsiTheme="majorBidi" w:cstheme="majorBidi"/>
        </w:rPr>
      </w:pPr>
      <w:r w:rsidRPr="00AE7C77">
        <w:rPr>
          <w:rFonts w:asciiTheme="majorBidi" w:hAnsiTheme="majorBidi" w:cstheme="majorBidi"/>
        </w:rPr>
        <w:t>Newspapers Canada (2014) Circulation Report: Daily Newspapers 2014. Toronto, Canada.</w:t>
      </w:r>
    </w:p>
    <w:p w14:paraId="6D558B5A" w14:textId="519A0C17" w:rsidR="00A432A5" w:rsidRPr="00AE7C77" w:rsidRDefault="00A432A5" w:rsidP="00BE3C35">
      <w:pPr>
        <w:spacing w:line="240" w:lineRule="auto"/>
        <w:ind w:left="720"/>
        <w:rPr>
          <w:rFonts w:asciiTheme="majorBidi" w:hAnsiTheme="majorBidi" w:cstheme="majorBidi"/>
        </w:rPr>
      </w:pPr>
      <w:r w:rsidRPr="00AE7C77">
        <w:rPr>
          <w:rFonts w:asciiTheme="majorBidi" w:hAnsiTheme="majorBidi" w:cstheme="majorBidi"/>
        </w:rPr>
        <w:t>http://www.newspaperscanada.ca/sites/default/files/2014_Circulation_Report-Daily_Newspapers_in_Canada_FINAL_20150603_0.pdf</w:t>
      </w:r>
      <w:r w:rsidR="009B5836">
        <w:rPr>
          <w:rFonts w:asciiTheme="majorBidi" w:hAnsiTheme="majorBidi" w:cstheme="majorBidi"/>
        </w:rPr>
        <w:t>.</w:t>
      </w:r>
      <w:r w:rsidRPr="00AE7C77">
        <w:rPr>
          <w:rFonts w:asciiTheme="majorBidi" w:hAnsiTheme="majorBidi" w:cstheme="majorBidi"/>
        </w:rPr>
        <w:t xml:space="preserve"> </w:t>
      </w:r>
      <w:r w:rsidR="009B5836">
        <w:rPr>
          <w:rFonts w:asciiTheme="majorBidi" w:eastAsiaTheme="minorHAnsi" w:hAnsiTheme="majorBidi" w:cstheme="majorBidi"/>
          <w:color w:val="auto"/>
        </w:rPr>
        <w:t>Accessed May 08 2016</w:t>
      </w:r>
    </w:p>
    <w:p w14:paraId="23EA244C" w14:textId="5BDAAA27" w:rsidR="00A432A5" w:rsidRPr="00AE7C77" w:rsidRDefault="00A432A5" w:rsidP="00BE3C35">
      <w:pPr>
        <w:autoSpaceDE w:val="0"/>
        <w:autoSpaceDN w:val="0"/>
        <w:adjustRightInd w:val="0"/>
        <w:spacing w:line="240" w:lineRule="auto"/>
        <w:ind w:left="720" w:hanging="720"/>
        <w:rPr>
          <w:rFonts w:asciiTheme="majorBidi" w:eastAsiaTheme="minorHAnsi" w:hAnsiTheme="majorBidi" w:cstheme="majorBidi"/>
          <w:color w:val="auto"/>
        </w:rPr>
      </w:pPr>
      <w:r w:rsidRPr="00AE7C77">
        <w:rPr>
          <w:rFonts w:asciiTheme="majorBidi" w:eastAsiaTheme="minorHAnsi" w:hAnsiTheme="majorBidi" w:cstheme="majorBidi"/>
          <w:color w:val="auto"/>
        </w:rPr>
        <w:t xml:space="preserve">Norris T, Vines PL, Hoeffel EM (2012) The American Indian and Alaska Native Population: 2010. United States Census Bureau, </w:t>
      </w:r>
      <w:r w:rsidRPr="00AE7C77">
        <w:rPr>
          <w:rFonts w:asciiTheme="majorBidi" w:eastAsiaTheme="minorHAnsi" w:hAnsiTheme="majorBidi" w:cstheme="majorBidi"/>
          <w:color w:val="auto"/>
        </w:rPr>
        <w:t>Washington D.C.</w:t>
      </w:r>
    </w:p>
    <w:p w14:paraId="44B519B2" w14:textId="5795DFFD" w:rsidR="00BE3C35" w:rsidRPr="00AE7C77" w:rsidRDefault="00BE3C35" w:rsidP="00BE3C35">
      <w:pPr>
        <w:autoSpaceDE w:val="0"/>
        <w:autoSpaceDN w:val="0"/>
        <w:adjustRightInd w:val="0"/>
        <w:spacing w:line="240" w:lineRule="auto"/>
        <w:ind w:left="720" w:hanging="720"/>
        <w:rPr>
          <w:rFonts w:asciiTheme="majorBidi" w:eastAsiaTheme="minorHAnsi" w:hAnsiTheme="majorBidi" w:cstheme="majorBidi"/>
          <w:color w:val="auto"/>
        </w:rPr>
      </w:pPr>
      <w:r w:rsidRPr="00AE7C77">
        <w:rPr>
          <w:rFonts w:asciiTheme="majorBidi" w:eastAsiaTheme="minorHAnsi" w:hAnsiTheme="majorBidi" w:cstheme="majorBidi"/>
          <w:color w:val="auto"/>
        </w:rPr>
        <w:t>Roy Morgan Research (2016) Australian Newspaper Readership (12 months to September 2016_. Melbourne, Australia</w:t>
      </w:r>
      <w:r w:rsidR="009B5836">
        <w:rPr>
          <w:rFonts w:asciiTheme="majorBidi" w:eastAsiaTheme="minorHAnsi" w:hAnsiTheme="majorBidi" w:cstheme="majorBidi"/>
          <w:color w:val="auto"/>
        </w:rPr>
        <w:t xml:space="preserve">. </w:t>
      </w:r>
      <w:r w:rsidR="009B5836" w:rsidRPr="009B5836">
        <w:rPr>
          <w:rFonts w:asciiTheme="majorBidi" w:eastAsiaTheme="minorHAnsi" w:hAnsiTheme="majorBidi" w:cstheme="majorBidi"/>
          <w:color w:val="auto"/>
        </w:rPr>
        <w:t>http://www.roymorgan.c</w:t>
      </w:r>
      <w:bookmarkStart w:id="0" w:name="_GoBack"/>
      <w:bookmarkEnd w:id="0"/>
      <w:r w:rsidR="009B5836" w:rsidRPr="009B5836">
        <w:rPr>
          <w:rFonts w:asciiTheme="majorBidi" w:eastAsiaTheme="minorHAnsi" w:hAnsiTheme="majorBidi" w:cstheme="majorBidi"/>
          <w:color w:val="auto"/>
        </w:rPr>
        <w:t>om/industries/media/readership/newspaper-readership</w:t>
      </w:r>
      <w:r w:rsidR="009B5836">
        <w:rPr>
          <w:rFonts w:asciiTheme="majorBidi" w:eastAsiaTheme="minorHAnsi" w:hAnsiTheme="majorBidi" w:cstheme="majorBidi"/>
          <w:color w:val="auto"/>
        </w:rPr>
        <w:t>. Accessed May 06 2016</w:t>
      </w:r>
    </w:p>
    <w:p w14:paraId="0E590600" w14:textId="77777777" w:rsidR="00BE3C35" w:rsidRPr="00AE7C77" w:rsidRDefault="00BE3C35" w:rsidP="00A432A5">
      <w:pPr>
        <w:autoSpaceDE w:val="0"/>
        <w:autoSpaceDN w:val="0"/>
        <w:adjustRightInd w:val="0"/>
        <w:spacing w:line="240" w:lineRule="auto"/>
        <w:ind w:left="720" w:hanging="720"/>
        <w:rPr>
          <w:rFonts w:asciiTheme="majorBidi" w:eastAsiaTheme="minorHAnsi" w:hAnsiTheme="majorBidi" w:cstheme="majorBidi"/>
          <w:color w:val="auto"/>
        </w:rPr>
      </w:pPr>
    </w:p>
    <w:p w14:paraId="07CBC55E" w14:textId="77777777" w:rsidR="00A432A5" w:rsidRPr="00AE7C77" w:rsidRDefault="00A432A5" w:rsidP="00A432A5">
      <w:pPr>
        <w:ind w:left="720"/>
        <w:rPr>
          <w:rFonts w:asciiTheme="majorBidi" w:hAnsiTheme="majorBidi" w:cstheme="majorBidi"/>
        </w:rPr>
      </w:pPr>
    </w:p>
    <w:p w14:paraId="7BF84738" w14:textId="749D80D2" w:rsidR="00B129DE" w:rsidRPr="00AE7C77" w:rsidRDefault="00B129DE" w:rsidP="00A432A5">
      <w:pPr>
        <w:ind w:left="720"/>
        <w:rPr>
          <w:rFonts w:asciiTheme="majorBidi" w:hAnsiTheme="majorBidi" w:cstheme="majorBidi"/>
        </w:rPr>
      </w:pPr>
    </w:p>
    <w:p w14:paraId="58F91AC6" w14:textId="18D2308D" w:rsidR="00BE3C35" w:rsidRPr="00AE7C77" w:rsidRDefault="00BE3C35" w:rsidP="00BE3C35">
      <w:pPr>
        <w:shd w:val="clear" w:color="auto" w:fill="FCFCFC"/>
        <w:spacing w:line="240" w:lineRule="auto"/>
        <w:textAlignment w:val="baseline"/>
        <w:rPr>
          <w:rFonts w:asciiTheme="majorBidi" w:eastAsia="Arial Unicode MS" w:hAnsiTheme="majorBidi" w:cstheme="majorBidi"/>
          <w:color w:val="2E2E2E"/>
        </w:rPr>
      </w:pPr>
    </w:p>
    <w:p w14:paraId="5963EB87" w14:textId="77777777" w:rsidR="00BE3C35" w:rsidRPr="00AE7C77" w:rsidRDefault="00BE3C35" w:rsidP="00A432A5">
      <w:pPr>
        <w:ind w:left="720"/>
        <w:rPr>
          <w:rFonts w:asciiTheme="majorBidi" w:hAnsiTheme="majorBidi" w:cstheme="majorBidi"/>
        </w:rPr>
      </w:pPr>
    </w:p>
    <w:sectPr w:rsidR="00BE3C35" w:rsidRPr="00AE7C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7E63A" w14:textId="77777777" w:rsidR="005C7EA3" w:rsidRDefault="005C7EA3" w:rsidP="000A51A2">
      <w:pPr>
        <w:spacing w:line="240" w:lineRule="auto"/>
      </w:pPr>
      <w:r>
        <w:separator/>
      </w:r>
    </w:p>
  </w:endnote>
  <w:endnote w:type="continuationSeparator" w:id="0">
    <w:p w14:paraId="3A1168D3" w14:textId="77777777" w:rsidR="005C7EA3" w:rsidRDefault="005C7EA3" w:rsidP="000A51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FAE60" w14:textId="77777777" w:rsidR="005C7EA3" w:rsidRDefault="005C7EA3" w:rsidP="000A51A2">
      <w:pPr>
        <w:spacing w:line="240" w:lineRule="auto"/>
      </w:pPr>
      <w:r>
        <w:separator/>
      </w:r>
    </w:p>
  </w:footnote>
  <w:footnote w:type="continuationSeparator" w:id="0">
    <w:p w14:paraId="234C809D" w14:textId="77777777" w:rsidR="005C7EA3" w:rsidRDefault="005C7EA3" w:rsidP="000A51A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87E92"/>
    <w:multiLevelType w:val="multilevel"/>
    <w:tmpl w:val="1A5E0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7662FD"/>
    <w:multiLevelType w:val="multilevel"/>
    <w:tmpl w:val="C4F8D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1&lt;/Suspended&gt;&lt;/ENInstantFormat&gt;"/>
    <w:docVar w:name="EN.Layout" w:val="&lt;ENLayout&gt;&lt;Style&gt;Climatic Chang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t9sf9t0k9990rertwo5af9fzs90xespwrvd&quot;&gt;My EndNote Library&lt;record-ids&gt;&lt;item&gt;691&lt;/item&gt;&lt;item&gt;692&lt;/item&gt;&lt;item&gt;693&lt;/item&gt;&lt;/record-ids&gt;&lt;/item&gt;&lt;/Libraries&gt;"/>
  </w:docVars>
  <w:rsids>
    <w:rsidRoot w:val="000A51A2"/>
    <w:rsid w:val="00066F38"/>
    <w:rsid w:val="000A51A2"/>
    <w:rsid w:val="000E5622"/>
    <w:rsid w:val="001D2093"/>
    <w:rsid w:val="001F20C4"/>
    <w:rsid w:val="003F3712"/>
    <w:rsid w:val="00491675"/>
    <w:rsid w:val="00584320"/>
    <w:rsid w:val="005C7EA3"/>
    <w:rsid w:val="0066318B"/>
    <w:rsid w:val="00682BB2"/>
    <w:rsid w:val="006F2EC0"/>
    <w:rsid w:val="007C6982"/>
    <w:rsid w:val="007E131F"/>
    <w:rsid w:val="00885FBB"/>
    <w:rsid w:val="00946484"/>
    <w:rsid w:val="009B5836"/>
    <w:rsid w:val="00A432A5"/>
    <w:rsid w:val="00AD227F"/>
    <w:rsid w:val="00AE7C77"/>
    <w:rsid w:val="00B129DE"/>
    <w:rsid w:val="00B812E7"/>
    <w:rsid w:val="00BE0B35"/>
    <w:rsid w:val="00BE1801"/>
    <w:rsid w:val="00BE3C35"/>
    <w:rsid w:val="00C219A4"/>
    <w:rsid w:val="00CF326C"/>
    <w:rsid w:val="00D45E90"/>
    <w:rsid w:val="00F005FF"/>
    <w:rsid w:val="00F010A5"/>
    <w:rsid w:val="00F21894"/>
    <w:rsid w:val="00F423A6"/>
    <w:rsid w:val="00F823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BA7DE"/>
  <w15:chartTrackingRefBased/>
  <w15:docId w15:val="{06F53D82-DFA7-4729-AA40-0394F3D33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sid w:val="000A51A2"/>
    <w:pPr>
      <w:spacing w:after="0" w:line="276" w:lineRule="auto"/>
    </w:pPr>
    <w:rPr>
      <w:rFonts w:ascii="Arial" w:eastAsia="Arial" w:hAnsi="Arial" w:cs="Arial"/>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0A51A2"/>
    <w:pPr>
      <w:spacing w:line="240" w:lineRule="auto"/>
    </w:pPr>
    <w:rPr>
      <w:sz w:val="20"/>
      <w:szCs w:val="20"/>
    </w:rPr>
  </w:style>
  <w:style w:type="character" w:customStyle="1" w:styleId="CommentTextChar">
    <w:name w:val="Comment Text Char"/>
    <w:basedOn w:val="DefaultParagraphFont"/>
    <w:link w:val="CommentText"/>
    <w:uiPriority w:val="99"/>
    <w:semiHidden/>
    <w:rsid w:val="000A51A2"/>
    <w:rPr>
      <w:rFonts w:ascii="Arial" w:eastAsia="Arial" w:hAnsi="Arial" w:cs="Arial"/>
      <w:color w:val="000000"/>
      <w:sz w:val="20"/>
      <w:szCs w:val="20"/>
    </w:rPr>
  </w:style>
  <w:style w:type="character" w:styleId="CommentReference">
    <w:name w:val="annotation reference"/>
    <w:basedOn w:val="DefaultParagraphFont"/>
    <w:uiPriority w:val="99"/>
    <w:semiHidden/>
    <w:unhideWhenUsed/>
    <w:rsid w:val="000A51A2"/>
    <w:rPr>
      <w:sz w:val="16"/>
      <w:szCs w:val="16"/>
    </w:rPr>
  </w:style>
  <w:style w:type="table" w:styleId="TableGrid">
    <w:name w:val="Table Grid"/>
    <w:basedOn w:val="TableNormal"/>
    <w:uiPriority w:val="39"/>
    <w:rsid w:val="000A51A2"/>
    <w:pPr>
      <w:spacing w:after="0" w:line="240" w:lineRule="auto"/>
    </w:pPr>
    <w:rPr>
      <w:rFonts w:ascii="Arial" w:eastAsia="Arial" w:hAnsi="Arial" w:cs="Arial"/>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51A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1A2"/>
    <w:rPr>
      <w:rFonts w:ascii="Segoe UI" w:eastAsia="Arial" w:hAnsi="Segoe UI" w:cs="Segoe UI"/>
      <w:color w:val="000000"/>
      <w:sz w:val="18"/>
      <w:szCs w:val="18"/>
    </w:rPr>
  </w:style>
  <w:style w:type="paragraph" w:styleId="CommentSubject">
    <w:name w:val="annotation subject"/>
    <w:basedOn w:val="CommentText"/>
    <w:next w:val="CommentText"/>
    <w:link w:val="CommentSubjectChar"/>
    <w:uiPriority w:val="99"/>
    <w:semiHidden/>
    <w:unhideWhenUsed/>
    <w:rsid w:val="00B812E7"/>
    <w:rPr>
      <w:b/>
      <w:bCs/>
    </w:rPr>
  </w:style>
  <w:style w:type="character" w:customStyle="1" w:styleId="CommentSubjectChar">
    <w:name w:val="Comment Subject Char"/>
    <w:basedOn w:val="CommentTextChar"/>
    <w:link w:val="CommentSubject"/>
    <w:uiPriority w:val="99"/>
    <w:semiHidden/>
    <w:rsid w:val="00B812E7"/>
    <w:rPr>
      <w:rFonts w:ascii="Arial" w:eastAsia="Arial" w:hAnsi="Arial" w:cs="Arial"/>
      <w:b/>
      <w:bCs/>
      <w:color w:val="000000"/>
      <w:sz w:val="20"/>
      <w:szCs w:val="20"/>
    </w:rPr>
  </w:style>
  <w:style w:type="paragraph" w:customStyle="1" w:styleId="EndNoteBibliographyTitle">
    <w:name w:val="EndNote Bibliography Title"/>
    <w:basedOn w:val="Normal"/>
    <w:link w:val="EndNoteBibliographyTitleChar"/>
    <w:rsid w:val="00F005FF"/>
    <w:pPr>
      <w:jc w:val="center"/>
    </w:pPr>
    <w:rPr>
      <w:noProof/>
    </w:rPr>
  </w:style>
  <w:style w:type="character" w:customStyle="1" w:styleId="EndNoteBibliographyTitleChar">
    <w:name w:val="EndNote Bibliography Title Char"/>
    <w:basedOn w:val="DefaultParagraphFont"/>
    <w:link w:val="EndNoteBibliographyTitle"/>
    <w:rsid w:val="00F005FF"/>
    <w:rPr>
      <w:rFonts w:ascii="Arial" w:eastAsia="Arial" w:hAnsi="Arial" w:cs="Arial"/>
      <w:noProof/>
      <w:color w:val="000000"/>
    </w:rPr>
  </w:style>
  <w:style w:type="paragraph" w:customStyle="1" w:styleId="EndNoteBibliography">
    <w:name w:val="EndNote Bibliography"/>
    <w:basedOn w:val="Normal"/>
    <w:link w:val="EndNoteBibliographyChar"/>
    <w:rsid w:val="00F005FF"/>
    <w:pPr>
      <w:spacing w:line="240" w:lineRule="auto"/>
    </w:pPr>
    <w:rPr>
      <w:noProof/>
    </w:rPr>
  </w:style>
  <w:style w:type="character" w:customStyle="1" w:styleId="EndNoteBibliographyChar">
    <w:name w:val="EndNote Bibliography Char"/>
    <w:basedOn w:val="DefaultParagraphFont"/>
    <w:link w:val="EndNoteBibliography"/>
    <w:rsid w:val="00F005FF"/>
    <w:rPr>
      <w:rFonts w:ascii="Arial" w:eastAsia="Arial" w:hAnsi="Arial" w:cs="Arial"/>
      <w:noProof/>
      <w:color w:val="000000"/>
    </w:rPr>
  </w:style>
  <w:style w:type="character" w:styleId="Hyperlink">
    <w:name w:val="Hyperlink"/>
    <w:basedOn w:val="DefaultParagraphFont"/>
    <w:uiPriority w:val="99"/>
    <w:unhideWhenUsed/>
    <w:rsid w:val="00F005FF"/>
    <w:rPr>
      <w:color w:val="0563C1" w:themeColor="hyperlink"/>
      <w:u w:val="single"/>
    </w:rPr>
  </w:style>
  <w:style w:type="character" w:styleId="FollowedHyperlink">
    <w:name w:val="FollowedHyperlink"/>
    <w:basedOn w:val="DefaultParagraphFont"/>
    <w:uiPriority w:val="99"/>
    <w:semiHidden/>
    <w:unhideWhenUsed/>
    <w:rsid w:val="00A432A5"/>
    <w:rPr>
      <w:color w:val="954F72" w:themeColor="followedHyperlink"/>
      <w:u w:val="single"/>
    </w:rPr>
  </w:style>
  <w:style w:type="character" w:customStyle="1" w:styleId="apple-converted-space">
    <w:name w:val="apple-converted-space"/>
    <w:basedOn w:val="DefaultParagraphFont"/>
    <w:rsid w:val="00F010A5"/>
  </w:style>
  <w:style w:type="character" w:customStyle="1" w:styleId="interref">
    <w:name w:val="interref"/>
    <w:basedOn w:val="DefaultParagraphFont"/>
    <w:rsid w:val="00F010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558529">
      <w:bodyDiv w:val="1"/>
      <w:marLeft w:val="0"/>
      <w:marRight w:val="0"/>
      <w:marTop w:val="0"/>
      <w:marBottom w:val="0"/>
      <w:divBdr>
        <w:top w:val="none" w:sz="0" w:space="0" w:color="auto"/>
        <w:left w:val="none" w:sz="0" w:space="0" w:color="auto"/>
        <w:bottom w:val="none" w:sz="0" w:space="0" w:color="auto"/>
        <w:right w:val="none" w:sz="0" w:space="0" w:color="auto"/>
      </w:divBdr>
    </w:div>
    <w:div w:id="1359161601">
      <w:bodyDiv w:val="1"/>
      <w:marLeft w:val="0"/>
      <w:marRight w:val="0"/>
      <w:marTop w:val="0"/>
      <w:marBottom w:val="0"/>
      <w:divBdr>
        <w:top w:val="none" w:sz="0" w:space="0" w:color="auto"/>
        <w:left w:val="none" w:sz="0" w:space="0" w:color="auto"/>
        <w:bottom w:val="none" w:sz="0" w:space="0" w:color="auto"/>
        <w:right w:val="none" w:sz="0" w:space="0" w:color="auto"/>
      </w:divBdr>
    </w:div>
    <w:div w:id="164916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lla\Documents\Scientific%20Software\ATLASti\Reports\Media%20Analysis3_CPD_Matrix%20(16).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lla\Documents\Scientific%20Software\ATLASti\Reports\Media%20Analysis3_CPD_Matrix%20(16).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lla\Documents\Scientific%20Software\ATLASti\Reports\Media%20Analysis3_CPD_Matrix%20(16).xls"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lla\Documents\Scientific%20Software\ATLASti\Reports\Media%20Analysis3_CPD_Matrix%20(16).xls"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Response</a:t>
            </a:r>
            <a:r>
              <a:rPr lang="en-US" baseline="0"/>
              <a:t> Type</a:t>
            </a:r>
            <a:endParaRPr lang="en-US"/>
          </a:p>
        </c:rich>
      </c:tx>
      <c:layout>
        <c:manualLayout>
          <c:xMode val="edge"/>
          <c:yMode val="edge"/>
          <c:x val="0.41478519257491003"/>
          <c:y val="4.24123634473954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6580927384076991E-2"/>
          <c:y val="0.11102940621722827"/>
          <c:w val="0.90286351706036749"/>
          <c:h val="0.4990767961733944"/>
        </c:manualLayout>
      </c:layout>
      <c:barChart>
        <c:barDir val="col"/>
        <c:grouping val="stacked"/>
        <c:varyColors val="0"/>
        <c:ser>
          <c:idx val="1"/>
          <c:order val="1"/>
          <c:tx>
            <c:strRef>
              <c:f>Sheet1!$B$1</c:f>
              <c:strCache>
                <c:ptCount val="1"/>
                <c:pt idx="0">
                  <c:v>Adaptation: generic</c:v>
                </c:pt>
              </c:strCache>
            </c:strRef>
          </c:tx>
          <c:spPr>
            <a:solidFill>
              <a:schemeClr val="accent2"/>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Sheet1!$B$3:$B$22</c:f>
              <c:numCache>
                <c:formatCode>General</c:formatCode>
                <c:ptCount val="20"/>
                <c:pt idx="0">
                  <c:v>0</c:v>
                </c:pt>
                <c:pt idx="1">
                  <c:v>0</c:v>
                </c:pt>
                <c:pt idx="2">
                  <c:v>0</c:v>
                </c:pt>
                <c:pt idx="3">
                  <c:v>0</c:v>
                </c:pt>
                <c:pt idx="4">
                  <c:v>0</c:v>
                </c:pt>
                <c:pt idx="5">
                  <c:v>0</c:v>
                </c:pt>
                <c:pt idx="6">
                  <c:v>0</c:v>
                </c:pt>
                <c:pt idx="7">
                  <c:v>0</c:v>
                </c:pt>
                <c:pt idx="8">
                  <c:v>0</c:v>
                </c:pt>
                <c:pt idx="9">
                  <c:v>1</c:v>
                </c:pt>
                <c:pt idx="10">
                  <c:v>0</c:v>
                </c:pt>
                <c:pt idx="11">
                  <c:v>0</c:v>
                </c:pt>
                <c:pt idx="12">
                  <c:v>1</c:v>
                </c:pt>
                <c:pt idx="13">
                  <c:v>1</c:v>
                </c:pt>
                <c:pt idx="14">
                  <c:v>1</c:v>
                </c:pt>
                <c:pt idx="15">
                  <c:v>0</c:v>
                </c:pt>
                <c:pt idx="16">
                  <c:v>0</c:v>
                </c:pt>
                <c:pt idx="17">
                  <c:v>1</c:v>
                </c:pt>
                <c:pt idx="18">
                  <c:v>0</c:v>
                </c:pt>
                <c:pt idx="19">
                  <c:v>0</c:v>
                </c:pt>
              </c:numCache>
            </c:numRef>
          </c:val>
          <c:extLst>
            <c:ext xmlns:c16="http://schemas.microsoft.com/office/drawing/2014/chart" uri="{C3380CC4-5D6E-409C-BE32-E72D297353CC}">
              <c16:uniqueId val="{00000000-E602-4C36-9B3F-BDC359D83711}"/>
            </c:ext>
          </c:extLst>
        </c:ser>
        <c:ser>
          <c:idx val="2"/>
          <c:order val="2"/>
          <c:tx>
            <c:strRef>
              <c:f>Sheet1!$C$1</c:f>
              <c:strCache>
                <c:ptCount val="1"/>
                <c:pt idx="0">
                  <c:v>Adaptation: financial support</c:v>
                </c:pt>
              </c:strCache>
            </c:strRef>
          </c:tx>
          <c:spPr>
            <a:solidFill>
              <a:schemeClr val="accent3"/>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Sheet1!$C$3:$C$22</c:f>
              <c:numCache>
                <c:formatCode>General</c:formatCode>
                <c:ptCount val="20"/>
                <c:pt idx="0">
                  <c:v>0</c:v>
                </c:pt>
                <c:pt idx="1">
                  <c:v>0</c:v>
                </c:pt>
                <c:pt idx="2">
                  <c:v>0</c:v>
                </c:pt>
                <c:pt idx="3">
                  <c:v>0</c:v>
                </c:pt>
                <c:pt idx="4">
                  <c:v>0</c:v>
                </c:pt>
                <c:pt idx="5">
                  <c:v>0</c:v>
                </c:pt>
                <c:pt idx="6">
                  <c:v>0</c:v>
                </c:pt>
                <c:pt idx="7">
                  <c:v>0</c:v>
                </c:pt>
                <c:pt idx="8">
                  <c:v>0</c:v>
                </c:pt>
                <c:pt idx="9">
                  <c:v>0</c:v>
                </c:pt>
                <c:pt idx="10">
                  <c:v>1</c:v>
                </c:pt>
                <c:pt idx="11">
                  <c:v>0</c:v>
                </c:pt>
                <c:pt idx="12">
                  <c:v>1</c:v>
                </c:pt>
                <c:pt idx="13">
                  <c:v>2</c:v>
                </c:pt>
                <c:pt idx="14">
                  <c:v>0</c:v>
                </c:pt>
                <c:pt idx="15">
                  <c:v>0</c:v>
                </c:pt>
                <c:pt idx="16">
                  <c:v>0</c:v>
                </c:pt>
                <c:pt idx="17">
                  <c:v>0</c:v>
                </c:pt>
                <c:pt idx="18">
                  <c:v>0</c:v>
                </c:pt>
                <c:pt idx="19">
                  <c:v>0</c:v>
                </c:pt>
              </c:numCache>
            </c:numRef>
          </c:val>
          <c:extLst>
            <c:ext xmlns:c16="http://schemas.microsoft.com/office/drawing/2014/chart" uri="{C3380CC4-5D6E-409C-BE32-E72D297353CC}">
              <c16:uniqueId val="{00000001-E602-4C36-9B3F-BDC359D83711}"/>
            </c:ext>
          </c:extLst>
        </c:ser>
        <c:ser>
          <c:idx val="4"/>
          <c:order val="3"/>
          <c:tx>
            <c:strRef>
              <c:f>Sheet1!$E$1</c:f>
              <c:strCache>
                <c:ptCount val="1"/>
                <c:pt idx="0">
                  <c:v>Adaptation: legislation</c:v>
                </c:pt>
              </c:strCache>
            </c:strRef>
          </c:tx>
          <c:spPr>
            <a:solidFill>
              <a:schemeClr val="accent5"/>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Sheet1!$E$3:$E$22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2</c:v>
                </c:pt>
                <c:pt idx="12">
                  <c:v>3</c:v>
                </c:pt>
                <c:pt idx="13">
                  <c:v>2</c:v>
                </c:pt>
                <c:pt idx="14">
                  <c:v>1</c:v>
                </c:pt>
                <c:pt idx="15">
                  <c:v>0</c:v>
                </c:pt>
                <c:pt idx="16">
                  <c:v>0</c:v>
                </c:pt>
                <c:pt idx="17">
                  <c:v>0</c:v>
                </c:pt>
                <c:pt idx="18">
                  <c:v>0</c:v>
                </c:pt>
                <c:pt idx="19">
                  <c:v>0</c:v>
                </c:pt>
              </c:numCache>
            </c:numRef>
          </c:val>
          <c:extLst>
            <c:ext xmlns:c16="http://schemas.microsoft.com/office/drawing/2014/chart" uri="{C3380CC4-5D6E-409C-BE32-E72D297353CC}">
              <c16:uniqueId val="{00000002-E602-4C36-9B3F-BDC359D83711}"/>
            </c:ext>
          </c:extLst>
        </c:ser>
        <c:ser>
          <c:idx val="5"/>
          <c:order val="4"/>
          <c:tx>
            <c:strRef>
              <c:f>Sheet1!$F$1</c:f>
              <c:strCache>
                <c:ptCount val="1"/>
                <c:pt idx="0">
                  <c:v>Adaptation: departmental development</c:v>
                </c:pt>
              </c:strCache>
            </c:strRef>
          </c:tx>
          <c:spPr>
            <a:solidFill>
              <a:schemeClr val="accent6"/>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Sheet1!$F$3:$F$22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1</c:v>
                </c:pt>
                <c:pt idx="14">
                  <c:v>0</c:v>
                </c:pt>
                <c:pt idx="15">
                  <c:v>0</c:v>
                </c:pt>
                <c:pt idx="16">
                  <c:v>0</c:v>
                </c:pt>
                <c:pt idx="17">
                  <c:v>2</c:v>
                </c:pt>
                <c:pt idx="18">
                  <c:v>0</c:v>
                </c:pt>
                <c:pt idx="19">
                  <c:v>0</c:v>
                </c:pt>
              </c:numCache>
            </c:numRef>
          </c:val>
          <c:extLst>
            <c:ext xmlns:c16="http://schemas.microsoft.com/office/drawing/2014/chart" uri="{C3380CC4-5D6E-409C-BE32-E72D297353CC}">
              <c16:uniqueId val="{00000003-E602-4C36-9B3F-BDC359D83711}"/>
            </c:ext>
          </c:extLst>
        </c:ser>
        <c:ser>
          <c:idx val="6"/>
          <c:order val="5"/>
          <c:tx>
            <c:strRef>
              <c:f>Sheet1!$G$1</c:f>
              <c:strCache>
                <c:ptCount val="1"/>
                <c:pt idx="0">
                  <c:v>Adaptation: infrastructure development, technology</c:v>
                </c:pt>
              </c:strCache>
            </c:strRef>
          </c:tx>
          <c:spPr>
            <a:solidFill>
              <a:schemeClr val="accent1">
                <a:lumMod val="6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Sheet1!$G$3:$G$22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1</c:v>
                </c:pt>
                <c:pt idx="13">
                  <c:v>1</c:v>
                </c:pt>
                <c:pt idx="14">
                  <c:v>0</c:v>
                </c:pt>
                <c:pt idx="15">
                  <c:v>0</c:v>
                </c:pt>
                <c:pt idx="16">
                  <c:v>0</c:v>
                </c:pt>
                <c:pt idx="17">
                  <c:v>1</c:v>
                </c:pt>
                <c:pt idx="18">
                  <c:v>2</c:v>
                </c:pt>
                <c:pt idx="19">
                  <c:v>3</c:v>
                </c:pt>
              </c:numCache>
            </c:numRef>
          </c:val>
          <c:extLst>
            <c:ext xmlns:c16="http://schemas.microsoft.com/office/drawing/2014/chart" uri="{C3380CC4-5D6E-409C-BE32-E72D297353CC}">
              <c16:uniqueId val="{00000004-E602-4C36-9B3F-BDC359D83711}"/>
            </c:ext>
          </c:extLst>
        </c:ser>
        <c:ser>
          <c:idx val="7"/>
          <c:order val="6"/>
          <c:tx>
            <c:strRef>
              <c:f>Sheet1!$H$1</c:f>
              <c:strCache>
                <c:ptCount val="1"/>
                <c:pt idx="0">
                  <c:v>Adaptation: surveillance and monitoring</c:v>
                </c:pt>
              </c:strCache>
            </c:strRef>
          </c:tx>
          <c:spPr>
            <a:solidFill>
              <a:schemeClr val="accent2">
                <a:lumMod val="6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Sheet1!$H$3:$H$22</c:f>
              <c:numCache>
                <c:formatCode>General</c:formatCode>
                <c:ptCount val="20"/>
                <c:pt idx="0">
                  <c:v>0</c:v>
                </c:pt>
                <c:pt idx="1">
                  <c:v>0</c:v>
                </c:pt>
                <c:pt idx="2">
                  <c:v>0</c:v>
                </c:pt>
                <c:pt idx="3">
                  <c:v>0</c:v>
                </c:pt>
                <c:pt idx="4">
                  <c:v>0</c:v>
                </c:pt>
                <c:pt idx="5">
                  <c:v>0</c:v>
                </c:pt>
                <c:pt idx="6">
                  <c:v>1</c:v>
                </c:pt>
                <c:pt idx="7">
                  <c:v>0</c:v>
                </c:pt>
                <c:pt idx="8">
                  <c:v>0</c:v>
                </c:pt>
                <c:pt idx="9">
                  <c:v>1</c:v>
                </c:pt>
                <c:pt idx="10">
                  <c:v>0</c:v>
                </c:pt>
                <c:pt idx="11">
                  <c:v>1</c:v>
                </c:pt>
                <c:pt idx="12">
                  <c:v>1</c:v>
                </c:pt>
                <c:pt idx="13">
                  <c:v>1</c:v>
                </c:pt>
                <c:pt idx="14">
                  <c:v>1</c:v>
                </c:pt>
                <c:pt idx="15">
                  <c:v>0</c:v>
                </c:pt>
                <c:pt idx="16">
                  <c:v>0</c:v>
                </c:pt>
                <c:pt idx="17">
                  <c:v>0</c:v>
                </c:pt>
                <c:pt idx="18">
                  <c:v>0</c:v>
                </c:pt>
                <c:pt idx="19">
                  <c:v>1</c:v>
                </c:pt>
              </c:numCache>
            </c:numRef>
          </c:val>
          <c:extLst>
            <c:ext xmlns:c16="http://schemas.microsoft.com/office/drawing/2014/chart" uri="{C3380CC4-5D6E-409C-BE32-E72D297353CC}">
              <c16:uniqueId val="{00000005-E602-4C36-9B3F-BDC359D83711}"/>
            </c:ext>
          </c:extLst>
        </c:ser>
        <c:ser>
          <c:idx val="8"/>
          <c:order val="7"/>
          <c:tx>
            <c:strRef>
              <c:f>Sheet1!$I$1</c:f>
              <c:strCache>
                <c:ptCount val="1"/>
                <c:pt idx="0">
                  <c:v>Adaptation: public awareness and outreach</c:v>
                </c:pt>
              </c:strCache>
            </c:strRef>
          </c:tx>
          <c:spPr>
            <a:solidFill>
              <a:schemeClr val="accent3">
                <a:lumMod val="6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Sheet1!$I$3:$I$22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3</c:v>
                </c:pt>
                <c:pt idx="13">
                  <c:v>1</c:v>
                </c:pt>
                <c:pt idx="14">
                  <c:v>1</c:v>
                </c:pt>
                <c:pt idx="15">
                  <c:v>0</c:v>
                </c:pt>
                <c:pt idx="16">
                  <c:v>0</c:v>
                </c:pt>
                <c:pt idx="17">
                  <c:v>0</c:v>
                </c:pt>
                <c:pt idx="18">
                  <c:v>0</c:v>
                </c:pt>
                <c:pt idx="19">
                  <c:v>0</c:v>
                </c:pt>
              </c:numCache>
            </c:numRef>
          </c:val>
          <c:extLst>
            <c:ext xmlns:c16="http://schemas.microsoft.com/office/drawing/2014/chart" uri="{C3380CC4-5D6E-409C-BE32-E72D297353CC}">
              <c16:uniqueId val="{00000006-E602-4C36-9B3F-BDC359D83711}"/>
            </c:ext>
          </c:extLst>
        </c:ser>
        <c:ser>
          <c:idx val="9"/>
          <c:order val="8"/>
          <c:tx>
            <c:strRef>
              <c:f>Sheet1!$J$1</c:f>
              <c:strCache>
                <c:ptCount val="1"/>
                <c:pt idx="0">
                  <c:v>Adaptation: evaluation</c:v>
                </c:pt>
              </c:strCache>
            </c:strRef>
          </c:tx>
          <c:spPr>
            <a:solidFill>
              <a:schemeClr val="accent4">
                <a:lumMod val="6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Sheet1!$J$3:$J$22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1</c:v>
                </c:pt>
                <c:pt idx="14">
                  <c:v>0</c:v>
                </c:pt>
                <c:pt idx="15">
                  <c:v>0</c:v>
                </c:pt>
                <c:pt idx="16">
                  <c:v>0</c:v>
                </c:pt>
                <c:pt idx="17">
                  <c:v>0</c:v>
                </c:pt>
                <c:pt idx="18">
                  <c:v>0</c:v>
                </c:pt>
                <c:pt idx="19">
                  <c:v>0</c:v>
                </c:pt>
              </c:numCache>
            </c:numRef>
          </c:val>
          <c:extLst>
            <c:ext xmlns:c16="http://schemas.microsoft.com/office/drawing/2014/chart" uri="{C3380CC4-5D6E-409C-BE32-E72D297353CC}">
              <c16:uniqueId val="{00000007-E602-4C36-9B3F-BDC359D83711}"/>
            </c:ext>
          </c:extLst>
        </c:ser>
        <c:ser>
          <c:idx val="10"/>
          <c:order val="9"/>
          <c:tx>
            <c:strRef>
              <c:f>Sheet1!$K$1</c:f>
              <c:strCache>
                <c:ptCount val="1"/>
                <c:pt idx="0">
                  <c:v>Adaptation: medical intervention</c:v>
                </c:pt>
              </c:strCache>
            </c:strRef>
          </c:tx>
          <c:spPr>
            <a:solidFill>
              <a:schemeClr val="accent5">
                <a:lumMod val="6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Sheet1!$K$3:$K$22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c:v>
                </c:pt>
              </c:numCache>
            </c:numRef>
          </c:val>
          <c:extLst>
            <c:ext xmlns:c16="http://schemas.microsoft.com/office/drawing/2014/chart" uri="{C3380CC4-5D6E-409C-BE32-E72D297353CC}">
              <c16:uniqueId val="{00000008-E602-4C36-9B3F-BDC359D83711}"/>
            </c:ext>
          </c:extLst>
        </c:ser>
        <c:ser>
          <c:idx val="11"/>
          <c:order val="10"/>
          <c:tx>
            <c:strRef>
              <c:f>Sheet1!$L$1</c:f>
              <c:strCache>
                <c:ptCount val="1"/>
                <c:pt idx="0">
                  <c:v>Adaptation: lifestyle alteration</c:v>
                </c:pt>
              </c:strCache>
            </c:strRef>
          </c:tx>
          <c:spPr>
            <a:solidFill>
              <a:schemeClr val="accent6">
                <a:lumMod val="6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Sheet1!$L$3:$L$22</c:f>
              <c:numCache>
                <c:formatCode>General</c:formatCode>
                <c:ptCount val="20"/>
                <c:pt idx="0">
                  <c:v>0</c:v>
                </c:pt>
                <c:pt idx="1">
                  <c:v>0</c:v>
                </c:pt>
                <c:pt idx="2">
                  <c:v>0</c:v>
                </c:pt>
                <c:pt idx="3">
                  <c:v>0</c:v>
                </c:pt>
                <c:pt idx="4">
                  <c:v>0</c:v>
                </c:pt>
                <c:pt idx="5">
                  <c:v>0</c:v>
                </c:pt>
                <c:pt idx="6">
                  <c:v>1</c:v>
                </c:pt>
                <c:pt idx="7">
                  <c:v>0</c:v>
                </c:pt>
                <c:pt idx="8">
                  <c:v>0</c:v>
                </c:pt>
                <c:pt idx="9">
                  <c:v>0</c:v>
                </c:pt>
                <c:pt idx="10">
                  <c:v>3</c:v>
                </c:pt>
                <c:pt idx="11">
                  <c:v>3</c:v>
                </c:pt>
                <c:pt idx="12">
                  <c:v>0</c:v>
                </c:pt>
                <c:pt idx="13">
                  <c:v>0</c:v>
                </c:pt>
                <c:pt idx="14">
                  <c:v>0</c:v>
                </c:pt>
                <c:pt idx="15">
                  <c:v>0</c:v>
                </c:pt>
                <c:pt idx="16">
                  <c:v>0</c:v>
                </c:pt>
                <c:pt idx="17">
                  <c:v>0</c:v>
                </c:pt>
                <c:pt idx="18">
                  <c:v>0</c:v>
                </c:pt>
                <c:pt idx="19">
                  <c:v>1</c:v>
                </c:pt>
              </c:numCache>
            </c:numRef>
          </c:val>
          <c:extLst>
            <c:ext xmlns:c16="http://schemas.microsoft.com/office/drawing/2014/chart" uri="{C3380CC4-5D6E-409C-BE32-E72D297353CC}">
              <c16:uniqueId val="{00000009-E602-4C36-9B3F-BDC359D83711}"/>
            </c:ext>
          </c:extLst>
        </c:ser>
        <c:ser>
          <c:idx val="3"/>
          <c:order val="11"/>
          <c:tx>
            <c:strRef>
              <c:f>Sheet1!$D$1</c:f>
              <c:strCache>
                <c:ptCount val="1"/>
                <c:pt idx="0">
                  <c:v>Adaptation: other</c:v>
                </c:pt>
              </c:strCache>
            </c:strRef>
          </c:tx>
          <c:spPr>
            <a:solidFill>
              <a:schemeClr val="accent4"/>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Sheet1!$D$3:$D$22</c:f>
              <c:numCache>
                <c:formatCode>General</c:formatCode>
                <c:ptCount val="20"/>
                <c:pt idx="0">
                  <c:v>0</c:v>
                </c:pt>
                <c:pt idx="1">
                  <c:v>0</c:v>
                </c:pt>
                <c:pt idx="2">
                  <c:v>0</c:v>
                </c:pt>
                <c:pt idx="3">
                  <c:v>0</c:v>
                </c:pt>
                <c:pt idx="4">
                  <c:v>0</c:v>
                </c:pt>
                <c:pt idx="5">
                  <c:v>0</c:v>
                </c:pt>
                <c:pt idx="6">
                  <c:v>0</c:v>
                </c:pt>
                <c:pt idx="7">
                  <c:v>0</c:v>
                </c:pt>
                <c:pt idx="8">
                  <c:v>0</c:v>
                </c:pt>
                <c:pt idx="9">
                  <c:v>1</c:v>
                </c:pt>
                <c:pt idx="10">
                  <c:v>1</c:v>
                </c:pt>
                <c:pt idx="11">
                  <c:v>2</c:v>
                </c:pt>
                <c:pt idx="12">
                  <c:v>1</c:v>
                </c:pt>
                <c:pt idx="13">
                  <c:v>2</c:v>
                </c:pt>
                <c:pt idx="14">
                  <c:v>0</c:v>
                </c:pt>
                <c:pt idx="15">
                  <c:v>0</c:v>
                </c:pt>
                <c:pt idx="16">
                  <c:v>0</c:v>
                </c:pt>
                <c:pt idx="17">
                  <c:v>0</c:v>
                </c:pt>
                <c:pt idx="18">
                  <c:v>0</c:v>
                </c:pt>
                <c:pt idx="19">
                  <c:v>0</c:v>
                </c:pt>
              </c:numCache>
            </c:numRef>
          </c:val>
          <c:extLst>
            <c:ext xmlns:c16="http://schemas.microsoft.com/office/drawing/2014/chart" uri="{C3380CC4-5D6E-409C-BE32-E72D297353CC}">
              <c16:uniqueId val="{0000000A-E602-4C36-9B3F-BDC359D83711}"/>
            </c:ext>
          </c:extLst>
        </c:ser>
        <c:ser>
          <c:idx val="12"/>
          <c:order val="12"/>
          <c:tx>
            <c:strRef>
              <c:f>Sheet1!$M$1</c:f>
              <c:strCache>
                <c:ptCount val="1"/>
                <c:pt idx="0">
                  <c:v>Mitigation: generic</c:v>
                </c:pt>
              </c:strCache>
            </c:strRef>
          </c:tx>
          <c:spPr>
            <a:solidFill>
              <a:schemeClr val="accent1">
                <a:lumMod val="80000"/>
                <a:lumOff val="2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extLst xmlns:c15="http://schemas.microsoft.com/office/drawing/2012/chart"/>
            </c:numRef>
          </c:cat>
          <c:val>
            <c:numRef>
              <c:f>Sheet1!$M$3:$M$22</c:f>
              <c:numCache>
                <c:formatCode>General</c:formatCode>
                <c:ptCount val="20"/>
                <c:pt idx="0">
                  <c:v>0</c:v>
                </c:pt>
                <c:pt idx="1">
                  <c:v>0</c:v>
                </c:pt>
                <c:pt idx="2">
                  <c:v>0</c:v>
                </c:pt>
                <c:pt idx="3">
                  <c:v>0</c:v>
                </c:pt>
                <c:pt idx="4">
                  <c:v>0</c:v>
                </c:pt>
                <c:pt idx="5">
                  <c:v>1</c:v>
                </c:pt>
                <c:pt idx="6">
                  <c:v>0</c:v>
                </c:pt>
                <c:pt idx="7">
                  <c:v>0</c:v>
                </c:pt>
                <c:pt idx="8">
                  <c:v>0</c:v>
                </c:pt>
                <c:pt idx="9">
                  <c:v>1</c:v>
                </c:pt>
                <c:pt idx="10">
                  <c:v>0</c:v>
                </c:pt>
                <c:pt idx="11">
                  <c:v>2</c:v>
                </c:pt>
                <c:pt idx="12">
                  <c:v>0</c:v>
                </c:pt>
                <c:pt idx="13">
                  <c:v>1</c:v>
                </c:pt>
                <c:pt idx="14">
                  <c:v>0</c:v>
                </c:pt>
                <c:pt idx="15">
                  <c:v>1</c:v>
                </c:pt>
                <c:pt idx="16">
                  <c:v>1</c:v>
                </c:pt>
                <c:pt idx="17">
                  <c:v>0</c:v>
                </c:pt>
                <c:pt idx="18">
                  <c:v>0</c:v>
                </c:pt>
                <c:pt idx="19">
                  <c:v>2</c:v>
                </c:pt>
              </c:numCache>
              <c:extLst xmlns:c15="http://schemas.microsoft.com/office/drawing/2012/chart"/>
            </c:numRef>
          </c:val>
          <c:extLst>
            <c:ext xmlns:c16="http://schemas.microsoft.com/office/drawing/2014/chart" uri="{C3380CC4-5D6E-409C-BE32-E72D297353CC}">
              <c16:uniqueId val="{0000000B-E602-4C36-9B3F-BDC359D83711}"/>
            </c:ext>
          </c:extLst>
        </c:ser>
        <c:ser>
          <c:idx val="13"/>
          <c:order val="13"/>
          <c:tx>
            <c:strRef>
              <c:f>Sheet1!$N$1</c:f>
              <c:strCache>
                <c:ptCount val="1"/>
                <c:pt idx="0">
                  <c:v>Mitigation: legislation</c:v>
                </c:pt>
              </c:strCache>
            </c:strRef>
          </c:tx>
          <c:spPr>
            <a:solidFill>
              <a:schemeClr val="accent2">
                <a:lumMod val="80000"/>
                <a:lumOff val="2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extLst xmlns:c15="http://schemas.microsoft.com/office/drawing/2012/chart"/>
            </c:numRef>
          </c:cat>
          <c:val>
            <c:numRef>
              <c:f>Sheet1!$N$3:$N$22</c:f>
              <c:numCache>
                <c:formatCode>General</c:formatCode>
                <c:ptCount val="20"/>
                <c:pt idx="0">
                  <c:v>0</c:v>
                </c:pt>
                <c:pt idx="1">
                  <c:v>0</c:v>
                </c:pt>
                <c:pt idx="2">
                  <c:v>0</c:v>
                </c:pt>
                <c:pt idx="3">
                  <c:v>0</c:v>
                </c:pt>
                <c:pt idx="4">
                  <c:v>0</c:v>
                </c:pt>
                <c:pt idx="5">
                  <c:v>1</c:v>
                </c:pt>
                <c:pt idx="6">
                  <c:v>0</c:v>
                </c:pt>
                <c:pt idx="7">
                  <c:v>0</c:v>
                </c:pt>
                <c:pt idx="8">
                  <c:v>0</c:v>
                </c:pt>
                <c:pt idx="9">
                  <c:v>0</c:v>
                </c:pt>
                <c:pt idx="10">
                  <c:v>0</c:v>
                </c:pt>
                <c:pt idx="11">
                  <c:v>2</c:v>
                </c:pt>
                <c:pt idx="12">
                  <c:v>3</c:v>
                </c:pt>
                <c:pt idx="13">
                  <c:v>16</c:v>
                </c:pt>
                <c:pt idx="14">
                  <c:v>0</c:v>
                </c:pt>
                <c:pt idx="15">
                  <c:v>0</c:v>
                </c:pt>
                <c:pt idx="16">
                  <c:v>1</c:v>
                </c:pt>
                <c:pt idx="17">
                  <c:v>1</c:v>
                </c:pt>
                <c:pt idx="18">
                  <c:v>0</c:v>
                </c:pt>
                <c:pt idx="19">
                  <c:v>1</c:v>
                </c:pt>
              </c:numCache>
              <c:extLst xmlns:c15="http://schemas.microsoft.com/office/drawing/2012/chart"/>
            </c:numRef>
          </c:val>
          <c:extLst>
            <c:ext xmlns:c16="http://schemas.microsoft.com/office/drawing/2014/chart" uri="{C3380CC4-5D6E-409C-BE32-E72D297353CC}">
              <c16:uniqueId val="{0000000C-E602-4C36-9B3F-BDC359D83711}"/>
            </c:ext>
          </c:extLst>
        </c:ser>
        <c:ser>
          <c:idx val="14"/>
          <c:order val="14"/>
          <c:tx>
            <c:strRef>
              <c:f>Sheet1!$O$1</c:f>
              <c:strCache>
                <c:ptCount val="1"/>
                <c:pt idx="0">
                  <c:v>Mitigation: departmental development</c:v>
                </c:pt>
              </c:strCache>
            </c:strRef>
          </c:tx>
          <c:spPr>
            <a:solidFill>
              <a:schemeClr val="accent3">
                <a:lumMod val="80000"/>
                <a:lumOff val="2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extLst xmlns:c15="http://schemas.microsoft.com/office/drawing/2012/chart"/>
            </c:numRef>
          </c:cat>
          <c:val>
            <c:numRef>
              <c:f>Sheet1!$O$3:$O$22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extLst xmlns:c15="http://schemas.microsoft.com/office/drawing/2012/chart"/>
            </c:numRef>
          </c:val>
          <c:extLst>
            <c:ext xmlns:c16="http://schemas.microsoft.com/office/drawing/2014/chart" uri="{C3380CC4-5D6E-409C-BE32-E72D297353CC}">
              <c16:uniqueId val="{0000000D-E602-4C36-9B3F-BDC359D83711}"/>
            </c:ext>
          </c:extLst>
        </c:ser>
        <c:ser>
          <c:idx val="15"/>
          <c:order val="15"/>
          <c:tx>
            <c:strRef>
              <c:f>Sheet1!$P$1</c:f>
              <c:strCache>
                <c:ptCount val="1"/>
                <c:pt idx="0">
                  <c:v>Mitigation: infrastructure development, technology</c:v>
                </c:pt>
              </c:strCache>
            </c:strRef>
          </c:tx>
          <c:spPr>
            <a:solidFill>
              <a:schemeClr val="accent4">
                <a:lumMod val="80000"/>
                <a:lumOff val="2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extLst xmlns:c15="http://schemas.microsoft.com/office/drawing/2012/chart"/>
            </c:numRef>
          </c:cat>
          <c:val>
            <c:numRef>
              <c:f>Sheet1!$P$3:$P$22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1</c:v>
                </c:pt>
                <c:pt idx="12">
                  <c:v>0</c:v>
                </c:pt>
                <c:pt idx="13">
                  <c:v>0</c:v>
                </c:pt>
                <c:pt idx="14">
                  <c:v>0</c:v>
                </c:pt>
                <c:pt idx="15">
                  <c:v>0</c:v>
                </c:pt>
                <c:pt idx="16">
                  <c:v>1</c:v>
                </c:pt>
                <c:pt idx="17">
                  <c:v>0</c:v>
                </c:pt>
                <c:pt idx="18">
                  <c:v>0</c:v>
                </c:pt>
                <c:pt idx="19">
                  <c:v>0</c:v>
                </c:pt>
              </c:numCache>
              <c:extLst xmlns:c15="http://schemas.microsoft.com/office/drawing/2012/chart"/>
            </c:numRef>
          </c:val>
          <c:extLst>
            <c:ext xmlns:c16="http://schemas.microsoft.com/office/drawing/2014/chart" uri="{C3380CC4-5D6E-409C-BE32-E72D297353CC}">
              <c16:uniqueId val="{0000000E-E602-4C36-9B3F-BDC359D83711}"/>
            </c:ext>
          </c:extLst>
        </c:ser>
        <c:ser>
          <c:idx val="16"/>
          <c:order val="16"/>
          <c:tx>
            <c:strRef>
              <c:f>Sheet1!$Q$1</c:f>
              <c:strCache>
                <c:ptCount val="1"/>
                <c:pt idx="0">
                  <c:v>Mitigation: surveillance and monitoring</c:v>
                </c:pt>
              </c:strCache>
            </c:strRef>
          </c:tx>
          <c:spPr>
            <a:solidFill>
              <a:schemeClr val="accent5">
                <a:lumMod val="80000"/>
                <a:lumOff val="2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extLst xmlns:c15="http://schemas.microsoft.com/office/drawing/2012/chart"/>
            </c:numRef>
          </c:cat>
          <c:val>
            <c:numRef>
              <c:f>Sheet1!$Q$3:$Q$22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extLst xmlns:c15="http://schemas.microsoft.com/office/drawing/2012/chart"/>
            </c:numRef>
          </c:val>
          <c:extLst>
            <c:ext xmlns:c16="http://schemas.microsoft.com/office/drawing/2014/chart" uri="{C3380CC4-5D6E-409C-BE32-E72D297353CC}">
              <c16:uniqueId val="{0000000F-E602-4C36-9B3F-BDC359D83711}"/>
            </c:ext>
          </c:extLst>
        </c:ser>
        <c:ser>
          <c:idx val="17"/>
          <c:order val="17"/>
          <c:tx>
            <c:strRef>
              <c:f>Sheet1!$R$1</c:f>
              <c:strCache>
                <c:ptCount val="1"/>
                <c:pt idx="0">
                  <c:v>Mitigation: public awareness and outreach</c:v>
                </c:pt>
              </c:strCache>
            </c:strRef>
          </c:tx>
          <c:spPr>
            <a:solidFill>
              <a:schemeClr val="accent6">
                <a:lumMod val="80000"/>
                <a:lumOff val="2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extLst xmlns:c15="http://schemas.microsoft.com/office/drawing/2012/chart"/>
            </c:numRef>
          </c:cat>
          <c:val>
            <c:numRef>
              <c:f>Sheet1!$R$3:$R$22</c:f>
              <c:numCache>
                <c:formatCode>General</c:formatCode>
                <c:ptCount val="20"/>
                <c:pt idx="0">
                  <c:v>0</c:v>
                </c:pt>
                <c:pt idx="1">
                  <c:v>0</c:v>
                </c:pt>
                <c:pt idx="2">
                  <c:v>0</c:v>
                </c:pt>
                <c:pt idx="3">
                  <c:v>0</c:v>
                </c:pt>
                <c:pt idx="4">
                  <c:v>0</c:v>
                </c:pt>
                <c:pt idx="5">
                  <c:v>1</c:v>
                </c:pt>
                <c:pt idx="6">
                  <c:v>0</c:v>
                </c:pt>
                <c:pt idx="7">
                  <c:v>1</c:v>
                </c:pt>
                <c:pt idx="8">
                  <c:v>2</c:v>
                </c:pt>
                <c:pt idx="9">
                  <c:v>3</c:v>
                </c:pt>
                <c:pt idx="10">
                  <c:v>2</c:v>
                </c:pt>
                <c:pt idx="11">
                  <c:v>5</c:v>
                </c:pt>
                <c:pt idx="12">
                  <c:v>1</c:v>
                </c:pt>
                <c:pt idx="13">
                  <c:v>0</c:v>
                </c:pt>
                <c:pt idx="14">
                  <c:v>0</c:v>
                </c:pt>
                <c:pt idx="15">
                  <c:v>0</c:v>
                </c:pt>
                <c:pt idx="16">
                  <c:v>0</c:v>
                </c:pt>
                <c:pt idx="17">
                  <c:v>1</c:v>
                </c:pt>
                <c:pt idx="18">
                  <c:v>0</c:v>
                </c:pt>
                <c:pt idx="19">
                  <c:v>0</c:v>
                </c:pt>
              </c:numCache>
              <c:extLst xmlns:c15="http://schemas.microsoft.com/office/drawing/2012/chart"/>
            </c:numRef>
          </c:val>
          <c:extLst>
            <c:ext xmlns:c16="http://schemas.microsoft.com/office/drawing/2014/chart" uri="{C3380CC4-5D6E-409C-BE32-E72D297353CC}">
              <c16:uniqueId val="{00000010-E602-4C36-9B3F-BDC359D83711}"/>
            </c:ext>
          </c:extLst>
        </c:ser>
        <c:ser>
          <c:idx val="18"/>
          <c:order val="18"/>
          <c:tx>
            <c:strRef>
              <c:f>Sheet1!$S$1</c:f>
              <c:strCache>
                <c:ptCount val="1"/>
                <c:pt idx="0">
                  <c:v>Mitigation: evaluation</c:v>
                </c:pt>
              </c:strCache>
            </c:strRef>
          </c:tx>
          <c:spPr>
            <a:solidFill>
              <a:schemeClr val="accent1">
                <a:lumMod val="8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extLst xmlns:c15="http://schemas.microsoft.com/office/drawing/2012/chart"/>
            </c:numRef>
          </c:cat>
          <c:val>
            <c:numRef>
              <c:f>Sheet1!$S$3:$S$22</c:f>
              <c:numCache>
                <c:formatCode>General</c:formatCode>
                <c:ptCount val="20"/>
                <c:pt idx="0">
                  <c:v>0</c:v>
                </c:pt>
                <c:pt idx="1">
                  <c:v>0</c:v>
                </c:pt>
                <c:pt idx="2">
                  <c:v>0</c:v>
                </c:pt>
                <c:pt idx="3">
                  <c:v>0</c:v>
                </c:pt>
                <c:pt idx="4">
                  <c:v>0</c:v>
                </c:pt>
                <c:pt idx="5">
                  <c:v>1</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extLst xmlns:c15="http://schemas.microsoft.com/office/drawing/2012/chart"/>
            </c:numRef>
          </c:val>
          <c:extLst>
            <c:ext xmlns:c16="http://schemas.microsoft.com/office/drawing/2014/chart" uri="{C3380CC4-5D6E-409C-BE32-E72D297353CC}">
              <c16:uniqueId val="{00000011-E602-4C36-9B3F-BDC359D83711}"/>
            </c:ext>
          </c:extLst>
        </c:ser>
        <c:ser>
          <c:idx val="19"/>
          <c:order val="19"/>
          <c:tx>
            <c:strRef>
              <c:f>Sheet1!$T$1</c:f>
              <c:strCache>
                <c:ptCount val="1"/>
                <c:pt idx="0">
                  <c:v>Mitigation: financial support</c:v>
                </c:pt>
              </c:strCache>
            </c:strRef>
          </c:tx>
          <c:spPr>
            <a:solidFill>
              <a:schemeClr val="accent2">
                <a:lumMod val="8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extLst xmlns:c15="http://schemas.microsoft.com/office/drawing/2012/chart"/>
            </c:numRef>
          </c:cat>
          <c:val>
            <c:numRef>
              <c:f>Sheet1!$T$3:$T$22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1</c:v>
                </c:pt>
                <c:pt idx="13">
                  <c:v>0</c:v>
                </c:pt>
                <c:pt idx="14">
                  <c:v>0</c:v>
                </c:pt>
                <c:pt idx="15">
                  <c:v>0</c:v>
                </c:pt>
                <c:pt idx="16">
                  <c:v>0</c:v>
                </c:pt>
                <c:pt idx="17">
                  <c:v>0</c:v>
                </c:pt>
                <c:pt idx="18">
                  <c:v>0</c:v>
                </c:pt>
                <c:pt idx="19">
                  <c:v>0</c:v>
                </c:pt>
              </c:numCache>
              <c:extLst xmlns:c15="http://schemas.microsoft.com/office/drawing/2012/chart"/>
            </c:numRef>
          </c:val>
          <c:extLst>
            <c:ext xmlns:c16="http://schemas.microsoft.com/office/drawing/2014/chart" uri="{C3380CC4-5D6E-409C-BE32-E72D297353CC}">
              <c16:uniqueId val="{00000012-E602-4C36-9B3F-BDC359D83711}"/>
            </c:ext>
          </c:extLst>
        </c:ser>
        <c:ser>
          <c:idx val="20"/>
          <c:order val="20"/>
          <c:tx>
            <c:strRef>
              <c:f>Sheet1!$U$1</c:f>
              <c:strCache>
                <c:ptCount val="1"/>
                <c:pt idx="0">
                  <c:v>Mitigation: other</c:v>
                </c:pt>
              </c:strCache>
            </c:strRef>
          </c:tx>
          <c:spPr>
            <a:solidFill>
              <a:schemeClr val="accent3">
                <a:lumMod val="8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extLst xmlns:c15="http://schemas.microsoft.com/office/drawing/2012/chart"/>
            </c:numRef>
          </c:cat>
          <c:val>
            <c:numRef>
              <c:f>Sheet1!$U$3:$U$22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1</c:v>
                </c:pt>
                <c:pt idx="12">
                  <c:v>0</c:v>
                </c:pt>
                <c:pt idx="13">
                  <c:v>0</c:v>
                </c:pt>
                <c:pt idx="14">
                  <c:v>0</c:v>
                </c:pt>
                <c:pt idx="15">
                  <c:v>0</c:v>
                </c:pt>
                <c:pt idx="16">
                  <c:v>0</c:v>
                </c:pt>
                <c:pt idx="17">
                  <c:v>0</c:v>
                </c:pt>
                <c:pt idx="18">
                  <c:v>0</c:v>
                </c:pt>
                <c:pt idx="19">
                  <c:v>1</c:v>
                </c:pt>
              </c:numCache>
              <c:extLst xmlns:c15="http://schemas.microsoft.com/office/drawing/2012/chart"/>
            </c:numRef>
          </c:val>
          <c:extLst>
            <c:ext xmlns:c16="http://schemas.microsoft.com/office/drawing/2014/chart" uri="{C3380CC4-5D6E-409C-BE32-E72D297353CC}">
              <c16:uniqueId val="{00000013-E602-4C36-9B3F-BDC359D83711}"/>
            </c:ext>
          </c:extLst>
        </c:ser>
        <c:ser>
          <c:idx val="21"/>
          <c:order val="21"/>
          <c:tx>
            <c:strRef>
              <c:f>Sheet1!$V$2</c:f>
              <c:strCache>
                <c:ptCount val="1"/>
                <c:pt idx="0">
                  <c:v>Indeterminate type of response</c:v>
                </c:pt>
              </c:strCache>
              <c:extLst xmlns:c15="http://schemas.microsoft.com/office/drawing/2012/chart"/>
            </c:strRef>
          </c:tx>
          <c:spPr>
            <a:solidFill>
              <a:schemeClr val="accent4">
                <a:lumMod val="8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extLst xmlns:c15="http://schemas.microsoft.com/office/drawing/2012/chart"/>
            </c:numRef>
          </c:cat>
          <c:val>
            <c:numRef>
              <c:f>Sheet1!$V$3:$V$22</c:f>
              <c:numCache>
                <c:formatCode>General</c:formatCode>
                <c:ptCount val="20"/>
                <c:pt idx="0">
                  <c:v>0</c:v>
                </c:pt>
                <c:pt idx="1">
                  <c:v>0</c:v>
                </c:pt>
                <c:pt idx="2">
                  <c:v>0</c:v>
                </c:pt>
                <c:pt idx="3">
                  <c:v>0</c:v>
                </c:pt>
                <c:pt idx="4">
                  <c:v>1</c:v>
                </c:pt>
                <c:pt idx="5">
                  <c:v>0</c:v>
                </c:pt>
                <c:pt idx="6">
                  <c:v>0</c:v>
                </c:pt>
                <c:pt idx="7">
                  <c:v>0</c:v>
                </c:pt>
                <c:pt idx="8">
                  <c:v>0</c:v>
                </c:pt>
                <c:pt idx="9">
                  <c:v>0</c:v>
                </c:pt>
                <c:pt idx="10">
                  <c:v>0</c:v>
                </c:pt>
                <c:pt idx="11">
                  <c:v>1</c:v>
                </c:pt>
                <c:pt idx="12">
                  <c:v>2</c:v>
                </c:pt>
                <c:pt idx="13">
                  <c:v>0</c:v>
                </c:pt>
                <c:pt idx="14">
                  <c:v>1</c:v>
                </c:pt>
                <c:pt idx="15">
                  <c:v>0</c:v>
                </c:pt>
                <c:pt idx="16">
                  <c:v>0</c:v>
                </c:pt>
                <c:pt idx="17">
                  <c:v>1</c:v>
                </c:pt>
                <c:pt idx="18">
                  <c:v>0</c:v>
                </c:pt>
                <c:pt idx="19">
                  <c:v>0</c:v>
                </c:pt>
              </c:numCache>
              <c:extLst xmlns:c15="http://schemas.microsoft.com/office/drawing/2012/chart"/>
            </c:numRef>
          </c:val>
          <c:extLst>
            <c:ext xmlns:c16="http://schemas.microsoft.com/office/drawing/2014/chart" uri="{C3380CC4-5D6E-409C-BE32-E72D297353CC}">
              <c16:uniqueId val="{00000014-E602-4C36-9B3F-BDC359D83711}"/>
            </c:ext>
          </c:extLst>
        </c:ser>
        <c:dLbls>
          <c:showLegendKey val="0"/>
          <c:showVal val="0"/>
          <c:showCatName val="0"/>
          <c:showSerName val="0"/>
          <c:showPercent val="0"/>
          <c:showBubbleSize val="0"/>
        </c:dLbls>
        <c:gapWidth val="150"/>
        <c:overlap val="100"/>
        <c:axId val="391040912"/>
        <c:axId val="391041240"/>
        <c:extLst>
          <c:ext xmlns:c15="http://schemas.microsoft.com/office/drawing/2012/chart" uri="{02D57815-91ED-43cb-92C2-25804820EDAC}">
            <c15:filteredBarSeries>
              <c15:ser>
                <c:idx val="0"/>
                <c:order val="0"/>
                <c:tx>
                  <c:strRef>
                    <c:extLst>
                      <c:ext uri="{02D57815-91ED-43cb-92C2-25804820EDAC}">
                        <c15:formulaRef>
                          <c15:sqref>Sheet1!$A$2</c15:sqref>
                        </c15:formulaRef>
                      </c:ext>
                    </c:extLst>
                    <c:strCache>
                      <c:ptCount val="1"/>
                      <c:pt idx="0">
                        <c:v>Year</c:v>
                      </c:pt>
                    </c:strCache>
                  </c:strRef>
                </c:tx>
                <c:spPr>
                  <a:solidFill>
                    <a:schemeClr val="accent1"/>
                  </a:solidFill>
                  <a:ln>
                    <a:noFill/>
                  </a:ln>
                  <a:effectLst/>
                </c:spPr>
                <c:invertIfNegative val="0"/>
                <c:cat>
                  <c:numRef>
                    <c:extLst>
                      <c:ex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c:ex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val>
                <c:extLst>
                  <c:ext xmlns:c16="http://schemas.microsoft.com/office/drawing/2014/chart" uri="{C3380CC4-5D6E-409C-BE32-E72D297353CC}">
                    <c16:uniqueId val="{00000015-E602-4C36-9B3F-BDC359D83711}"/>
                  </c:ext>
                </c:extLst>
              </c15:ser>
            </c15:filteredBarSeries>
          </c:ext>
        </c:extLst>
      </c:barChart>
      <c:catAx>
        <c:axId val="39104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041240"/>
        <c:crosses val="autoZero"/>
        <c:auto val="1"/>
        <c:lblAlgn val="ctr"/>
        <c:lblOffset val="100"/>
        <c:noMultiLvlLbl val="0"/>
      </c:catAx>
      <c:valAx>
        <c:axId val="391041240"/>
        <c:scaling>
          <c:orientation val="minMax"/>
          <c:max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040912"/>
        <c:crosses val="autoZero"/>
        <c:crossBetween val="between"/>
        <c:minorUnit val="5"/>
      </c:valAx>
      <c:spPr>
        <a:noFill/>
        <a:ln>
          <a:noFill/>
        </a:ln>
        <a:effectLst/>
      </c:spPr>
    </c:plotArea>
    <c:legend>
      <c:legendPos val="b"/>
      <c:layout>
        <c:manualLayout>
          <c:xMode val="edge"/>
          <c:yMode val="edge"/>
          <c:x val="1.3995225709908434E-2"/>
          <c:y val="0.68533320695188249"/>
          <c:w val="0.97259999287419407"/>
          <c:h val="0.2974570153631720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Types of Adaptation Responses</a:t>
            </a:r>
          </a:p>
        </c:rich>
      </c:tx>
      <c:layout>
        <c:manualLayout>
          <c:xMode val="edge"/>
          <c:yMode val="edge"/>
          <c:x val="0.29532814287165304"/>
          <c:y val="4.81513327601031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6580927384076991E-2"/>
          <c:y val="0.17171296296296296"/>
          <c:w val="0.90286351706036749"/>
          <c:h val="0.43839324039783073"/>
        </c:manualLayout>
      </c:layout>
      <c:barChart>
        <c:barDir val="col"/>
        <c:grouping val="stacked"/>
        <c:varyColors val="0"/>
        <c:ser>
          <c:idx val="1"/>
          <c:order val="1"/>
          <c:tx>
            <c:strRef>
              <c:f>Sheet1!$B$2</c:f>
              <c:strCache>
                <c:ptCount val="1"/>
                <c:pt idx="0">
                  <c:v>Generic reference</c:v>
                </c:pt>
              </c:strCache>
            </c:strRef>
          </c:tx>
          <c:spPr>
            <a:solidFill>
              <a:schemeClr val="accent2"/>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Sheet1!$B$3:$B$22</c:f>
              <c:numCache>
                <c:formatCode>General</c:formatCode>
                <c:ptCount val="20"/>
                <c:pt idx="0">
                  <c:v>0</c:v>
                </c:pt>
                <c:pt idx="1">
                  <c:v>0</c:v>
                </c:pt>
                <c:pt idx="2">
                  <c:v>0</c:v>
                </c:pt>
                <c:pt idx="3">
                  <c:v>0</c:v>
                </c:pt>
                <c:pt idx="4">
                  <c:v>0</c:v>
                </c:pt>
                <c:pt idx="5">
                  <c:v>0</c:v>
                </c:pt>
                <c:pt idx="6">
                  <c:v>0</c:v>
                </c:pt>
                <c:pt idx="7">
                  <c:v>0</c:v>
                </c:pt>
                <c:pt idx="8">
                  <c:v>0</c:v>
                </c:pt>
                <c:pt idx="9">
                  <c:v>1</c:v>
                </c:pt>
                <c:pt idx="10">
                  <c:v>0</c:v>
                </c:pt>
                <c:pt idx="11">
                  <c:v>0</c:v>
                </c:pt>
                <c:pt idx="12">
                  <c:v>1</c:v>
                </c:pt>
                <c:pt idx="13">
                  <c:v>1</c:v>
                </c:pt>
                <c:pt idx="14">
                  <c:v>1</c:v>
                </c:pt>
                <c:pt idx="15">
                  <c:v>0</c:v>
                </c:pt>
                <c:pt idx="16">
                  <c:v>0</c:v>
                </c:pt>
                <c:pt idx="17">
                  <c:v>1</c:v>
                </c:pt>
                <c:pt idx="18">
                  <c:v>0</c:v>
                </c:pt>
                <c:pt idx="19">
                  <c:v>0</c:v>
                </c:pt>
              </c:numCache>
            </c:numRef>
          </c:val>
          <c:extLst>
            <c:ext xmlns:c16="http://schemas.microsoft.com/office/drawing/2014/chart" uri="{C3380CC4-5D6E-409C-BE32-E72D297353CC}">
              <c16:uniqueId val="{00000000-692D-4217-AA99-E51846ED2411}"/>
            </c:ext>
          </c:extLst>
        </c:ser>
        <c:ser>
          <c:idx val="2"/>
          <c:order val="2"/>
          <c:tx>
            <c:strRef>
              <c:f>Sheet1!$C$2</c:f>
              <c:strCache>
                <c:ptCount val="1"/>
                <c:pt idx="0">
                  <c:v>Financial support</c:v>
                </c:pt>
              </c:strCache>
            </c:strRef>
          </c:tx>
          <c:spPr>
            <a:solidFill>
              <a:schemeClr val="accent3"/>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Sheet1!$C$3:$C$22</c:f>
              <c:numCache>
                <c:formatCode>General</c:formatCode>
                <c:ptCount val="20"/>
                <c:pt idx="0">
                  <c:v>0</c:v>
                </c:pt>
                <c:pt idx="1">
                  <c:v>0</c:v>
                </c:pt>
                <c:pt idx="2">
                  <c:v>0</c:v>
                </c:pt>
                <c:pt idx="3">
                  <c:v>0</c:v>
                </c:pt>
                <c:pt idx="4">
                  <c:v>0</c:v>
                </c:pt>
                <c:pt idx="5">
                  <c:v>0</c:v>
                </c:pt>
                <c:pt idx="6">
                  <c:v>0</c:v>
                </c:pt>
                <c:pt idx="7">
                  <c:v>0</c:v>
                </c:pt>
                <c:pt idx="8">
                  <c:v>0</c:v>
                </c:pt>
                <c:pt idx="9">
                  <c:v>0</c:v>
                </c:pt>
                <c:pt idx="10">
                  <c:v>1</c:v>
                </c:pt>
                <c:pt idx="11">
                  <c:v>0</c:v>
                </c:pt>
                <c:pt idx="12">
                  <c:v>1</c:v>
                </c:pt>
                <c:pt idx="13">
                  <c:v>2</c:v>
                </c:pt>
                <c:pt idx="14">
                  <c:v>0</c:v>
                </c:pt>
                <c:pt idx="15">
                  <c:v>0</c:v>
                </c:pt>
                <c:pt idx="16">
                  <c:v>0</c:v>
                </c:pt>
                <c:pt idx="17">
                  <c:v>0</c:v>
                </c:pt>
                <c:pt idx="18">
                  <c:v>0</c:v>
                </c:pt>
                <c:pt idx="19">
                  <c:v>0</c:v>
                </c:pt>
              </c:numCache>
            </c:numRef>
          </c:val>
          <c:extLst>
            <c:ext xmlns:c16="http://schemas.microsoft.com/office/drawing/2014/chart" uri="{C3380CC4-5D6E-409C-BE32-E72D297353CC}">
              <c16:uniqueId val="{00000001-692D-4217-AA99-E51846ED2411}"/>
            </c:ext>
          </c:extLst>
        </c:ser>
        <c:ser>
          <c:idx val="4"/>
          <c:order val="3"/>
          <c:tx>
            <c:strRef>
              <c:f>Sheet1!$E$2</c:f>
              <c:strCache>
                <c:ptCount val="1"/>
                <c:pt idx="0">
                  <c:v>Legislation</c:v>
                </c:pt>
              </c:strCache>
            </c:strRef>
          </c:tx>
          <c:spPr>
            <a:solidFill>
              <a:schemeClr val="accent5"/>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Sheet1!$E$3:$E$22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2</c:v>
                </c:pt>
                <c:pt idx="12">
                  <c:v>3</c:v>
                </c:pt>
                <c:pt idx="13">
                  <c:v>2</c:v>
                </c:pt>
                <c:pt idx="14">
                  <c:v>1</c:v>
                </c:pt>
                <c:pt idx="15">
                  <c:v>0</c:v>
                </c:pt>
                <c:pt idx="16">
                  <c:v>0</c:v>
                </c:pt>
                <c:pt idx="17">
                  <c:v>0</c:v>
                </c:pt>
                <c:pt idx="18">
                  <c:v>0</c:v>
                </c:pt>
                <c:pt idx="19">
                  <c:v>0</c:v>
                </c:pt>
              </c:numCache>
            </c:numRef>
          </c:val>
          <c:extLst>
            <c:ext xmlns:c16="http://schemas.microsoft.com/office/drawing/2014/chart" uri="{C3380CC4-5D6E-409C-BE32-E72D297353CC}">
              <c16:uniqueId val="{00000002-692D-4217-AA99-E51846ED2411}"/>
            </c:ext>
          </c:extLst>
        </c:ser>
        <c:ser>
          <c:idx val="5"/>
          <c:order val="4"/>
          <c:tx>
            <c:strRef>
              <c:f>Sheet1!$F$2</c:f>
              <c:strCache>
                <c:ptCount val="1"/>
                <c:pt idx="0">
                  <c:v>Departmental development</c:v>
                </c:pt>
              </c:strCache>
            </c:strRef>
          </c:tx>
          <c:spPr>
            <a:solidFill>
              <a:schemeClr val="accent6"/>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Sheet1!$F$3:$F$22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1</c:v>
                </c:pt>
                <c:pt idx="14">
                  <c:v>0</c:v>
                </c:pt>
                <c:pt idx="15">
                  <c:v>0</c:v>
                </c:pt>
                <c:pt idx="16">
                  <c:v>0</c:v>
                </c:pt>
                <c:pt idx="17">
                  <c:v>2</c:v>
                </c:pt>
                <c:pt idx="18">
                  <c:v>0</c:v>
                </c:pt>
                <c:pt idx="19">
                  <c:v>0</c:v>
                </c:pt>
              </c:numCache>
            </c:numRef>
          </c:val>
          <c:extLst>
            <c:ext xmlns:c16="http://schemas.microsoft.com/office/drawing/2014/chart" uri="{C3380CC4-5D6E-409C-BE32-E72D297353CC}">
              <c16:uniqueId val="{00000003-692D-4217-AA99-E51846ED2411}"/>
            </c:ext>
          </c:extLst>
        </c:ser>
        <c:ser>
          <c:idx val="6"/>
          <c:order val="5"/>
          <c:tx>
            <c:strRef>
              <c:f>Sheet1!$G$2</c:f>
              <c:strCache>
                <c:ptCount val="1"/>
                <c:pt idx="0">
                  <c:v>Infrastructure development, technology</c:v>
                </c:pt>
              </c:strCache>
            </c:strRef>
          </c:tx>
          <c:spPr>
            <a:solidFill>
              <a:schemeClr val="accent1">
                <a:lumMod val="6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Sheet1!$G$3:$G$22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1</c:v>
                </c:pt>
                <c:pt idx="13">
                  <c:v>1</c:v>
                </c:pt>
                <c:pt idx="14">
                  <c:v>0</c:v>
                </c:pt>
                <c:pt idx="15">
                  <c:v>0</c:v>
                </c:pt>
                <c:pt idx="16">
                  <c:v>0</c:v>
                </c:pt>
                <c:pt idx="17">
                  <c:v>1</c:v>
                </c:pt>
                <c:pt idx="18">
                  <c:v>2</c:v>
                </c:pt>
                <c:pt idx="19">
                  <c:v>3</c:v>
                </c:pt>
              </c:numCache>
            </c:numRef>
          </c:val>
          <c:extLst>
            <c:ext xmlns:c16="http://schemas.microsoft.com/office/drawing/2014/chart" uri="{C3380CC4-5D6E-409C-BE32-E72D297353CC}">
              <c16:uniqueId val="{00000004-692D-4217-AA99-E51846ED2411}"/>
            </c:ext>
          </c:extLst>
        </c:ser>
        <c:ser>
          <c:idx val="7"/>
          <c:order val="6"/>
          <c:tx>
            <c:strRef>
              <c:f>Sheet1!$H$2</c:f>
              <c:strCache>
                <c:ptCount val="1"/>
                <c:pt idx="0">
                  <c:v>Surveillance and monitoring</c:v>
                </c:pt>
              </c:strCache>
            </c:strRef>
          </c:tx>
          <c:spPr>
            <a:solidFill>
              <a:schemeClr val="accent2">
                <a:lumMod val="6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Sheet1!$H$3:$H$22</c:f>
              <c:numCache>
                <c:formatCode>General</c:formatCode>
                <c:ptCount val="20"/>
                <c:pt idx="0">
                  <c:v>0</c:v>
                </c:pt>
                <c:pt idx="1">
                  <c:v>0</c:v>
                </c:pt>
                <c:pt idx="2">
                  <c:v>0</c:v>
                </c:pt>
                <c:pt idx="3">
                  <c:v>0</c:v>
                </c:pt>
                <c:pt idx="4">
                  <c:v>0</c:v>
                </c:pt>
                <c:pt idx="5">
                  <c:v>0</c:v>
                </c:pt>
                <c:pt idx="6">
                  <c:v>1</c:v>
                </c:pt>
                <c:pt idx="7">
                  <c:v>0</c:v>
                </c:pt>
                <c:pt idx="8">
                  <c:v>0</c:v>
                </c:pt>
                <c:pt idx="9">
                  <c:v>1</c:v>
                </c:pt>
                <c:pt idx="10">
                  <c:v>0</c:v>
                </c:pt>
                <c:pt idx="11">
                  <c:v>1</c:v>
                </c:pt>
                <c:pt idx="12">
                  <c:v>1</c:v>
                </c:pt>
                <c:pt idx="13">
                  <c:v>1</c:v>
                </c:pt>
                <c:pt idx="14">
                  <c:v>1</c:v>
                </c:pt>
                <c:pt idx="15">
                  <c:v>0</c:v>
                </c:pt>
                <c:pt idx="16">
                  <c:v>0</c:v>
                </c:pt>
                <c:pt idx="17">
                  <c:v>0</c:v>
                </c:pt>
                <c:pt idx="18">
                  <c:v>0</c:v>
                </c:pt>
                <c:pt idx="19">
                  <c:v>1</c:v>
                </c:pt>
              </c:numCache>
            </c:numRef>
          </c:val>
          <c:extLst>
            <c:ext xmlns:c16="http://schemas.microsoft.com/office/drawing/2014/chart" uri="{C3380CC4-5D6E-409C-BE32-E72D297353CC}">
              <c16:uniqueId val="{00000005-692D-4217-AA99-E51846ED2411}"/>
            </c:ext>
          </c:extLst>
        </c:ser>
        <c:ser>
          <c:idx val="8"/>
          <c:order val="7"/>
          <c:tx>
            <c:strRef>
              <c:f>Sheet1!$I$2</c:f>
              <c:strCache>
                <c:ptCount val="1"/>
                <c:pt idx="0">
                  <c:v>Public awareness and outreach</c:v>
                </c:pt>
              </c:strCache>
            </c:strRef>
          </c:tx>
          <c:spPr>
            <a:solidFill>
              <a:schemeClr val="accent3">
                <a:lumMod val="6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Sheet1!$I$3:$I$22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3</c:v>
                </c:pt>
                <c:pt idx="13">
                  <c:v>1</c:v>
                </c:pt>
                <c:pt idx="14">
                  <c:v>1</c:v>
                </c:pt>
                <c:pt idx="15">
                  <c:v>0</c:v>
                </c:pt>
                <c:pt idx="16">
                  <c:v>0</c:v>
                </c:pt>
                <c:pt idx="17">
                  <c:v>0</c:v>
                </c:pt>
                <c:pt idx="18">
                  <c:v>0</c:v>
                </c:pt>
                <c:pt idx="19">
                  <c:v>0</c:v>
                </c:pt>
              </c:numCache>
            </c:numRef>
          </c:val>
          <c:extLst>
            <c:ext xmlns:c16="http://schemas.microsoft.com/office/drawing/2014/chart" uri="{C3380CC4-5D6E-409C-BE32-E72D297353CC}">
              <c16:uniqueId val="{00000006-692D-4217-AA99-E51846ED2411}"/>
            </c:ext>
          </c:extLst>
        </c:ser>
        <c:ser>
          <c:idx val="9"/>
          <c:order val="8"/>
          <c:tx>
            <c:strRef>
              <c:f>Sheet1!$J$2</c:f>
              <c:strCache>
                <c:ptCount val="1"/>
                <c:pt idx="0">
                  <c:v>Evaluation</c:v>
                </c:pt>
              </c:strCache>
            </c:strRef>
          </c:tx>
          <c:spPr>
            <a:solidFill>
              <a:schemeClr val="accent4">
                <a:lumMod val="6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Sheet1!$J$3:$J$22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1</c:v>
                </c:pt>
                <c:pt idx="14">
                  <c:v>0</c:v>
                </c:pt>
                <c:pt idx="15">
                  <c:v>0</c:v>
                </c:pt>
                <c:pt idx="16">
                  <c:v>0</c:v>
                </c:pt>
                <c:pt idx="17">
                  <c:v>0</c:v>
                </c:pt>
                <c:pt idx="18">
                  <c:v>0</c:v>
                </c:pt>
                <c:pt idx="19">
                  <c:v>0</c:v>
                </c:pt>
              </c:numCache>
            </c:numRef>
          </c:val>
          <c:extLst>
            <c:ext xmlns:c16="http://schemas.microsoft.com/office/drawing/2014/chart" uri="{C3380CC4-5D6E-409C-BE32-E72D297353CC}">
              <c16:uniqueId val="{00000007-692D-4217-AA99-E51846ED2411}"/>
            </c:ext>
          </c:extLst>
        </c:ser>
        <c:ser>
          <c:idx val="10"/>
          <c:order val="9"/>
          <c:tx>
            <c:strRef>
              <c:f>Sheet1!$K$2</c:f>
              <c:strCache>
                <c:ptCount val="1"/>
                <c:pt idx="0">
                  <c:v>Medical intervention</c:v>
                </c:pt>
              </c:strCache>
            </c:strRef>
          </c:tx>
          <c:spPr>
            <a:solidFill>
              <a:schemeClr val="accent5">
                <a:lumMod val="6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Sheet1!$K$3:$K$22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c:v>
                </c:pt>
              </c:numCache>
            </c:numRef>
          </c:val>
          <c:extLst>
            <c:ext xmlns:c16="http://schemas.microsoft.com/office/drawing/2014/chart" uri="{C3380CC4-5D6E-409C-BE32-E72D297353CC}">
              <c16:uniqueId val="{00000008-692D-4217-AA99-E51846ED2411}"/>
            </c:ext>
          </c:extLst>
        </c:ser>
        <c:ser>
          <c:idx val="11"/>
          <c:order val="10"/>
          <c:tx>
            <c:strRef>
              <c:f>Sheet1!$L$2</c:f>
              <c:strCache>
                <c:ptCount val="1"/>
                <c:pt idx="0">
                  <c:v>Lifestyle alteration</c:v>
                </c:pt>
              </c:strCache>
            </c:strRef>
          </c:tx>
          <c:spPr>
            <a:solidFill>
              <a:schemeClr val="accent6">
                <a:lumMod val="6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Sheet1!$L$3:$L$22</c:f>
              <c:numCache>
                <c:formatCode>General</c:formatCode>
                <c:ptCount val="20"/>
                <c:pt idx="0">
                  <c:v>0</c:v>
                </c:pt>
                <c:pt idx="1">
                  <c:v>0</c:v>
                </c:pt>
                <c:pt idx="2">
                  <c:v>0</c:v>
                </c:pt>
                <c:pt idx="3">
                  <c:v>0</c:v>
                </c:pt>
                <c:pt idx="4">
                  <c:v>0</c:v>
                </c:pt>
                <c:pt idx="5">
                  <c:v>0</c:v>
                </c:pt>
                <c:pt idx="6">
                  <c:v>1</c:v>
                </c:pt>
                <c:pt idx="7">
                  <c:v>0</c:v>
                </c:pt>
                <c:pt idx="8">
                  <c:v>0</c:v>
                </c:pt>
                <c:pt idx="9">
                  <c:v>0</c:v>
                </c:pt>
                <c:pt idx="10">
                  <c:v>3</c:v>
                </c:pt>
                <c:pt idx="11">
                  <c:v>3</c:v>
                </c:pt>
                <c:pt idx="12">
                  <c:v>0</c:v>
                </c:pt>
                <c:pt idx="13">
                  <c:v>0</c:v>
                </c:pt>
                <c:pt idx="14">
                  <c:v>0</c:v>
                </c:pt>
                <c:pt idx="15">
                  <c:v>0</c:v>
                </c:pt>
                <c:pt idx="16">
                  <c:v>0</c:v>
                </c:pt>
                <c:pt idx="17">
                  <c:v>0</c:v>
                </c:pt>
                <c:pt idx="18">
                  <c:v>0</c:v>
                </c:pt>
                <c:pt idx="19">
                  <c:v>1</c:v>
                </c:pt>
              </c:numCache>
            </c:numRef>
          </c:val>
          <c:extLst>
            <c:ext xmlns:c16="http://schemas.microsoft.com/office/drawing/2014/chart" uri="{C3380CC4-5D6E-409C-BE32-E72D297353CC}">
              <c16:uniqueId val="{00000009-692D-4217-AA99-E51846ED2411}"/>
            </c:ext>
          </c:extLst>
        </c:ser>
        <c:ser>
          <c:idx val="3"/>
          <c:order val="11"/>
          <c:tx>
            <c:strRef>
              <c:f>Sheet1!$D$2</c:f>
              <c:strCache>
                <c:ptCount val="1"/>
                <c:pt idx="0">
                  <c:v>Other</c:v>
                </c:pt>
              </c:strCache>
            </c:strRef>
          </c:tx>
          <c:spPr>
            <a:solidFill>
              <a:schemeClr val="accent4"/>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Sheet1!$D$3:$D$22</c:f>
              <c:numCache>
                <c:formatCode>General</c:formatCode>
                <c:ptCount val="20"/>
                <c:pt idx="0">
                  <c:v>0</c:v>
                </c:pt>
                <c:pt idx="1">
                  <c:v>0</c:v>
                </c:pt>
                <c:pt idx="2">
                  <c:v>0</c:v>
                </c:pt>
                <c:pt idx="3">
                  <c:v>0</c:v>
                </c:pt>
                <c:pt idx="4">
                  <c:v>0</c:v>
                </c:pt>
                <c:pt idx="5">
                  <c:v>0</c:v>
                </c:pt>
                <c:pt idx="6">
                  <c:v>0</c:v>
                </c:pt>
                <c:pt idx="7">
                  <c:v>0</c:v>
                </c:pt>
                <c:pt idx="8">
                  <c:v>0</c:v>
                </c:pt>
                <c:pt idx="9">
                  <c:v>1</c:v>
                </c:pt>
                <c:pt idx="10">
                  <c:v>1</c:v>
                </c:pt>
                <c:pt idx="11">
                  <c:v>2</c:v>
                </c:pt>
                <c:pt idx="12">
                  <c:v>1</c:v>
                </c:pt>
                <c:pt idx="13">
                  <c:v>2</c:v>
                </c:pt>
                <c:pt idx="14">
                  <c:v>0</c:v>
                </c:pt>
                <c:pt idx="15">
                  <c:v>0</c:v>
                </c:pt>
                <c:pt idx="16">
                  <c:v>0</c:v>
                </c:pt>
                <c:pt idx="17">
                  <c:v>0</c:v>
                </c:pt>
                <c:pt idx="18">
                  <c:v>0</c:v>
                </c:pt>
                <c:pt idx="19">
                  <c:v>0</c:v>
                </c:pt>
              </c:numCache>
            </c:numRef>
          </c:val>
          <c:extLst>
            <c:ext xmlns:c16="http://schemas.microsoft.com/office/drawing/2014/chart" uri="{C3380CC4-5D6E-409C-BE32-E72D297353CC}">
              <c16:uniqueId val="{0000000A-692D-4217-AA99-E51846ED2411}"/>
            </c:ext>
          </c:extLst>
        </c:ser>
        <c:dLbls>
          <c:showLegendKey val="0"/>
          <c:showVal val="0"/>
          <c:showCatName val="0"/>
          <c:showSerName val="0"/>
          <c:showPercent val="0"/>
          <c:showBubbleSize val="0"/>
        </c:dLbls>
        <c:gapWidth val="150"/>
        <c:overlap val="100"/>
        <c:axId val="391040912"/>
        <c:axId val="391041240"/>
        <c:extLst>
          <c:ext xmlns:c15="http://schemas.microsoft.com/office/drawing/2012/chart" uri="{02D57815-91ED-43cb-92C2-25804820EDAC}">
            <c15:filteredBarSeries>
              <c15:ser>
                <c:idx val="0"/>
                <c:order val="0"/>
                <c:tx>
                  <c:strRef>
                    <c:extLst>
                      <c:ext uri="{02D57815-91ED-43cb-92C2-25804820EDAC}">
                        <c15:formulaRef>
                          <c15:sqref>Sheet1!$A$2</c15:sqref>
                        </c15:formulaRef>
                      </c:ext>
                    </c:extLst>
                    <c:strCache>
                      <c:ptCount val="1"/>
                      <c:pt idx="0">
                        <c:v>Year</c:v>
                      </c:pt>
                    </c:strCache>
                  </c:strRef>
                </c:tx>
                <c:spPr>
                  <a:solidFill>
                    <a:schemeClr val="accent1"/>
                  </a:solidFill>
                  <a:ln>
                    <a:noFill/>
                  </a:ln>
                  <a:effectLst/>
                </c:spPr>
                <c:invertIfNegative val="0"/>
                <c:cat>
                  <c:numRef>
                    <c:extLst>
                      <c:ex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c:ex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val>
                <c:extLst>
                  <c:ext xmlns:c16="http://schemas.microsoft.com/office/drawing/2014/chart" uri="{C3380CC4-5D6E-409C-BE32-E72D297353CC}">
                    <c16:uniqueId val="{0000000B-692D-4217-AA99-E51846ED2411}"/>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Sheet1!$M$2</c15:sqref>
                        </c15:formulaRef>
                      </c:ext>
                    </c:extLst>
                    <c:strCache>
                      <c:ptCount val="1"/>
                      <c:pt idx="0">
                        <c:v>Generic response</c:v>
                      </c:pt>
                    </c:strCache>
                  </c:strRef>
                </c:tx>
                <c:spPr>
                  <a:solidFill>
                    <a:schemeClr val="accent1">
                      <a:lumMod val="80000"/>
                      <a:lumOff val="2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Sheet1!$M$3:$M$22</c15:sqref>
                        </c15:formulaRef>
                      </c:ext>
                    </c:extLst>
                    <c:numCache>
                      <c:formatCode>General</c:formatCode>
                      <c:ptCount val="20"/>
                      <c:pt idx="0">
                        <c:v>0</c:v>
                      </c:pt>
                      <c:pt idx="1">
                        <c:v>0</c:v>
                      </c:pt>
                      <c:pt idx="2">
                        <c:v>0</c:v>
                      </c:pt>
                      <c:pt idx="3">
                        <c:v>0</c:v>
                      </c:pt>
                      <c:pt idx="4">
                        <c:v>0</c:v>
                      </c:pt>
                      <c:pt idx="5">
                        <c:v>1</c:v>
                      </c:pt>
                      <c:pt idx="6">
                        <c:v>0</c:v>
                      </c:pt>
                      <c:pt idx="7">
                        <c:v>0</c:v>
                      </c:pt>
                      <c:pt idx="8">
                        <c:v>0</c:v>
                      </c:pt>
                      <c:pt idx="9">
                        <c:v>1</c:v>
                      </c:pt>
                      <c:pt idx="10">
                        <c:v>0</c:v>
                      </c:pt>
                      <c:pt idx="11">
                        <c:v>2</c:v>
                      </c:pt>
                      <c:pt idx="12">
                        <c:v>0</c:v>
                      </c:pt>
                      <c:pt idx="13">
                        <c:v>1</c:v>
                      </c:pt>
                      <c:pt idx="14">
                        <c:v>0</c:v>
                      </c:pt>
                      <c:pt idx="15">
                        <c:v>1</c:v>
                      </c:pt>
                      <c:pt idx="16">
                        <c:v>1</c:v>
                      </c:pt>
                      <c:pt idx="17">
                        <c:v>0</c:v>
                      </c:pt>
                      <c:pt idx="18">
                        <c:v>0</c:v>
                      </c:pt>
                      <c:pt idx="19">
                        <c:v>2</c:v>
                      </c:pt>
                    </c:numCache>
                  </c:numRef>
                </c:val>
                <c:extLst xmlns:c15="http://schemas.microsoft.com/office/drawing/2012/chart">
                  <c:ext xmlns:c16="http://schemas.microsoft.com/office/drawing/2014/chart" uri="{C3380CC4-5D6E-409C-BE32-E72D297353CC}">
                    <c16:uniqueId val="{0000000C-692D-4217-AA99-E51846ED2411}"/>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Sheet1!$N$2</c15:sqref>
                        </c15:formulaRef>
                      </c:ext>
                    </c:extLst>
                    <c:strCache>
                      <c:ptCount val="1"/>
                      <c:pt idx="0">
                        <c:v>Legislation</c:v>
                      </c:pt>
                    </c:strCache>
                  </c:strRef>
                </c:tx>
                <c:spPr>
                  <a:solidFill>
                    <a:schemeClr val="accent2">
                      <a:lumMod val="80000"/>
                      <a:lumOff val="2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Sheet1!$N$3:$N$22</c15:sqref>
                        </c15:formulaRef>
                      </c:ext>
                    </c:extLst>
                    <c:numCache>
                      <c:formatCode>General</c:formatCode>
                      <c:ptCount val="20"/>
                      <c:pt idx="0">
                        <c:v>0</c:v>
                      </c:pt>
                      <c:pt idx="1">
                        <c:v>0</c:v>
                      </c:pt>
                      <c:pt idx="2">
                        <c:v>0</c:v>
                      </c:pt>
                      <c:pt idx="3">
                        <c:v>0</c:v>
                      </c:pt>
                      <c:pt idx="4">
                        <c:v>0</c:v>
                      </c:pt>
                      <c:pt idx="5">
                        <c:v>1</c:v>
                      </c:pt>
                      <c:pt idx="6">
                        <c:v>0</c:v>
                      </c:pt>
                      <c:pt idx="7">
                        <c:v>0</c:v>
                      </c:pt>
                      <c:pt idx="8">
                        <c:v>0</c:v>
                      </c:pt>
                      <c:pt idx="9">
                        <c:v>0</c:v>
                      </c:pt>
                      <c:pt idx="10">
                        <c:v>0</c:v>
                      </c:pt>
                      <c:pt idx="11">
                        <c:v>2</c:v>
                      </c:pt>
                      <c:pt idx="12">
                        <c:v>3</c:v>
                      </c:pt>
                      <c:pt idx="13">
                        <c:v>16</c:v>
                      </c:pt>
                      <c:pt idx="14">
                        <c:v>0</c:v>
                      </c:pt>
                      <c:pt idx="15">
                        <c:v>0</c:v>
                      </c:pt>
                      <c:pt idx="16">
                        <c:v>1</c:v>
                      </c:pt>
                      <c:pt idx="17">
                        <c:v>1</c:v>
                      </c:pt>
                      <c:pt idx="18">
                        <c:v>0</c:v>
                      </c:pt>
                      <c:pt idx="19">
                        <c:v>1</c:v>
                      </c:pt>
                    </c:numCache>
                  </c:numRef>
                </c:val>
                <c:extLst xmlns:c15="http://schemas.microsoft.com/office/drawing/2012/chart">
                  <c:ext xmlns:c16="http://schemas.microsoft.com/office/drawing/2014/chart" uri="{C3380CC4-5D6E-409C-BE32-E72D297353CC}">
                    <c16:uniqueId val="{0000000D-692D-4217-AA99-E51846ED2411}"/>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Sheet1!$O$2</c15:sqref>
                        </c15:formulaRef>
                      </c:ext>
                    </c:extLst>
                    <c:strCache>
                      <c:ptCount val="1"/>
                      <c:pt idx="0">
                        <c:v>Departmental development</c:v>
                      </c:pt>
                    </c:strCache>
                  </c:strRef>
                </c:tx>
                <c:spPr>
                  <a:solidFill>
                    <a:schemeClr val="accent3">
                      <a:lumMod val="80000"/>
                      <a:lumOff val="2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Sheet1!$O$3:$O$22</c15:sqref>
                        </c15:formulaRef>
                      </c:ext>
                    </c:extLst>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extLst xmlns:c15="http://schemas.microsoft.com/office/drawing/2012/chart">
                  <c:ext xmlns:c16="http://schemas.microsoft.com/office/drawing/2014/chart" uri="{C3380CC4-5D6E-409C-BE32-E72D297353CC}">
                    <c16:uniqueId val="{0000000E-692D-4217-AA99-E51846ED2411}"/>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Sheet1!$P$2</c15:sqref>
                        </c15:formulaRef>
                      </c:ext>
                    </c:extLst>
                    <c:strCache>
                      <c:ptCount val="1"/>
                      <c:pt idx="0">
                        <c:v>Infrastructure development, technology</c:v>
                      </c:pt>
                    </c:strCache>
                  </c:strRef>
                </c:tx>
                <c:spPr>
                  <a:solidFill>
                    <a:schemeClr val="accent4">
                      <a:lumMod val="80000"/>
                      <a:lumOff val="2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Sheet1!$P$3:$P$22</c15:sqref>
                        </c15:formulaRef>
                      </c:ext>
                    </c:extLst>
                    <c:numCache>
                      <c:formatCode>General</c:formatCode>
                      <c:ptCount val="20"/>
                      <c:pt idx="0">
                        <c:v>0</c:v>
                      </c:pt>
                      <c:pt idx="1">
                        <c:v>0</c:v>
                      </c:pt>
                      <c:pt idx="2">
                        <c:v>0</c:v>
                      </c:pt>
                      <c:pt idx="3">
                        <c:v>0</c:v>
                      </c:pt>
                      <c:pt idx="4">
                        <c:v>0</c:v>
                      </c:pt>
                      <c:pt idx="5">
                        <c:v>0</c:v>
                      </c:pt>
                      <c:pt idx="6">
                        <c:v>0</c:v>
                      </c:pt>
                      <c:pt idx="7">
                        <c:v>0</c:v>
                      </c:pt>
                      <c:pt idx="8">
                        <c:v>0</c:v>
                      </c:pt>
                      <c:pt idx="9">
                        <c:v>0</c:v>
                      </c:pt>
                      <c:pt idx="10">
                        <c:v>0</c:v>
                      </c:pt>
                      <c:pt idx="11">
                        <c:v>1</c:v>
                      </c:pt>
                      <c:pt idx="12">
                        <c:v>0</c:v>
                      </c:pt>
                      <c:pt idx="13">
                        <c:v>0</c:v>
                      </c:pt>
                      <c:pt idx="14">
                        <c:v>0</c:v>
                      </c:pt>
                      <c:pt idx="15">
                        <c:v>0</c:v>
                      </c:pt>
                      <c:pt idx="16">
                        <c:v>1</c:v>
                      </c:pt>
                      <c:pt idx="17">
                        <c:v>0</c:v>
                      </c:pt>
                      <c:pt idx="18">
                        <c:v>0</c:v>
                      </c:pt>
                      <c:pt idx="19">
                        <c:v>0</c:v>
                      </c:pt>
                    </c:numCache>
                  </c:numRef>
                </c:val>
                <c:extLst xmlns:c15="http://schemas.microsoft.com/office/drawing/2012/chart">
                  <c:ext xmlns:c16="http://schemas.microsoft.com/office/drawing/2014/chart" uri="{C3380CC4-5D6E-409C-BE32-E72D297353CC}">
                    <c16:uniqueId val="{0000000F-692D-4217-AA99-E51846ED2411}"/>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Sheet1!$Q$2</c15:sqref>
                        </c15:formulaRef>
                      </c:ext>
                    </c:extLst>
                    <c:strCache>
                      <c:ptCount val="1"/>
                      <c:pt idx="0">
                        <c:v>Surveillance and monitoring</c:v>
                      </c:pt>
                    </c:strCache>
                  </c:strRef>
                </c:tx>
                <c:spPr>
                  <a:solidFill>
                    <a:schemeClr val="accent5">
                      <a:lumMod val="80000"/>
                      <a:lumOff val="2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Sheet1!$Q$3:$Q$22</c15:sqref>
                        </c15:formulaRef>
                      </c:ext>
                    </c:extLst>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extLst xmlns:c15="http://schemas.microsoft.com/office/drawing/2012/chart">
                  <c:ext xmlns:c16="http://schemas.microsoft.com/office/drawing/2014/chart" uri="{C3380CC4-5D6E-409C-BE32-E72D297353CC}">
                    <c16:uniqueId val="{00000010-692D-4217-AA99-E51846ED2411}"/>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Sheet1!$R$2</c15:sqref>
                        </c15:formulaRef>
                      </c:ext>
                    </c:extLst>
                    <c:strCache>
                      <c:ptCount val="1"/>
                      <c:pt idx="0">
                        <c:v>Public awareness and outreach</c:v>
                      </c:pt>
                    </c:strCache>
                  </c:strRef>
                </c:tx>
                <c:spPr>
                  <a:solidFill>
                    <a:schemeClr val="accent6">
                      <a:lumMod val="80000"/>
                      <a:lumOff val="2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Sheet1!$R$3:$R$22</c15:sqref>
                        </c15:formulaRef>
                      </c:ext>
                    </c:extLst>
                    <c:numCache>
                      <c:formatCode>General</c:formatCode>
                      <c:ptCount val="20"/>
                      <c:pt idx="0">
                        <c:v>0</c:v>
                      </c:pt>
                      <c:pt idx="1">
                        <c:v>0</c:v>
                      </c:pt>
                      <c:pt idx="2">
                        <c:v>0</c:v>
                      </c:pt>
                      <c:pt idx="3">
                        <c:v>0</c:v>
                      </c:pt>
                      <c:pt idx="4">
                        <c:v>0</c:v>
                      </c:pt>
                      <c:pt idx="5">
                        <c:v>1</c:v>
                      </c:pt>
                      <c:pt idx="6">
                        <c:v>0</c:v>
                      </c:pt>
                      <c:pt idx="7">
                        <c:v>1</c:v>
                      </c:pt>
                      <c:pt idx="8">
                        <c:v>2</c:v>
                      </c:pt>
                      <c:pt idx="9">
                        <c:v>3</c:v>
                      </c:pt>
                      <c:pt idx="10">
                        <c:v>2</c:v>
                      </c:pt>
                      <c:pt idx="11">
                        <c:v>5</c:v>
                      </c:pt>
                      <c:pt idx="12">
                        <c:v>1</c:v>
                      </c:pt>
                      <c:pt idx="13">
                        <c:v>0</c:v>
                      </c:pt>
                      <c:pt idx="14">
                        <c:v>0</c:v>
                      </c:pt>
                      <c:pt idx="15">
                        <c:v>0</c:v>
                      </c:pt>
                      <c:pt idx="16">
                        <c:v>0</c:v>
                      </c:pt>
                      <c:pt idx="17">
                        <c:v>1</c:v>
                      </c:pt>
                      <c:pt idx="18">
                        <c:v>0</c:v>
                      </c:pt>
                      <c:pt idx="19">
                        <c:v>0</c:v>
                      </c:pt>
                    </c:numCache>
                  </c:numRef>
                </c:val>
                <c:extLst xmlns:c15="http://schemas.microsoft.com/office/drawing/2012/chart">
                  <c:ext xmlns:c16="http://schemas.microsoft.com/office/drawing/2014/chart" uri="{C3380CC4-5D6E-409C-BE32-E72D297353CC}">
                    <c16:uniqueId val="{00000011-692D-4217-AA99-E51846ED2411}"/>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Sheet1!$S$2</c15:sqref>
                        </c15:formulaRef>
                      </c:ext>
                    </c:extLst>
                    <c:strCache>
                      <c:ptCount val="1"/>
                      <c:pt idx="0">
                        <c:v>Evaluation</c:v>
                      </c:pt>
                    </c:strCache>
                  </c:strRef>
                </c:tx>
                <c:spPr>
                  <a:solidFill>
                    <a:schemeClr val="accent1">
                      <a:lumMod val="8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Sheet1!$S$3:$S$22</c15:sqref>
                        </c15:formulaRef>
                      </c:ext>
                    </c:extLst>
                    <c:numCache>
                      <c:formatCode>General</c:formatCode>
                      <c:ptCount val="20"/>
                      <c:pt idx="0">
                        <c:v>0</c:v>
                      </c:pt>
                      <c:pt idx="1">
                        <c:v>0</c:v>
                      </c:pt>
                      <c:pt idx="2">
                        <c:v>0</c:v>
                      </c:pt>
                      <c:pt idx="3">
                        <c:v>0</c:v>
                      </c:pt>
                      <c:pt idx="4">
                        <c:v>0</c:v>
                      </c:pt>
                      <c:pt idx="5">
                        <c:v>1</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numRef>
                </c:val>
                <c:extLst xmlns:c15="http://schemas.microsoft.com/office/drawing/2012/chart">
                  <c:ext xmlns:c16="http://schemas.microsoft.com/office/drawing/2014/chart" uri="{C3380CC4-5D6E-409C-BE32-E72D297353CC}">
                    <c16:uniqueId val="{00000012-692D-4217-AA99-E51846ED2411}"/>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Sheet1!$T$2</c15:sqref>
                        </c15:formulaRef>
                      </c:ext>
                    </c:extLst>
                    <c:strCache>
                      <c:ptCount val="1"/>
                      <c:pt idx="0">
                        <c:v>Financial support</c:v>
                      </c:pt>
                    </c:strCache>
                  </c:strRef>
                </c:tx>
                <c:spPr>
                  <a:solidFill>
                    <a:schemeClr val="accent2">
                      <a:lumMod val="8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Sheet1!$T$3:$T$22</c15:sqref>
                        </c15:formulaRef>
                      </c:ext>
                    </c:extLst>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1</c:v>
                      </c:pt>
                      <c:pt idx="13">
                        <c:v>0</c:v>
                      </c:pt>
                      <c:pt idx="14">
                        <c:v>0</c:v>
                      </c:pt>
                      <c:pt idx="15">
                        <c:v>0</c:v>
                      </c:pt>
                      <c:pt idx="16">
                        <c:v>0</c:v>
                      </c:pt>
                      <c:pt idx="17">
                        <c:v>0</c:v>
                      </c:pt>
                      <c:pt idx="18">
                        <c:v>0</c:v>
                      </c:pt>
                      <c:pt idx="19">
                        <c:v>0</c:v>
                      </c:pt>
                    </c:numCache>
                  </c:numRef>
                </c:val>
                <c:extLst xmlns:c15="http://schemas.microsoft.com/office/drawing/2012/chart">
                  <c:ext xmlns:c16="http://schemas.microsoft.com/office/drawing/2014/chart" uri="{C3380CC4-5D6E-409C-BE32-E72D297353CC}">
                    <c16:uniqueId val="{00000013-692D-4217-AA99-E51846ED2411}"/>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Sheet1!$U$2</c15:sqref>
                        </c15:formulaRef>
                      </c:ext>
                    </c:extLst>
                    <c:strCache>
                      <c:ptCount val="1"/>
                      <c:pt idx="0">
                        <c:v>Other</c:v>
                      </c:pt>
                    </c:strCache>
                  </c:strRef>
                </c:tx>
                <c:spPr>
                  <a:solidFill>
                    <a:schemeClr val="accent3">
                      <a:lumMod val="8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Sheet1!$U$3:$U$22</c15:sqref>
                        </c15:formulaRef>
                      </c:ext>
                    </c:extLst>
                    <c:numCache>
                      <c:formatCode>General</c:formatCode>
                      <c:ptCount val="20"/>
                      <c:pt idx="0">
                        <c:v>0</c:v>
                      </c:pt>
                      <c:pt idx="1">
                        <c:v>0</c:v>
                      </c:pt>
                      <c:pt idx="2">
                        <c:v>0</c:v>
                      </c:pt>
                      <c:pt idx="3">
                        <c:v>0</c:v>
                      </c:pt>
                      <c:pt idx="4">
                        <c:v>0</c:v>
                      </c:pt>
                      <c:pt idx="5">
                        <c:v>0</c:v>
                      </c:pt>
                      <c:pt idx="6">
                        <c:v>0</c:v>
                      </c:pt>
                      <c:pt idx="7">
                        <c:v>0</c:v>
                      </c:pt>
                      <c:pt idx="8">
                        <c:v>0</c:v>
                      </c:pt>
                      <c:pt idx="9">
                        <c:v>0</c:v>
                      </c:pt>
                      <c:pt idx="10">
                        <c:v>0</c:v>
                      </c:pt>
                      <c:pt idx="11">
                        <c:v>1</c:v>
                      </c:pt>
                      <c:pt idx="12">
                        <c:v>0</c:v>
                      </c:pt>
                      <c:pt idx="13">
                        <c:v>0</c:v>
                      </c:pt>
                      <c:pt idx="14">
                        <c:v>0</c:v>
                      </c:pt>
                      <c:pt idx="15">
                        <c:v>0</c:v>
                      </c:pt>
                      <c:pt idx="16">
                        <c:v>0</c:v>
                      </c:pt>
                      <c:pt idx="17">
                        <c:v>0</c:v>
                      </c:pt>
                      <c:pt idx="18">
                        <c:v>0</c:v>
                      </c:pt>
                      <c:pt idx="19">
                        <c:v>1</c:v>
                      </c:pt>
                    </c:numCache>
                  </c:numRef>
                </c:val>
                <c:extLst xmlns:c15="http://schemas.microsoft.com/office/drawing/2012/chart">
                  <c:ext xmlns:c16="http://schemas.microsoft.com/office/drawing/2014/chart" uri="{C3380CC4-5D6E-409C-BE32-E72D297353CC}">
                    <c16:uniqueId val="{00000014-692D-4217-AA99-E51846ED2411}"/>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Sheet1!$V$2</c15:sqref>
                        </c15:formulaRef>
                      </c:ext>
                    </c:extLst>
                    <c:strCache>
                      <c:ptCount val="1"/>
                      <c:pt idx="0">
                        <c:v>Indeterminate type of response</c:v>
                      </c:pt>
                    </c:strCache>
                  </c:strRef>
                </c:tx>
                <c:spPr>
                  <a:solidFill>
                    <a:schemeClr val="accent4">
                      <a:lumMod val="8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Sheet1!$V$3:$V$22</c15:sqref>
                        </c15:formulaRef>
                      </c:ext>
                    </c:extLst>
                    <c:numCache>
                      <c:formatCode>General</c:formatCode>
                      <c:ptCount val="20"/>
                      <c:pt idx="0">
                        <c:v>0</c:v>
                      </c:pt>
                      <c:pt idx="1">
                        <c:v>0</c:v>
                      </c:pt>
                      <c:pt idx="2">
                        <c:v>0</c:v>
                      </c:pt>
                      <c:pt idx="3">
                        <c:v>0</c:v>
                      </c:pt>
                      <c:pt idx="4">
                        <c:v>1</c:v>
                      </c:pt>
                      <c:pt idx="5">
                        <c:v>0</c:v>
                      </c:pt>
                      <c:pt idx="6">
                        <c:v>0</c:v>
                      </c:pt>
                      <c:pt idx="7">
                        <c:v>0</c:v>
                      </c:pt>
                      <c:pt idx="8">
                        <c:v>0</c:v>
                      </c:pt>
                      <c:pt idx="9">
                        <c:v>0</c:v>
                      </c:pt>
                      <c:pt idx="10">
                        <c:v>0</c:v>
                      </c:pt>
                      <c:pt idx="11">
                        <c:v>1</c:v>
                      </c:pt>
                      <c:pt idx="12">
                        <c:v>2</c:v>
                      </c:pt>
                      <c:pt idx="13">
                        <c:v>0</c:v>
                      </c:pt>
                      <c:pt idx="14">
                        <c:v>1</c:v>
                      </c:pt>
                      <c:pt idx="15">
                        <c:v>0</c:v>
                      </c:pt>
                      <c:pt idx="16">
                        <c:v>0</c:v>
                      </c:pt>
                      <c:pt idx="17">
                        <c:v>1</c:v>
                      </c:pt>
                      <c:pt idx="18">
                        <c:v>0</c:v>
                      </c:pt>
                      <c:pt idx="19">
                        <c:v>0</c:v>
                      </c:pt>
                    </c:numCache>
                  </c:numRef>
                </c:val>
                <c:extLst xmlns:c15="http://schemas.microsoft.com/office/drawing/2012/chart">
                  <c:ext xmlns:c16="http://schemas.microsoft.com/office/drawing/2014/chart" uri="{C3380CC4-5D6E-409C-BE32-E72D297353CC}">
                    <c16:uniqueId val="{00000015-692D-4217-AA99-E51846ED2411}"/>
                  </c:ext>
                </c:extLst>
              </c15:ser>
            </c15:filteredBarSeries>
          </c:ext>
        </c:extLst>
      </c:barChart>
      <c:catAx>
        <c:axId val="39104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041240"/>
        <c:crosses val="autoZero"/>
        <c:auto val="1"/>
        <c:lblAlgn val="ctr"/>
        <c:lblOffset val="100"/>
        <c:noMultiLvlLbl val="0"/>
      </c:catAx>
      <c:valAx>
        <c:axId val="391041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040912"/>
        <c:crosses val="autoZero"/>
        <c:crossBetween val="between"/>
      </c:valAx>
      <c:spPr>
        <a:noFill/>
        <a:ln>
          <a:noFill/>
        </a:ln>
        <a:effectLst/>
      </c:spPr>
    </c:plotArea>
    <c:legend>
      <c:legendPos val="b"/>
      <c:layout>
        <c:manualLayout>
          <c:xMode val="edge"/>
          <c:yMode val="edge"/>
          <c:x val="2.3045056867891531E-2"/>
          <c:y val="0.68533320695188249"/>
          <c:w val="0.94002077865266864"/>
          <c:h val="0.2868890528838667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Types of Mitigation Responses</a:t>
            </a:r>
          </a:p>
        </c:rich>
      </c:tx>
      <c:layout>
        <c:manualLayout>
          <c:xMode val="edge"/>
          <c:yMode val="edge"/>
          <c:x val="0.29532814287165304"/>
          <c:y val="4.81513327601031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6580927384076991E-2"/>
          <c:y val="0.17171296296296296"/>
          <c:w val="0.90286351706036749"/>
          <c:h val="0.49425915336001996"/>
        </c:manualLayout>
      </c:layout>
      <c:barChart>
        <c:barDir val="col"/>
        <c:grouping val="stacked"/>
        <c:varyColors val="0"/>
        <c:ser>
          <c:idx val="12"/>
          <c:order val="12"/>
          <c:tx>
            <c:strRef>
              <c:f>Sheet1!$M$2</c:f>
              <c:strCache>
                <c:ptCount val="1"/>
                <c:pt idx="0">
                  <c:v>Generic response</c:v>
                </c:pt>
              </c:strCache>
              <c:extLst xmlns:c15="http://schemas.microsoft.com/office/drawing/2012/chart"/>
            </c:strRef>
          </c:tx>
          <c:spPr>
            <a:solidFill>
              <a:schemeClr val="accent1">
                <a:lumMod val="80000"/>
                <a:lumOff val="2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extLst xmlns:c15="http://schemas.microsoft.com/office/drawing/2012/chart"/>
            </c:numRef>
          </c:cat>
          <c:val>
            <c:numRef>
              <c:f>Sheet1!$M$3:$M$22</c:f>
              <c:numCache>
                <c:formatCode>General</c:formatCode>
                <c:ptCount val="20"/>
                <c:pt idx="0">
                  <c:v>0</c:v>
                </c:pt>
                <c:pt idx="1">
                  <c:v>0</c:v>
                </c:pt>
                <c:pt idx="2">
                  <c:v>0</c:v>
                </c:pt>
                <c:pt idx="3">
                  <c:v>0</c:v>
                </c:pt>
                <c:pt idx="4">
                  <c:v>0</c:v>
                </c:pt>
                <c:pt idx="5">
                  <c:v>1</c:v>
                </c:pt>
                <c:pt idx="6">
                  <c:v>0</c:v>
                </c:pt>
                <c:pt idx="7">
                  <c:v>0</c:v>
                </c:pt>
                <c:pt idx="8">
                  <c:v>0</c:v>
                </c:pt>
                <c:pt idx="9">
                  <c:v>1</c:v>
                </c:pt>
                <c:pt idx="10">
                  <c:v>0</c:v>
                </c:pt>
                <c:pt idx="11">
                  <c:v>2</c:v>
                </c:pt>
                <c:pt idx="12">
                  <c:v>0</c:v>
                </c:pt>
                <c:pt idx="13">
                  <c:v>1</c:v>
                </c:pt>
                <c:pt idx="14">
                  <c:v>0</c:v>
                </c:pt>
                <c:pt idx="15">
                  <c:v>1</c:v>
                </c:pt>
                <c:pt idx="16">
                  <c:v>1</c:v>
                </c:pt>
                <c:pt idx="17">
                  <c:v>0</c:v>
                </c:pt>
                <c:pt idx="18">
                  <c:v>0</c:v>
                </c:pt>
                <c:pt idx="19">
                  <c:v>2</c:v>
                </c:pt>
              </c:numCache>
              <c:extLst xmlns:c15="http://schemas.microsoft.com/office/drawing/2012/chart"/>
            </c:numRef>
          </c:val>
          <c:extLst>
            <c:ext xmlns:c16="http://schemas.microsoft.com/office/drawing/2014/chart" uri="{C3380CC4-5D6E-409C-BE32-E72D297353CC}">
              <c16:uniqueId val="{00000000-A570-4A52-B62B-968F8AE966F5}"/>
            </c:ext>
          </c:extLst>
        </c:ser>
        <c:ser>
          <c:idx val="13"/>
          <c:order val="13"/>
          <c:tx>
            <c:strRef>
              <c:f>Sheet1!$N$2</c:f>
              <c:strCache>
                <c:ptCount val="1"/>
                <c:pt idx="0">
                  <c:v>Legislation</c:v>
                </c:pt>
              </c:strCache>
              <c:extLst xmlns:c15="http://schemas.microsoft.com/office/drawing/2012/chart"/>
            </c:strRef>
          </c:tx>
          <c:spPr>
            <a:solidFill>
              <a:schemeClr val="accent2">
                <a:lumMod val="80000"/>
                <a:lumOff val="2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extLst xmlns:c15="http://schemas.microsoft.com/office/drawing/2012/chart"/>
            </c:numRef>
          </c:cat>
          <c:val>
            <c:numRef>
              <c:f>Sheet1!$N$3:$N$22</c:f>
              <c:numCache>
                <c:formatCode>General</c:formatCode>
                <c:ptCount val="20"/>
                <c:pt idx="0">
                  <c:v>0</c:v>
                </c:pt>
                <c:pt idx="1">
                  <c:v>0</c:v>
                </c:pt>
                <c:pt idx="2">
                  <c:v>0</c:v>
                </c:pt>
                <c:pt idx="3">
                  <c:v>0</c:v>
                </c:pt>
                <c:pt idx="4">
                  <c:v>0</c:v>
                </c:pt>
                <c:pt idx="5">
                  <c:v>1</c:v>
                </c:pt>
                <c:pt idx="6">
                  <c:v>0</c:v>
                </c:pt>
                <c:pt idx="7">
                  <c:v>0</c:v>
                </c:pt>
                <c:pt idx="8">
                  <c:v>0</c:v>
                </c:pt>
                <c:pt idx="9">
                  <c:v>0</c:v>
                </c:pt>
                <c:pt idx="10">
                  <c:v>0</c:v>
                </c:pt>
                <c:pt idx="11">
                  <c:v>2</c:v>
                </c:pt>
                <c:pt idx="12">
                  <c:v>3</c:v>
                </c:pt>
                <c:pt idx="13">
                  <c:v>16</c:v>
                </c:pt>
                <c:pt idx="14">
                  <c:v>0</c:v>
                </c:pt>
                <c:pt idx="15">
                  <c:v>0</c:v>
                </c:pt>
                <c:pt idx="16">
                  <c:v>1</c:v>
                </c:pt>
                <c:pt idx="17">
                  <c:v>1</c:v>
                </c:pt>
                <c:pt idx="18">
                  <c:v>0</c:v>
                </c:pt>
                <c:pt idx="19">
                  <c:v>1</c:v>
                </c:pt>
              </c:numCache>
              <c:extLst xmlns:c15="http://schemas.microsoft.com/office/drawing/2012/chart"/>
            </c:numRef>
          </c:val>
          <c:extLst>
            <c:ext xmlns:c16="http://schemas.microsoft.com/office/drawing/2014/chart" uri="{C3380CC4-5D6E-409C-BE32-E72D297353CC}">
              <c16:uniqueId val="{00000001-A570-4A52-B62B-968F8AE966F5}"/>
            </c:ext>
          </c:extLst>
        </c:ser>
        <c:ser>
          <c:idx val="14"/>
          <c:order val="14"/>
          <c:tx>
            <c:strRef>
              <c:f>Sheet1!$O$2</c:f>
              <c:strCache>
                <c:ptCount val="1"/>
                <c:pt idx="0">
                  <c:v>Departmental development</c:v>
                </c:pt>
              </c:strCache>
              <c:extLst xmlns:c15="http://schemas.microsoft.com/office/drawing/2012/chart"/>
            </c:strRef>
          </c:tx>
          <c:spPr>
            <a:solidFill>
              <a:schemeClr val="accent3">
                <a:lumMod val="80000"/>
                <a:lumOff val="2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extLst xmlns:c15="http://schemas.microsoft.com/office/drawing/2012/chart"/>
            </c:numRef>
          </c:cat>
          <c:val>
            <c:numRef>
              <c:f>Sheet1!$O$3:$O$22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extLst xmlns:c15="http://schemas.microsoft.com/office/drawing/2012/chart"/>
            </c:numRef>
          </c:val>
          <c:extLst>
            <c:ext xmlns:c16="http://schemas.microsoft.com/office/drawing/2014/chart" uri="{C3380CC4-5D6E-409C-BE32-E72D297353CC}">
              <c16:uniqueId val="{00000002-A570-4A52-B62B-968F8AE966F5}"/>
            </c:ext>
          </c:extLst>
        </c:ser>
        <c:ser>
          <c:idx val="15"/>
          <c:order val="15"/>
          <c:tx>
            <c:strRef>
              <c:f>Sheet1!$P$2</c:f>
              <c:strCache>
                <c:ptCount val="1"/>
                <c:pt idx="0">
                  <c:v>Infrastructure development, technology</c:v>
                </c:pt>
              </c:strCache>
              <c:extLst xmlns:c15="http://schemas.microsoft.com/office/drawing/2012/chart"/>
            </c:strRef>
          </c:tx>
          <c:spPr>
            <a:solidFill>
              <a:schemeClr val="accent4">
                <a:lumMod val="80000"/>
                <a:lumOff val="2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extLst xmlns:c15="http://schemas.microsoft.com/office/drawing/2012/chart"/>
            </c:numRef>
          </c:cat>
          <c:val>
            <c:numRef>
              <c:f>Sheet1!$P$3:$P$22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1</c:v>
                </c:pt>
                <c:pt idx="12">
                  <c:v>0</c:v>
                </c:pt>
                <c:pt idx="13">
                  <c:v>0</c:v>
                </c:pt>
                <c:pt idx="14">
                  <c:v>0</c:v>
                </c:pt>
                <c:pt idx="15">
                  <c:v>0</c:v>
                </c:pt>
                <c:pt idx="16">
                  <c:v>1</c:v>
                </c:pt>
                <c:pt idx="17">
                  <c:v>0</c:v>
                </c:pt>
                <c:pt idx="18">
                  <c:v>0</c:v>
                </c:pt>
                <c:pt idx="19">
                  <c:v>0</c:v>
                </c:pt>
              </c:numCache>
              <c:extLst xmlns:c15="http://schemas.microsoft.com/office/drawing/2012/chart"/>
            </c:numRef>
          </c:val>
          <c:extLst>
            <c:ext xmlns:c16="http://schemas.microsoft.com/office/drawing/2014/chart" uri="{C3380CC4-5D6E-409C-BE32-E72D297353CC}">
              <c16:uniqueId val="{00000003-A570-4A52-B62B-968F8AE966F5}"/>
            </c:ext>
          </c:extLst>
        </c:ser>
        <c:ser>
          <c:idx val="16"/>
          <c:order val="16"/>
          <c:tx>
            <c:strRef>
              <c:f>Sheet1!$Q$2</c:f>
              <c:strCache>
                <c:ptCount val="1"/>
                <c:pt idx="0">
                  <c:v>Surveillance and monitoring</c:v>
                </c:pt>
              </c:strCache>
              <c:extLst xmlns:c15="http://schemas.microsoft.com/office/drawing/2012/chart"/>
            </c:strRef>
          </c:tx>
          <c:spPr>
            <a:solidFill>
              <a:schemeClr val="accent5">
                <a:lumMod val="80000"/>
                <a:lumOff val="2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extLst xmlns:c15="http://schemas.microsoft.com/office/drawing/2012/chart"/>
            </c:numRef>
          </c:cat>
          <c:val>
            <c:numRef>
              <c:f>Sheet1!$Q$3:$Q$22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extLst xmlns:c15="http://schemas.microsoft.com/office/drawing/2012/chart"/>
            </c:numRef>
          </c:val>
          <c:extLst>
            <c:ext xmlns:c16="http://schemas.microsoft.com/office/drawing/2014/chart" uri="{C3380CC4-5D6E-409C-BE32-E72D297353CC}">
              <c16:uniqueId val="{00000004-A570-4A52-B62B-968F8AE966F5}"/>
            </c:ext>
          </c:extLst>
        </c:ser>
        <c:ser>
          <c:idx val="17"/>
          <c:order val="17"/>
          <c:tx>
            <c:strRef>
              <c:f>Sheet1!$R$2</c:f>
              <c:strCache>
                <c:ptCount val="1"/>
                <c:pt idx="0">
                  <c:v>Public awareness and outreach</c:v>
                </c:pt>
              </c:strCache>
              <c:extLst xmlns:c15="http://schemas.microsoft.com/office/drawing/2012/chart"/>
            </c:strRef>
          </c:tx>
          <c:spPr>
            <a:solidFill>
              <a:schemeClr val="accent6">
                <a:lumMod val="80000"/>
                <a:lumOff val="2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extLst xmlns:c15="http://schemas.microsoft.com/office/drawing/2012/chart"/>
            </c:numRef>
          </c:cat>
          <c:val>
            <c:numRef>
              <c:f>Sheet1!$R$3:$R$22</c:f>
              <c:numCache>
                <c:formatCode>General</c:formatCode>
                <c:ptCount val="20"/>
                <c:pt idx="0">
                  <c:v>0</c:v>
                </c:pt>
                <c:pt idx="1">
                  <c:v>0</c:v>
                </c:pt>
                <c:pt idx="2">
                  <c:v>0</c:v>
                </c:pt>
                <c:pt idx="3">
                  <c:v>0</c:v>
                </c:pt>
                <c:pt idx="4">
                  <c:v>0</c:v>
                </c:pt>
                <c:pt idx="5">
                  <c:v>1</c:v>
                </c:pt>
                <c:pt idx="6">
                  <c:v>0</c:v>
                </c:pt>
                <c:pt idx="7">
                  <c:v>1</c:v>
                </c:pt>
                <c:pt idx="8">
                  <c:v>2</c:v>
                </c:pt>
                <c:pt idx="9">
                  <c:v>3</c:v>
                </c:pt>
                <c:pt idx="10">
                  <c:v>2</c:v>
                </c:pt>
                <c:pt idx="11">
                  <c:v>5</c:v>
                </c:pt>
                <c:pt idx="12">
                  <c:v>1</c:v>
                </c:pt>
                <c:pt idx="13">
                  <c:v>0</c:v>
                </c:pt>
                <c:pt idx="14">
                  <c:v>0</c:v>
                </c:pt>
                <c:pt idx="15">
                  <c:v>0</c:v>
                </c:pt>
                <c:pt idx="16">
                  <c:v>0</c:v>
                </c:pt>
                <c:pt idx="17">
                  <c:v>1</c:v>
                </c:pt>
                <c:pt idx="18">
                  <c:v>0</c:v>
                </c:pt>
                <c:pt idx="19">
                  <c:v>0</c:v>
                </c:pt>
              </c:numCache>
              <c:extLst xmlns:c15="http://schemas.microsoft.com/office/drawing/2012/chart"/>
            </c:numRef>
          </c:val>
          <c:extLst>
            <c:ext xmlns:c16="http://schemas.microsoft.com/office/drawing/2014/chart" uri="{C3380CC4-5D6E-409C-BE32-E72D297353CC}">
              <c16:uniqueId val="{00000005-A570-4A52-B62B-968F8AE966F5}"/>
            </c:ext>
          </c:extLst>
        </c:ser>
        <c:ser>
          <c:idx val="18"/>
          <c:order val="18"/>
          <c:tx>
            <c:strRef>
              <c:f>Sheet1!$S$2</c:f>
              <c:strCache>
                <c:ptCount val="1"/>
                <c:pt idx="0">
                  <c:v>Evaluation</c:v>
                </c:pt>
              </c:strCache>
              <c:extLst xmlns:c15="http://schemas.microsoft.com/office/drawing/2012/chart"/>
            </c:strRef>
          </c:tx>
          <c:spPr>
            <a:solidFill>
              <a:schemeClr val="accent1">
                <a:lumMod val="8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extLst xmlns:c15="http://schemas.microsoft.com/office/drawing/2012/chart"/>
            </c:numRef>
          </c:cat>
          <c:val>
            <c:numRef>
              <c:f>Sheet1!$S$3:$S$22</c:f>
              <c:numCache>
                <c:formatCode>General</c:formatCode>
                <c:ptCount val="20"/>
                <c:pt idx="0">
                  <c:v>0</c:v>
                </c:pt>
                <c:pt idx="1">
                  <c:v>0</c:v>
                </c:pt>
                <c:pt idx="2">
                  <c:v>0</c:v>
                </c:pt>
                <c:pt idx="3">
                  <c:v>0</c:v>
                </c:pt>
                <c:pt idx="4">
                  <c:v>0</c:v>
                </c:pt>
                <c:pt idx="5">
                  <c:v>1</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numCache>
              <c:extLst xmlns:c15="http://schemas.microsoft.com/office/drawing/2012/chart"/>
            </c:numRef>
          </c:val>
          <c:extLst>
            <c:ext xmlns:c16="http://schemas.microsoft.com/office/drawing/2014/chart" uri="{C3380CC4-5D6E-409C-BE32-E72D297353CC}">
              <c16:uniqueId val="{00000006-A570-4A52-B62B-968F8AE966F5}"/>
            </c:ext>
          </c:extLst>
        </c:ser>
        <c:ser>
          <c:idx val="19"/>
          <c:order val="19"/>
          <c:tx>
            <c:strRef>
              <c:f>Sheet1!$T$2</c:f>
              <c:strCache>
                <c:ptCount val="1"/>
                <c:pt idx="0">
                  <c:v>Financial support</c:v>
                </c:pt>
              </c:strCache>
              <c:extLst xmlns:c15="http://schemas.microsoft.com/office/drawing/2012/chart"/>
            </c:strRef>
          </c:tx>
          <c:spPr>
            <a:solidFill>
              <a:schemeClr val="accent2">
                <a:lumMod val="8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extLst xmlns:c15="http://schemas.microsoft.com/office/drawing/2012/chart"/>
            </c:numRef>
          </c:cat>
          <c:val>
            <c:numRef>
              <c:f>Sheet1!$T$3:$T$22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1</c:v>
                </c:pt>
                <c:pt idx="13">
                  <c:v>0</c:v>
                </c:pt>
                <c:pt idx="14">
                  <c:v>0</c:v>
                </c:pt>
                <c:pt idx="15">
                  <c:v>0</c:v>
                </c:pt>
                <c:pt idx="16">
                  <c:v>0</c:v>
                </c:pt>
                <c:pt idx="17">
                  <c:v>0</c:v>
                </c:pt>
                <c:pt idx="18">
                  <c:v>0</c:v>
                </c:pt>
                <c:pt idx="19">
                  <c:v>0</c:v>
                </c:pt>
              </c:numCache>
              <c:extLst xmlns:c15="http://schemas.microsoft.com/office/drawing/2012/chart"/>
            </c:numRef>
          </c:val>
          <c:extLst>
            <c:ext xmlns:c16="http://schemas.microsoft.com/office/drawing/2014/chart" uri="{C3380CC4-5D6E-409C-BE32-E72D297353CC}">
              <c16:uniqueId val="{00000007-A570-4A52-B62B-968F8AE966F5}"/>
            </c:ext>
          </c:extLst>
        </c:ser>
        <c:ser>
          <c:idx val="20"/>
          <c:order val="20"/>
          <c:tx>
            <c:strRef>
              <c:f>Sheet1!$U$2</c:f>
              <c:strCache>
                <c:ptCount val="1"/>
                <c:pt idx="0">
                  <c:v>Other</c:v>
                </c:pt>
              </c:strCache>
              <c:extLst xmlns:c15="http://schemas.microsoft.com/office/drawing/2012/chart"/>
            </c:strRef>
          </c:tx>
          <c:spPr>
            <a:solidFill>
              <a:schemeClr val="accent3">
                <a:lumMod val="80000"/>
              </a:schemeClr>
            </a:solidFill>
            <a:ln>
              <a:noFill/>
            </a:ln>
            <a:effectLst/>
          </c:spPr>
          <c:invertIfNegative val="0"/>
          <c:cat>
            <c:numRef>
              <c:f>Sheet1!$A$3:$A$22</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extLst xmlns:c15="http://schemas.microsoft.com/office/drawing/2012/chart"/>
            </c:numRef>
          </c:cat>
          <c:val>
            <c:numRef>
              <c:f>Sheet1!$U$3:$U$22</c:f>
              <c:numCache>
                <c:formatCode>General</c:formatCode>
                <c:ptCount val="20"/>
                <c:pt idx="0">
                  <c:v>0</c:v>
                </c:pt>
                <c:pt idx="1">
                  <c:v>0</c:v>
                </c:pt>
                <c:pt idx="2">
                  <c:v>0</c:v>
                </c:pt>
                <c:pt idx="3">
                  <c:v>0</c:v>
                </c:pt>
                <c:pt idx="4">
                  <c:v>0</c:v>
                </c:pt>
                <c:pt idx="5">
                  <c:v>0</c:v>
                </c:pt>
                <c:pt idx="6">
                  <c:v>0</c:v>
                </c:pt>
                <c:pt idx="7">
                  <c:v>0</c:v>
                </c:pt>
                <c:pt idx="8">
                  <c:v>0</c:v>
                </c:pt>
                <c:pt idx="9">
                  <c:v>0</c:v>
                </c:pt>
                <c:pt idx="10">
                  <c:v>0</c:v>
                </c:pt>
                <c:pt idx="11">
                  <c:v>1</c:v>
                </c:pt>
                <c:pt idx="12">
                  <c:v>0</c:v>
                </c:pt>
                <c:pt idx="13">
                  <c:v>0</c:v>
                </c:pt>
                <c:pt idx="14">
                  <c:v>0</c:v>
                </c:pt>
                <c:pt idx="15">
                  <c:v>0</c:v>
                </c:pt>
                <c:pt idx="16">
                  <c:v>0</c:v>
                </c:pt>
                <c:pt idx="17">
                  <c:v>0</c:v>
                </c:pt>
                <c:pt idx="18">
                  <c:v>0</c:v>
                </c:pt>
                <c:pt idx="19">
                  <c:v>1</c:v>
                </c:pt>
              </c:numCache>
              <c:extLst xmlns:c15="http://schemas.microsoft.com/office/drawing/2012/chart"/>
            </c:numRef>
          </c:val>
          <c:extLst>
            <c:ext xmlns:c16="http://schemas.microsoft.com/office/drawing/2014/chart" uri="{C3380CC4-5D6E-409C-BE32-E72D297353CC}">
              <c16:uniqueId val="{00000008-A570-4A52-B62B-968F8AE966F5}"/>
            </c:ext>
          </c:extLst>
        </c:ser>
        <c:dLbls>
          <c:showLegendKey val="0"/>
          <c:showVal val="0"/>
          <c:showCatName val="0"/>
          <c:showSerName val="0"/>
          <c:showPercent val="0"/>
          <c:showBubbleSize val="0"/>
        </c:dLbls>
        <c:gapWidth val="150"/>
        <c:overlap val="100"/>
        <c:axId val="391040912"/>
        <c:axId val="391041240"/>
        <c:extLst>
          <c:ext xmlns:c15="http://schemas.microsoft.com/office/drawing/2012/chart" uri="{02D57815-91ED-43cb-92C2-25804820EDAC}">
            <c15:filteredBarSeries>
              <c15:ser>
                <c:idx val="0"/>
                <c:order val="0"/>
                <c:tx>
                  <c:strRef>
                    <c:extLst>
                      <c:ext uri="{02D57815-91ED-43cb-92C2-25804820EDAC}">
                        <c15:formulaRef>
                          <c15:sqref>Sheet1!$A$2</c15:sqref>
                        </c15:formulaRef>
                      </c:ext>
                    </c:extLst>
                    <c:strCache>
                      <c:ptCount val="1"/>
                      <c:pt idx="0">
                        <c:v>Year</c:v>
                      </c:pt>
                    </c:strCache>
                  </c:strRef>
                </c:tx>
                <c:spPr>
                  <a:solidFill>
                    <a:schemeClr val="accent1"/>
                  </a:solidFill>
                  <a:ln>
                    <a:noFill/>
                  </a:ln>
                  <a:effectLst/>
                </c:spPr>
                <c:invertIfNegative val="0"/>
                <c:cat>
                  <c:numRef>
                    <c:extLst>
                      <c:ex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c:ex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val>
                <c:extLst>
                  <c:ext xmlns:c16="http://schemas.microsoft.com/office/drawing/2014/chart" uri="{C3380CC4-5D6E-409C-BE32-E72D297353CC}">
                    <c16:uniqueId val="{00000009-A570-4A52-B62B-968F8AE966F5}"/>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Sheet1!$B$2</c15:sqref>
                        </c15:formulaRef>
                      </c:ext>
                    </c:extLst>
                    <c:strCache>
                      <c:ptCount val="1"/>
                      <c:pt idx="0">
                        <c:v>Generic reference</c:v>
                      </c:pt>
                    </c:strCache>
                  </c:strRef>
                </c:tx>
                <c:spPr>
                  <a:solidFill>
                    <a:schemeClr val="accent2"/>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Sheet1!$B$3:$B$22</c15:sqref>
                        </c15:formulaRef>
                      </c:ext>
                    </c:extLst>
                    <c:numCache>
                      <c:formatCode>General</c:formatCode>
                      <c:ptCount val="20"/>
                      <c:pt idx="0">
                        <c:v>0</c:v>
                      </c:pt>
                      <c:pt idx="1">
                        <c:v>0</c:v>
                      </c:pt>
                      <c:pt idx="2">
                        <c:v>0</c:v>
                      </c:pt>
                      <c:pt idx="3">
                        <c:v>0</c:v>
                      </c:pt>
                      <c:pt idx="4">
                        <c:v>0</c:v>
                      </c:pt>
                      <c:pt idx="5">
                        <c:v>0</c:v>
                      </c:pt>
                      <c:pt idx="6">
                        <c:v>0</c:v>
                      </c:pt>
                      <c:pt idx="7">
                        <c:v>0</c:v>
                      </c:pt>
                      <c:pt idx="8">
                        <c:v>0</c:v>
                      </c:pt>
                      <c:pt idx="9">
                        <c:v>1</c:v>
                      </c:pt>
                      <c:pt idx="10">
                        <c:v>0</c:v>
                      </c:pt>
                      <c:pt idx="11">
                        <c:v>0</c:v>
                      </c:pt>
                      <c:pt idx="12">
                        <c:v>1</c:v>
                      </c:pt>
                      <c:pt idx="13">
                        <c:v>1</c:v>
                      </c:pt>
                      <c:pt idx="14">
                        <c:v>1</c:v>
                      </c:pt>
                      <c:pt idx="15">
                        <c:v>0</c:v>
                      </c:pt>
                      <c:pt idx="16">
                        <c:v>0</c:v>
                      </c:pt>
                      <c:pt idx="17">
                        <c:v>1</c:v>
                      </c:pt>
                      <c:pt idx="18">
                        <c:v>0</c:v>
                      </c:pt>
                      <c:pt idx="19">
                        <c:v>0</c:v>
                      </c:pt>
                    </c:numCache>
                  </c:numRef>
                </c:val>
                <c:extLst xmlns:c15="http://schemas.microsoft.com/office/drawing/2012/chart">
                  <c:ext xmlns:c16="http://schemas.microsoft.com/office/drawing/2014/chart" uri="{C3380CC4-5D6E-409C-BE32-E72D297353CC}">
                    <c16:uniqueId val="{0000000A-A570-4A52-B62B-968F8AE966F5}"/>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Sheet1!$C$2</c15:sqref>
                        </c15:formulaRef>
                      </c:ext>
                    </c:extLst>
                    <c:strCache>
                      <c:ptCount val="1"/>
                      <c:pt idx="0">
                        <c:v>Financial support</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Sheet1!$C$3:$C$22</c15:sqref>
                        </c15:formulaRef>
                      </c:ext>
                    </c:extLst>
                    <c:numCache>
                      <c:formatCode>General</c:formatCode>
                      <c:ptCount val="20"/>
                      <c:pt idx="0">
                        <c:v>0</c:v>
                      </c:pt>
                      <c:pt idx="1">
                        <c:v>0</c:v>
                      </c:pt>
                      <c:pt idx="2">
                        <c:v>0</c:v>
                      </c:pt>
                      <c:pt idx="3">
                        <c:v>0</c:v>
                      </c:pt>
                      <c:pt idx="4">
                        <c:v>0</c:v>
                      </c:pt>
                      <c:pt idx="5">
                        <c:v>0</c:v>
                      </c:pt>
                      <c:pt idx="6">
                        <c:v>0</c:v>
                      </c:pt>
                      <c:pt idx="7">
                        <c:v>0</c:v>
                      </c:pt>
                      <c:pt idx="8">
                        <c:v>0</c:v>
                      </c:pt>
                      <c:pt idx="9">
                        <c:v>0</c:v>
                      </c:pt>
                      <c:pt idx="10">
                        <c:v>1</c:v>
                      </c:pt>
                      <c:pt idx="11">
                        <c:v>0</c:v>
                      </c:pt>
                      <c:pt idx="12">
                        <c:v>1</c:v>
                      </c:pt>
                      <c:pt idx="13">
                        <c:v>2</c:v>
                      </c:pt>
                      <c:pt idx="14">
                        <c:v>0</c:v>
                      </c:pt>
                      <c:pt idx="15">
                        <c:v>0</c:v>
                      </c:pt>
                      <c:pt idx="16">
                        <c:v>0</c:v>
                      </c:pt>
                      <c:pt idx="17">
                        <c:v>0</c:v>
                      </c:pt>
                      <c:pt idx="18">
                        <c:v>0</c:v>
                      </c:pt>
                      <c:pt idx="19">
                        <c:v>0</c:v>
                      </c:pt>
                    </c:numCache>
                  </c:numRef>
                </c:val>
                <c:extLst xmlns:c15="http://schemas.microsoft.com/office/drawing/2012/chart">
                  <c:ext xmlns:c16="http://schemas.microsoft.com/office/drawing/2014/chart" uri="{C3380CC4-5D6E-409C-BE32-E72D297353CC}">
                    <c16:uniqueId val="{0000000B-A570-4A52-B62B-968F8AE966F5}"/>
                  </c:ext>
                </c:extLst>
              </c15:ser>
            </c15:filteredBarSeries>
            <c15:filteredBarSeries>
              <c15:ser>
                <c:idx val="4"/>
                <c:order val="3"/>
                <c:tx>
                  <c:strRef>
                    <c:extLst xmlns:c15="http://schemas.microsoft.com/office/drawing/2012/chart">
                      <c:ext xmlns:c15="http://schemas.microsoft.com/office/drawing/2012/chart" uri="{02D57815-91ED-43cb-92C2-25804820EDAC}">
                        <c15:formulaRef>
                          <c15:sqref>Sheet1!$E$2</c15:sqref>
                        </c15:formulaRef>
                      </c:ext>
                    </c:extLst>
                    <c:strCache>
                      <c:ptCount val="1"/>
                      <c:pt idx="0">
                        <c:v>Legislation</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Sheet1!$E$3:$E$22</c15:sqref>
                        </c15:formulaRef>
                      </c:ext>
                    </c:extLst>
                    <c:numCache>
                      <c:formatCode>General</c:formatCode>
                      <c:ptCount val="20"/>
                      <c:pt idx="0">
                        <c:v>0</c:v>
                      </c:pt>
                      <c:pt idx="1">
                        <c:v>0</c:v>
                      </c:pt>
                      <c:pt idx="2">
                        <c:v>0</c:v>
                      </c:pt>
                      <c:pt idx="3">
                        <c:v>0</c:v>
                      </c:pt>
                      <c:pt idx="4">
                        <c:v>0</c:v>
                      </c:pt>
                      <c:pt idx="5">
                        <c:v>0</c:v>
                      </c:pt>
                      <c:pt idx="6">
                        <c:v>0</c:v>
                      </c:pt>
                      <c:pt idx="7">
                        <c:v>0</c:v>
                      </c:pt>
                      <c:pt idx="8">
                        <c:v>0</c:v>
                      </c:pt>
                      <c:pt idx="9">
                        <c:v>0</c:v>
                      </c:pt>
                      <c:pt idx="10">
                        <c:v>0</c:v>
                      </c:pt>
                      <c:pt idx="11">
                        <c:v>2</c:v>
                      </c:pt>
                      <c:pt idx="12">
                        <c:v>3</c:v>
                      </c:pt>
                      <c:pt idx="13">
                        <c:v>2</c:v>
                      </c:pt>
                      <c:pt idx="14">
                        <c:v>1</c:v>
                      </c:pt>
                      <c:pt idx="15">
                        <c:v>0</c:v>
                      </c:pt>
                      <c:pt idx="16">
                        <c:v>0</c:v>
                      </c:pt>
                      <c:pt idx="17">
                        <c:v>0</c:v>
                      </c:pt>
                      <c:pt idx="18">
                        <c:v>0</c:v>
                      </c:pt>
                      <c:pt idx="19">
                        <c:v>0</c:v>
                      </c:pt>
                    </c:numCache>
                  </c:numRef>
                </c:val>
                <c:extLst xmlns:c15="http://schemas.microsoft.com/office/drawing/2012/chart">
                  <c:ext xmlns:c16="http://schemas.microsoft.com/office/drawing/2014/chart" uri="{C3380CC4-5D6E-409C-BE32-E72D297353CC}">
                    <c16:uniqueId val="{0000000C-A570-4A52-B62B-968F8AE966F5}"/>
                  </c:ext>
                </c:extLst>
              </c15:ser>
            </c15:filteredBarSeries>
            <c15:filteredBarSeries>
              <c15:ser>
                <c:idx val="5"/>
                <c:order val="4"/>
                <c:tx>
                  <c:strRef>
                    <c:extLst xmlns:c15="http://schemas.microsoft.com/office/drawing/2012/chart">
                      <c:ext xmlns:c15="http://schemas.microsoft.com/office/drawing/2012/chart" uri="{02D57815-91ED-43cb-92C2-25804820EDAC}">
                        <c15:formulaRef>
                          <c15:sqref>Sheet1!$F$2</c15:sqref>
                        </c15:formulaRef>
                      </c:ext>
                    </c:extLst>
                    <c:strCache>
                      <c:ptCount val="1"/>
                      <c:pt idx="0">
                        <c:v>Departmental development</c:v>
                      </c:pt>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Sheet1!$F$3:$F$22</c15:sqref>
                        </c15:formulaRef>
                      </c:ext>
                    </c:extLst>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1</c:v>
                      </c:pt>
                      <c:pt idx="14">
                        <c:v>0</c:v>
                      </c:pt>
                      <c:pt idx="15">
                        <c:v>0</c:v>
                      </c:pt>
                      <c:pt idx="16">
                        <c:v>0</c:v>
                      </c:pt>
                      <c:pt idx="17">
                        <c:v>2</c:v>
                      </c:pt>
                      <c:pt idx="18">
                        <c:v>0</c:v>
                      </c:pt>
                      <c:pt idx="19">
                        <c:v>0</c:v>
                      </c:pt>
                    </c:numCache>
                  </c:numRef>
                </c:val>
                <c:extLst xmlns:c15="http://schemas.microsoft.com/office/drawing/2012/chart">
                  <c:ext xmlns:c16="http://schemas.microsoft.com/office/drawing/2014/chart" uri="{C3380CC4-5D6E-409C-BE32-E72D297353CC}">
                    <c16:uniqueId val="{0000000D-A570-4A52-B62B-968F8AE966F5}"/>
                  </c:ext>
                </c:extLst>
              </c15:ser>
            </c15:filteredBarSeries>
            <c15:filteredBarSeries>
              <c15:ser>
                <c:idx val="6"/>
                <c:order val="5"/>
                <c:tx>
                  <c:strRef>
                    <c:extLst xmlns:c15="http://schemas.microsoft.com/office/drawing/2012/chart">
                      <c:ext xmlns:c15="http://schemas.microsoft.com/office/drawing/2012/chart" uri="{02D57815-91ED-43cb-92C2-25804820EDAC}">
                        <c15:formulaRef>
                          <c15:sqref>Sheet1!$G$2</c15:sqref>
                        </c15:formulaRef>
                      </c:ext>
                    </c:extLst>
                    <c:strCache>
                      <c:ptCount val="1"/>
                      <c:pt idx="0">
                        <c:v>Infrastructure development, technology</c:v>
                      </c:pt>
                    </c:strCache>
                  </c:strRef>
                </c:tx>
                <c:spPr>
                  <a:solidFill>
                    <a:schemeClr val="accent1">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Sheet1!$G$3:$G$22</c15:sqref>
                        </c15:formulaRef>
                      </c:ext>
                    </c:extLst>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1</c:v>
                      </c:pt>
                      <c:pt idx="13">
                        <c:v>1</c:v>
                      </c:pt>
                      <c:pt idx="14">
                        <c:v>0</c:v>
                      </c:pt>
                      <c:pt idx="15">
                        <c:v>0</c:v>
                      </c:pt>
                      <c:pt idx="16">
                        <c:v>0</c:v>
                      </c:pt>
                      <c:pt idx="17">
                        <c:v>1</c:v>
                      </c:pt>
                      <c:pt idx="18">
                        <c:v>2</c:v>
                      </c:pt>
                      <c:pt idx="19">
                        <c:v>3</c:v>
                      </c:pt>
                    </c:numCache>
                  </c:numRef>
                </c:val>
                <c:extLst xmlns:c15="http://schemas.microsoft.com/office/drawing/2012/chart">
                  <c:ext xmlns:c16="http://schemas.microsoft.com/office/drawing/2014/chart" uri="{C3380CC4-5D6E-409C-BE32-E72D297353CC}">
                    <c16:uniqueId val="{0000000E-A570-4A52-B62B-968F8AE966F5}"/>
                  </c:ext>
                </c:extLst>
              </c15:ser>
            </c15:filteredBarSeries>
            <c15:filteredBarSeries>
              <c15:ser>
                <c:idx val="7"/>
                <c:order val="6"/>
                <c:tx>
                  <c:strRef>
                    <c:extLst xmlns:c15="http://schemas.microsoft.com/office/drawing/2012/chart">
                      <c:ext xmlns:c15="http://schemas.microsoft.com/office/drawing/2012/chart" uri="{02D57815-91ED-43cb-92C2-25804820EDAC}">
                        <c15:formulaRef>
                          <c15:sqref>Sheet1!$H$2</c15:sqref>
                        </c15:formulaRef>
                      </c:ext>
                    </c:extLst>
                    <c:strCache>
                      <c:ptCount val="1"/>
                      <c:pt idx="0">
                        <c:v>Surveillance and monitoring</c:v>
                      </c:pt>
                    </c:strCache>
                  </c:strRef>
                </c:tx>
                <c:spPr>
                  <a:solidFill>
                    <a:schemeClr val="accent2">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Sheet1!$H$3:$H$22</c15:sqref>
                        </c15:formulaRef>
                      </c:ext>
                    </c:extLst>
                    <c:numCache>
                      <c:formatCode>General</c:formatCode>
                      <c:ptCount val="20"/>
                      <c:pt idx="0">
                        <c:v>0</c:v>
                      </c:pt>
                      <c:pt idx="1">
                        <c:v>0</c:v>
                      </c:pt>
                      <c:pt idx="2">
                        <c:v>0</c:v>
                      </c:pt>
                      <c:pt idx="3">
                        <c:v>0</c:v>
                      </c:pt>
                      <c:pt idx="4">
                        <c:v>0</c:v>
                      </c:pt>
                      <c:pt idx="5">
                        <c:v>0</c:v>
                      </c:pt>
                      <c:pt idx="6">
                        <c:v>1</c:v>
                      </c:pt>
                      <c:pt idx="7">
                        <c:v>0</c:v>
                      </c:pt>
                      <c:pt idx="8">
                        <c:v>0</c:v>
                      </c:pt>
                      <c:pt idx="9">
                        <c:v>1</c:v>
                      </c:pt>
                      <c:pt idx="10">
                        <c:v>0</c:v>
                      </c:pt>
                      <c:pt idx="11">
                        <c:v>1</c:v>
                      </c:pt>
                      <c:pt idx="12">
                        <c:v>1</c:v>
                      </c:pt>
                      <c:pt idx="13">
                        <c:v>1</c:v>
                      </c:pt>
                      <c:pt idx="14">
                        <c:v>1</c:v>
                      </c:pt>
                      <c:pt idx="15">
                        <c:v>0</c:v>
                      </c:pt>
                      <c:pt idx="16">
                        <c:v>0</c:v>
                      </c:pt>
                      <c:pt idx="17">
                        <c:v>0</c:v>
                      </c:pt>
                      <c:pt idx="18">
                        <c:v>0</c:v>
                      </c:pt>
                      <c:pt idx="19">
                        <c:v>1</c:v>
                      </c:pt>
                    </c:numCache>
                  </c:numRef>
                </c:val>
                <c:extLst xmlns:c15="http://schemas.microsoft.com/office/drawing/2012/chart">
                  <c:ext xmlns:c16="http://schemas.microsoft.com/office/drawing/2014/chart" uri="{C3380CC4-5D6E-409C-BE32-E72D297353CC}">
                    <c16:uniqueId val="{0000000F-A570-4A52-B62B-968F8AE966F5}"/>
                  </c:ext>
                </c:extLst>
              </c15:ser>
            </c15:filteredBarSeries>
            <c15:filteredBarSeries>
              <c15:ser>
                <c:idx val="8"/>
                <c:order val="7"/>
                <c:tx>
                  <c:strRef>
                    <c:extLst xmlns:c15="http://schemas.microsoft.com/office/drawing/2012/chart">
                      <c:ext xmlns:c15="http://schemas.microsoft.com/office/drawing/2012/chart" uri="{02D57815-91ED-43cb-92C2-25804820EDAC}">
                        <c15:formulaRef>
                          <c15:sqref>Sheet1!$I$2</c15:sqref>
                        </c15:formulaRef>
                      </c:ext>
                    </c:extLst>
                    <c:strCache>
                      <c:ptCount val="1"/>
                      <c:pt idx="0">
                        <c:v>Public awareness and outreach</c:v>
                      </c:pt>
                    </c:strCache>
                  </c:strRef>
                </c:tx>
                <c:spPr>
                  <a:solidFill>
                    <a:schemeClr val="accent3">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Sheet1!$I$3:$I$22</c15:sqref>
                        </c15:formulaRef>
                      </c:ext>
                    </c:extLst>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3</c:v>
                      </c:pt>
                      <c:pt idx="13">
                        <c:v>1</c:v>
                      </c:pt>
                      <c:pt idx="14">
                        <c:v>1</c:v>
                      </c:pt>
                      <c:pt idx="15">
                        <c:v>0</c:v>
                      </c:pt>
                      <c:pt idx="16">
                        <c:v>0</c:v>
                      </c:pt>
                      <c:pt idx="17">
                        <c:v>0</c:v>
                      </c:pt>
                      <c:pt idx="18">
                        <c:v>0</c:v>
                      </c:pt>
                      <c:pt idx="19">
                        <c:v>0</c:v>
                      </c:pt>
                    </c:numCache>
                  </c:numRef>
                </c:val>
                <c:extLst xmlns:c15="http://schemas.microsoft.com/office/drawing/2012/chart">
                  <c:ext xmlns:c16="http://schemas.microsoft.com/office/drawing/2014/chart" uri="{C3380CC4-5D6E-409C-BE32-E72D297353CC}">
                    <c16:uniqueId val="{00000010-A570-4A52-B62B-968F8AE966F5}"/>
                  </c:ext>
                </c:extLst>
              </c15:ser>
            </c15:filteredBarSeries>
            <c15:filteredBarSeries>
              <c15:ser>
                <c:idx val="9"/>
                <c:order val="8"/>
                <c:tx>
                  <c:strRef>
                    <c:extLst xmlns:c15="http://schemas.microsoft.com/office/drawing/2012/chart">
                      <c:ext xmlns:c15="http://schemas.microsoft.com/office/drawing/2012/chart" uri="{02D57815-91ED-43cb-92C2-25804820EDAC}">
                        <c15:formulaRef>
                          <c15:sqref>Sheet1!$J$2</c15:sqref>
                        </c15:formulaRef>
                      </c:ext>
                    </c:extLst>
                    <c:strCache>
                      <c:ptCount val="1"/>
                      <c:pt idx="0">
                        <c:v>Evaluation</c:v>
                      </c:pt>
                    </c:strCache>
                  </c:strRef>
                </c:tx>
                <c:spPr>
                  <a:solidFill>
                    <a:schemeClr val="accent4">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Sheet1!$J$3:$J$22</c15:sqref>
                        </c15:formulaRef>
                      </c:ext>
                    </c:extLst>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1</c:v>
                      </c:pt>
                      <c:pt idx="14">
                        <c:v>0</c:v>
                      </c:pt>
                      <c:pt idx="15">
                        <c:v>0</c:v>
                      </c:pt>
                      <c:pt idx="16">
                        <c:v>0</c:v>
                      </c:pt>
                      <c:pt idx="17">
                        <c:v>0</c:v>
                      </c:pt>
                      <c:pt idx="18">
                        <c:v>0</c:v>
                      </c:pt>
                      <c:pt idx="19">
                        <c:v>0</c:v>
                      </c:pt>
                    </c:numCache>
                  </c:numRef>
                </c:val>
                <c:extLst xmlns:c15="http://schemas.microsoft.com/office/drawing/2012/chart">
                  <c:ext xmlns:c16="http://schemas.microsoft.com/office/drawing/2014/chart" uri="{C3380CC4-5D6E-409C-BE32-E72D297353CC}">
                    <c16:uniqueId val="{00000011-A570-4A52-B62B-968F8AE966F5}"/>
                  </c:ext>
                </c:extLst>
              </c15:ser>
            </c15:filteredBarSeries>
            <c15:filteredBarSeries>
              <c15:ser>
                <c:idx val="10"/>
                <c:order val="9"/>
                <c:tx>
                  <c:strRef>
                    <c:extLst xmlns:c15="http://schemas.microsoft.com/office/drawing/2012/chart">
                      <c:ext xmlns:c15="http://schemas.microsoft.com/office/drawing/2012/chart" uri="{02D57815-91ED-43cb-92C2-25804820EDAC}">
                        <c15:formulaRef>
                          <c15:sqref>Sheet1!$K$2</c15:sqref>
                        </c15:formulaRef>
                      </c:ext>
                    </c:extLst>
                    <c:strCache>
                      <c:ptCount val="1"/>
                      <c:pt idx="0">
                        <c:v>Medical intervention</c:v>
                      </c:pt>
                    </c:strCache>
                  </c:strRef>
                </c:tx>
                <c:spPr>
                  <a:solidFill>
                    <a:schemeClr val="accent5">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Sheet1!$K$3:$K$22</c15:sqref>
                        </c15:formulaRef>
                      </c:ext>
                    </c:extLst>
                    <c:numCache>
                      <c:formatCode>General</c:formatCode>
                      <c:ptCount val="2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1</c:v>
                      </c:pt>
                    </c:numCache>
                  </c:numRef>
                </c:val>
                <c:extLst xmlns:c15="http://schemas.microsoft.com/office/drawing/2012/chart">
                  <c:ext xmlns:c16="http://schemas.microsoft.com/office/drawing/2014/chart" uri="{C3380CC4-5D6E-409C-BE32-E72D297353CC}">
                    <c16:uniqueId val="{00000012-A570-4A52-B62B-968F8AE966F5}"/>
                  </c:ext>
                </c:extLst>
              </c15:ser>
            </c15:filteredBarSeries>
            <c15:filteredBarSeries>
              <c15:ser>
                <c:idx val="11"/>
                <c:order val="10"/>
                <c:tx>
                  <c:strRef>
                    <c:extLst xmlns:c15="http://schemas.microsoft.com/office/drawing/2012/chart">
                      <c:ext xmlns:c15="http://schemas.microsoft.com/office/drawing/2012/chart" uri="{02D57815-91ED-43cb-92C2-25804820EDAC}">
                        <c15:formulaRef>
                          <c15:sqref>Sheet1!$L$2</c15:sqref>
                        </c15:formulaRef>
                      </c:ext>
                    </c:extLst>
                    <c:strCache>
                      <c:ptCount val="1"/>
                      <c:pt idx="0">
                        <c:v>Lifestyle alteration</c:v>
                      </c:pt>
                    </c:strCache>
                  </c:strRef>
                </c:tx>
                <c:spPr>
                  <a:solidFill>
                    <a:schemeClr val="accent6">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Sheet1!$L$3:$L$22</c15:sqref>
                        </c15:formulaRef>
                      </c:ext>
                    </c:extLst>
                    <c:numCache>
                      <c:formatCode>General</c:formatCode>
                      <c:ptCount val="20"/>
                      <c:pt idx="0">
                        <c:v>0</c:v>
                      </c:pt>
                      <c:pt idx="1">
                        <c:v>0</c:v>
                      </c:pt>
                      <c:pt idx="2">
                        <c:v>0</c:v>
                      </c:pt>
                      <c:pt idx="3">
                        <c:v>0</c:v>
                      </c:pt>
                      <c:pt idx="4">
                        <c:v>0</c:v>
                      </c:pt>
                      <c:pt idx="5">
                        <c:v>0</c:v>
                      </c:pt>
                      <c:pt idx="6">
                        <c:v>1</c:v>
                      </c:pt>
                      <c:pt idx="7">
                        <c:v>0</c:v>
                      </c:pt>
                      <c:pt idx="8">
                        <c:v>0</c:v>
                      </c:pt>
                      <c:pt idx="9">
                        <c:v>0</c:v>
                      </c:pt>
                      <c:pt idx="10">
                        <c:v>3</c:v>
                      </c:pt>
                      <c:pt idx="11">
                        <c:v>3</c:v>
                      </c:pt>
                      <c:pt idx="12">
                        <c:v>0</c:v>
                      </c:pt>
                      <c:pt idx="13">
                        <c:v>0</c:v>
                      </c:pt>
                      <c:pt idx="14">
                        <c:v>0</c:v>
                      </c:pt>
                      <c:pt idx="15">
                        <c:v>0</c:v>
                      </c:pt>
                      <c:pt idx="16">
                        <c:v>0</c:v>
                      </c:pt>
                      <c:pt idx="17">
                        <c:v>0</c:v>
                      </c:pt>
                      <c:pt idx="18">
                        <c:v>0</c:v>
                      </c:pt>
                      <c:pt idx="19">
                        <c:v>1</c:v>
                      </c:pt>
                    </c:numCache>
                  </c:numRef>
                </c:val>
                <c:extLst xmlns:c15="http://schemas.microsoft.com/office/drawing/2012/chart">
                  <c:ext xmlns:c16="http://schemas.microsoft.com/office/drawing/2014/chart" uri="{C3380CC4-5D6E-409C-BE32-E72D297353CC}">
                    <c16:uniqueId val="{00000013-A570-4A52-B62B-968F8AE966F5}"/>
                  </c:ext>
                </c:extLst>
              </c15:ser>
            </c15:filteredBarSeries>
            <c15:filteredBarSeries>
              <c15:ser>
                <c:idx val="3"/>
                <c:order val="11"/>
                <c:tx>
                  <c:strRef>
                    <c:extLst xmlns:c15="http://schemas.microsoft.com/office/drawing/2012/chart">
                      <c:ext xmlns:c15="http://schemas.microsoft.com/office/drawing/2012/chart" uri="{02D57815-91ED-43cb-92C2-25804820EDAC}">
                        <c15:formulaRef>
                          <c15:sqref>Sheet1!$D$2</c15:sqref>
                        </c15:formulaRef>
                      </c:ext>
                    </c:extLst>
                    <c:strCache>
                      <c:ptCount val="1"/>
                      <c:pt idx="0">
                        <c:v>Other</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Sheet1!$D$3:$D$22</c15:sqref>
                        </c15:formulaRef>
                      </c:ext>
                    </c:extLst>
                    <c:numCache>
                      <c:formatCode>General</c:formatCode>
                      <c:ptCount val="20"/>
                      <c:pt idx="0">
                        <c:v>0</c:v>
                      </c:pt>
                      <c:pt idx="1">
                        <c:v>0</c:v>
                      </c:pt>
                      <c:pt idx="2">
                        <c:v>0</c:v>
                      </c:pt>
                      <c:pt idx="3">
                        <c:v>0</c:v>
                      </c:pt>
                      <c:pt idx="4">
                        <c:v>0</c:v>
                      </c:pt>
                      <c:pt idx="5">
                        <c:v>0</c:v>
                      </c:pt>
                      <c:pt idx="6">
                        <c:v>0</c:v>
                      </c:pt>
                      <c:pt idx="7">
                        <c:v>0</c:v>
                      </c:pt>
                      <c:pt idx="8">
                        <c:v>0</c:v>
                      </c:pt>
                      <c:pt idx="9">
                        <c:v>1</c:v>
                      </c:pt>
                      <c:pt idx="10">
                        <c:v>1</c:v>
                      </c:pt>
                      <c:pt idx="11">
                        <c:v>2</c:v>
                      </c:pt>
                      <c:pt idx="12">
                        <c:v>1</c:v>
                      </c:pt>
                      <c:pt idx="13">
                        <c:v>2</c:v>
                      </c:pt>
                      <c:pt idx="14">
                        <c:v>0</c:v>
                      </c:pt>
                      <c:pt idx="15">
                        <c:v>0</c:v>
                      </c:pt>
                      <c:pt idx="16">
                        <c:v>0</c:v>
                      </c:pt>
                      <c:pt idx="17">
                        <c:v>0</c:v>
                      </c:pt>
                      <c:pt idx="18">
                        <c:v>0</c:v>
                      </c:pt>
                      <c:pt idx="19">
                        <c:v>0</c:v>
                      </c:pt>
                    </c:numCache>
                  </c:numRef>
                </c:val>
                <c:extLst xmlns:c15="http://schemas.microsoft.com/office/drawing/2012/chart">
                  <c:ext xmlns:c16="http://schemas.microsoft.com/office/drawing/2014/chart" uri="{C3380CC4-5D6E-409C-BE32-E72D297353CC}">
                    <c16:uniqueId val="{00000014-A570-4A52-B62B-968F8AE966F5}"/>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Sheet1!$V$2</c15:sqref>
                        </c15:formulaRef>
                      </c:ext>
                    </c:extLst>
                    <c:strCache>
                      <c:ptCount val="1"/>
                      <c:pt idx="0">
                        <c:v>Indeterminate type of response</c:v>
                      </c:pt>
                    </c:strCache>
                  </c:strRef>
                </c:tx>
                <c:spPr>
                  <a:solidFill>
                    <a:schemeClr val="accent4">
                      <a:lumMod val="80000"/>
                    </a:schemeClr>
                  </a:solidFill>
                  <a:ln>
                    <a:noFill/>
                  </a:ln>
                  <a:effectLst/>
                </c:spPr>
                <c:invertIfNegative val="0"/>
                <c:cat>
                  <c:numRef>
                    <c:extLst xmlns:c15="http://schemas.microsoft.com/office/drawing/2012/chart">
                      <c:ext xmlns:c15="http://schemas.microsoft.com/office/drawing/2012/chart" uri="{02D57815-91ED-43cb-92C2-25804820EDAC}">
                        <c15:formulaRef>
                          <c15:sqref>Sheet1!$A$3:$A$22</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xmlns:c15="http://schemas.microsoft.com/office/drawing/2012/chart">
                      <c:ext xmlns:c15="http://schemas.microsoft.com/office/drawing/2012/chart" uri="{02D57815-91ED-43cb-92C2-25804820EDAC}">
                        <c15:formulaRef>
                          <c15:sqref>Sheet1!$V$3:$V$22</c15:sqref>
                        </c15:formulaRef>
                      </c:ext>
                    </c:extLst>
                    <c:numCache>
                      <c:formatCode>General</c:formatCode>
                      <c:ptCount val="20"/>
                      <c:pt idx="0">
                        <c:v>0</c:v>
                      </c:pt>
                      <c:pt idx="1">
                        <c:v>0</c:v>
                      </c:pt>
                      <c:pt idx="2">
                        <c:v>0</c:v>
                      </c:pt>
                      <c:pt idx="3">
                        <c:v>0</c:v>
                      </c:pt>
                      <c:pt idx="4">
                        <c:v>1</c:v>
                      </c:pt>
                      <c:pt idx="5">
                        <c:v>0</c:v>
                      </c:pt>
                      <c:pt idx="6">
                        <c:v>0</c:v>
                      </c:pt>
                      <c:pt idx="7">
                        <c:v>0</c:v>
                      </c:pt>
                      <c:pt idx="8">
                        <c:v>0</c:v>
                      </c:pt>
                      <c:pt idx="9">
                        <c:v>0</c:v>
                      </c:pt>
                      <c:pt idx="10">
                        <c:v>0</c:v>
                      </c:pt>
                      <c:pt idx="11">
                        <c:v>1</c:v>
                      </c:pt>
                      <c:pt idx="12">
                        <c:v>2</c:v>
                      </c:pt>
                      <c:pt idx="13">
                        <c:v>0</c:v>
                      </c:pt>
                      <c:pt idx="14">
                        <c:v>1</c:v>
                      </c:pt>
                      <c:pt idx="15">
                        <c:v>0</c:v>
                      </c:pt>
                      <c:pt idx="16">
                        <c:v>0</c:v>
                      </c:pt>
                      <c:pt idx="17">
                        <c:v>1</c:v>
                      </c:pt>
                      <c:pt idx="18">
                        <c:v>0</c:v>
                      </c:pt>
                      <c:pt idx="19">
                        <c:v>0</c:v>
                      </c:pt>
                    </c:numCache>
                  </c:numRef>
                </c:val>
                <c:extLst xmlns:c15="http://schemas.microsoft.com/office/drawing/2012/chart">
                  <c:ext xmlns:c16="http://schemas.microsoft.com/office/drawing/2014/chart" uri="{C3380CC4-5D6E-409C-BE32-E72D297353CC}">
                    <c16:uniqueId val="{00000015-A570-4A52-B62B-968F8AE966F5}"/>
                  </c:ext>
                </c:extLst>
              </c15:ser>
            </c15:filteredBarSeries>
          </c:ext>
        </c:extLst>
      </c:barChart>
      <c:catAx>
        <c:axId val="391040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041240"/>
        <c:crosses val="autoZero"/>
        <c:auto val="1"/>
        <c:lblAlgn val="ctr"/>
        <c:lblOffset val="100"/>
        <c:noMultiLvlLbl val="0"/>
      </c:catAx>
      <c:valAx>
        <c:axId val="391041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1040912"/>
        <c:crosses val="autoZero"/>
        <c:crossBetween val="between"/>
      </c:valAx>
      <c:spPr>
        <a:noFill/>
        <a:ln>
          <a:noFill/>
        </a:ln>
        <a:effectLst/>
      </c:spPr>
    </c:plotArea>
    <c:legend>
      <c:legendPos val="b"/>
      <c:layout>
        <c:manualLayout>
          <c:xMode val="edge"/>
          <c:yMode val="edge"/>
          <c:x val="2.3045119920862389E-2"/>
          <c:y val="0.75609671696065928"/>
          <c:w val="0.94002077865266864"/>
          <c:h val="0.2146620537437119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Response Stage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1"/>
          <c:order val="1"/>
          <c:tx>
            <c:strRef>
              <c:f>'Media Analysis3_CPD_Matrix (16)'!$B$1</c:f>
              <c:strCache>
                <c:ptCount val="1"/>
                <c:pt idx="0">
                  <c:v>Statement of recognition</c:v>
                </c:pt>
              </c:strCache>
            </c:strRef>
          </c:tx>
          <c:spPr>
            <a:solidFill>
              <a:schemeClr val="accent2"/>
            </a:solidFill>
            <a:ln>
              <a:noFill/>
            </a:ln>
            <a:effectLst/>
          </c:spPr>
          <c:invertIfNegative val="0"/>
          <c:cat>
            <c:numRef>
              <c:f>'Media Analysis3_CPD_Matrix (16)'!$A$2:$A$21</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'Media Analysis3_CPD_Matrix (16)'!$B$2:$B$21</c:f>
              <c:numCache>
                <c:formatCode>General</c:formatCode>
                <c:ptCount val="20"/>
                <c:pt idx="0">
                  <c:v>0</c:v>
                </c:pt>
                <c:pt idx="1">
                  <c:v>0</c:v>
                </c:pt>
                <c:pt idx="2">
                  <c:v>0</c:v>
                </c:pt>
                <c:pt idx="3">
                  <c:v>0</c:v>
                </c:pt>
                <c:pt idx="4">
                  <c:v>0</c:v>
                </c:pt>
                <c:pt idx="5">
                  <c:v>1</c:v>
                </c:pt>
                <c:pt idx="6">
                  <c:v>1</c:v>
                </c:pt>
                <c:pt idx="7">
                  <c:v>0</c:v>
                </c:pt>
                <c:pt idx="8">
                  <c:v>0</c:v>
                </c:pt>
                <c:pt idx="9">
                  <c:v>1</c:v>
                </c:pt>
                <c:pt idx="10">
                  <c:v>2</c:v>
                </c:pt>
                <c:pt idx="11">
                  <c:v>3</c:v>
                </c:pt>
                <c:pt idx="12">
                  <c:v>2</c:v>
                </c:pt>
                <c:pt idx="13">
                  <c:v>6</c:v>
                </c:pt>
                <c:pt idx="14">
                  <c:v>1</c:v>
                </c:pt>
                <c:pt idx="15">
                  <c:v>1</c:v>
                </c:pt>
                <c:pt idx="16">
                  <c:v>2</c:v>
                </c:pt>
                <c:pt idx="17">
                  <c:v>4</c:v>
                </c:pt>
                <c:pt idx="18">
                  <c:v>0</c:v>
                </c:pt>
                <c:pt idx="19">
                  <c:v>2</c:v>
                </c:pt>
              </c:numCache>
            </c:numRef>
          </c:val>
          <c:extLst>
            <c:ext xmlns:c16="http://schemas.microsoft.com/office/drawing/2014/chart" uri="{C3380CC4-5D6E-409C-BE32-E72D297353CC}">
              <c16:uniqueId val="{00000000-7792-4688-AC42-A89D16C5AFDA}"/>
            </c:ext>
          </c:extLst>
        </c:ser>
        <c:ser>
          <c:idx val="2"/>
          <c:order val="2"/>
          <c:tx>
            <c:strRef>
              <c:f>'Media Analysis3_CPD_Matrix (16)'!$C$1</c:f>
              <c:strCache>
                <c:ptCount val="1"/>
                <c:pt idx="0">
                  <c:v>Groundwork</c:v>
                </c:pt>
              </c:strCache>
            </c:strRef>
          </c:tx>
          <c:spPr>
            <a:solidFill>
              <a:schemeClr val="accent3"/>
            </a:solidFill>
            <a:ln>
              <a:noFill/>
            </a:ln>
            <a:effectLst/>
          </c:spPr>
          <c:invertIfNegative val="0"/>
          <c:cat>
            <c:numRef>
              <c:f>'Media Analysis3_CPD_Matrix (16)'!$A$2:$A$21</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'Media Analysis3_CPD_Matrix (16)'!$C$2:$C$21</c:f>
              <c:numCache>
                <c:formatCode>General</c:formatCode>
                <c:ptCount val="20"/>
                <c:pt idx="0">
                  <c:v>0</c:v>
                </c:pt>
                <c:pt idx="1">
                  <c:v>0</c:v>
                </c:pt>
                <c:pt idx="2">
                  <c:v>0</c:v>
                </c:pt>
                <c:pt idx="3">
                  <c:v>0</c:v>
                </c:pt>
                <c:pt idx="4">
                  <c:v>0</c:v>
                </c:pt>
                <c:pt idx="5">
                  <c:v>0</c:v>
                </c:pt>
                <c:pt idx="6">
                  <c:v>0</c:v>
                </c:pt>
                <c:pt idx="7">
                  <c:v>1</c:v>
                </c:pt>
                <c:pt idx="8">
                  <c:v>2</c:v>
                </c:pt>
                <c:pt idx="9">
                  <c:v>2</c:v>
                </c:pt>
                <c:pt idx="10">
                  <c:v>2</c:v>
                </c:pt>
                <c:pt idx="11">
                  <c:v>5</c:v>
                </c:pt>
                <c:pt idx="12">
                  <c:v>3</c:v>
                </c:pt>
                <c:pt idx="13">
                  <c:v>9</c:v>
                </c:pt>
                <c:pt idx="14">
                  <c:v>0</c:v>
                </c:pt>
                <c:pt idx="15">
                  <c:v>0</c:v>
                </c:pt>
                <c:pt idx="16">
                  <c:v>0</c:v>
                </c:pt>
                <c:pt idx="17">
                  <c:v>2</c:v>
                </c:pt>
                <c:pt idx="18">
                  <c:v>1</c:v>
                </c:pt>
                <c:pt idx="19">
                  <c:v>3</c:v>
                </c:pt>
              </c:numCache>
            </c:numRef>
          </c:val>
          <c:extLst>
            <c:ext xmlns:c16="http://schemas.microsoft.com/office/drawing/2014/chart" uri="{C3380CC4-5D6E-409C-BE32-E72D297353CC}">
              <c16:uniqueId val="{00000001-7792-4688-AC42-A89D16C5AFDA}"/>
            </c:ext>
          </c:extLst>
        </c:ser>
        <c:ser>
          <c:idx val="3"/>
          <c:order val="3"/>
          <c:tx>
            <c:strRef>
              <c:f>'Media Analysis3_CPD_Matrix (16)'!$D$1</c:f>
              <c:strCache>
                <c:ptCount val="1"/>
                <c:pt idx="0">
                  <c:v>In progress</c:v>
                </c:pt>
              </c:strCache>
            </c:strRef>
          </c:tx>
          <c:spPr>
            <a:solidFill>
              <a:schemeClr val="accent4"/>
            </a:solidFill>
            <a:ln>
              <a:noFill/>
            </a:ln>
            <a:effectLst/>
          </c:spPr>
          <c:invertIfNegative val="0"/>
          <c:cat>
            <c:numRef>
              <c:f>'Media Analysis3_CPD_Matrix (16)'!$A$2:$A$21</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'Media Analysis3_CPD_Matrix (16)'!$D$2:$D$21</c:f>
              <c:numCache>
                <c:formatCode>General</c:formatCode>
                <c:ptCount val="20"/>
                <c:pt idx="0">
                  <c:v>0</c:v>
                </c:pt>
                <c:pt idx="1">
                  <c:v>0</c:v>
                </c:pt>
                <c:pt idx="2">
                  <c:v>0</c:v>
                </c:pt>
                <c:pt idx="3">
                  <c:v>0</c:v>
                </c:pt>
                <c:pt idx="4">
                  <c:v>0</c:v>
                </c:pt>
                <c:pt idx="5">
                  <c:v>1</c:v>
                </c:pt>
                <c:pt idx="6">
                  <c:v>0</c:v>
                </c:pt>
                <c:pt idx="7">
                  <c:v>0</c:v>
                </c:pt>
                <c:pt idx="8">
                  <c:v>0</c:v>
                </c:pt>
                <c:pt idx="9">
                  <c:v>2</c:v>
                </c:pt>
                <c:pt idx="10">
                  <c:v>3</c:v>
                </c:pt>
                <c:pt idx="11">
                  <c:v>10</c:v>
                </c:pt>
                <c:pt idx="12">
                  <c:v>8</c:v>
                </c:pt>
                <c:pt idx="13">
                  <c:v>11</c:v>
                </c:pt>
                <c:pt idx="14">
                  <c:v>2</c:v>
                </c:pt>
                <c:pt idx="15">
                  <c:v>0</c:v>
                </c:pt>
                <c:pt idx="16">
                  <c:v>1</c:v>
                </c:pt>
                <c:pt idx="17">
                  <c:v>2</c:v>
                </c:pt>
                <c:pt idx="18">
                  <c:v>1</c:v>
                </c:pt>
                <c:pt idx="19">
                  <c:v>2</c:v>
                </c:pt>
              </c:numCache>
            </c:numRef>
          </c:val>
          <c:extLst>
            <c:ext xmlns:c16="http://schemas.microsoft.com/office/drawing/2014/chart" uri="{C3380CC4-5D6E-409C-BE32-E72D297353CC}">
              <c16:uniqueId val="{00000002-7792-4688-AC42-A89D16C5AFDA}"/>
            </c:ext>
          </c:extLst>
        </c:ser>
        <c:ser>
          <c:idx val="4"/>
          <c:order val="4"/>
          <c:tx>
            <c:strRef>
              <c:f>'Media Analysis3_CPD_Matrix (16)'!$E$1</c:f>
              <c:strCache>
                <c:ptCount val="1"/>
                <c:pt idx="0">
                  <c:v>Completed or fully implemented</c:v>
                </c:pt>
              </c:strCache>
            </c:strRef>
          </c:tx>
          <c:spPr>
            <a:solidFill>
              <a:schemeClr val="accent5"/>
            </a:solidFill>
            <a:ln>
              <a:noFill/>
            </a:ln>
            <a:effectLst/>
          </c:spPr>
          <c:invertIfNegative val="0"/>
          <c:cat>
            <c:numRef>
              <c:f>'Media Analysis3_CPD_Matrix (16)'!$A$2:$A$21</c:f>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'Media Analysis3_CPD_Matrix (16)'!$E$2:$E$21</c:f>
              <c:numCache>
                <c:formatCode>General</c:formatCode>
                <c:ptCount val="20"/>
                <c:pt idx="0">
                  <c:v>0</c:v>
                </c:pt>
                <c:pt idx="1">
                  <c:v>0</c:v>
                </c:pt>
                <c:pt idx="2">
                  <c:v>0</c:v>
                </c:pt>
                <c:pt idx="3">
                  <c:v>0</c:v>
                </c:pt>
                <c:pt idx="4">
                  <c:v>0</c:v>
                </c:pt>
                <c:pt idx="5">
                  <c:v>1</c:v>
                </c:pt>
                <c:pt idx="6">
                  <c:v>1</c:v>
                </c:pt>
                <c:pt idx="7">
                  <c:v>0</c:v>
                </c:pt>
                <c:pt idx="8">
                  <c:v>0</c:v>
                </c:pt>
                <c:pt idx="9">
                  <c:v>2</c:v>
                </c:pt>
                <c:pt idx="10">
                  <c:v>0</c:v>
                </c:pt>
                <c:pt idx="11">
                  <c:v>1</c:v>
                </c:pt>
                <c:pt idx="12">
                  <c:v>4</c:v>
                </c:pt>
                <c:pt idx="13">
                  <c:v>2</c:v>
                </c:pt>
                <c:pt idx="14">
                  <c:v>2</c:v>
                </c:pt>
                <c:pt idx="15">
                  <c:v>0</c:v>
                </c:pt>
                <c:pt idx="16">
                  <c:v>0</c:v>
                </c:pt>
                <c:pt idx="17">
                  <c:v>0</c:v>
                </c:pt>
                <c:pt idx="18">
                  <c:v>0</c:v>
                </c:pt>
                <c:pt idx="19">
                  <c:v>2</c:v>
                </c:pt>
              </c:numCache>
            </c:numRef>
          </c:val>
          <c:extLst>
            <c:ext xmlns:c16="http://schemas.microsoft.com/office/drawing/2014/chart" uri="{C3380CC4-5D6E-409C-BE32-E72D297353CC}">
              <c16:uniqueId val="{00000003-7792-4688-AC42-A89D16C5AFDA}"/>
            </c:ext>
          </c:extLst>
        </c:ser>
        <c:dLbls>
          <c:showLegendKey val="0"/>
          <c:showVal val="0"/>
          <c:showCatName val="0"/>
          <c:showSerName val="0"/>
          <c:showPercent val="0"/>
          <c:showBubbleSize val="0"/>
        </c:dLbls>
        <c:gapWidth val="150"/>
        <c:overlap val="100"/>
        <c:axId val="527321648"/>
        <c:axId val="527314104"/>
        <c:extLst>
          <c:ext xmlns:c15="http://schemas.microsoft.com/office/drawing/2012/chart" uri="{02D57815-91ED-43cb-92C2-25804820EDAC}">
            <c15:filteredBarSeries>
              <c15:ser>
                <c:idx val="0"/>
                <c:order val="0"/>
                <c:tx>
                  <c:strRef>
                    <c:extLst>
                      <c:ext uri="{02D57815-91ED-43cb-92C2-25804820EDAC}">
                        <c15:formulaRef>
                          <c15:sqref>'Media Analysis3_CPD_Matrix (16)'!$A$1</c15:sqref>
                        </c15:formulaRef>
                      </c:ext>
                    </c:extLst>
                    <c:strCache>
                      <c:ptCount val="1"/>
                      <c:pt idx="0">
                        <c:v>Year</c:v>
                      </c:pt>
                    </c:strCache>
                  </c:strRef>
                </c:tx>
                <c:spPr>
                  <a:solidFill>
                    <a:schemeClr val="accent1"/>
                  </a:solidFill>
                  <a:ln>
                    <a:noFill/>
                  </a:ln>
                  <a:effectLst/>
                </c:spPr>
                <c:invertIfNegative val="0"/>
                <c:cat>
                  <c:numRef>
                    <c:extLst>
                      <c:ext uri="{02D57815-91ED-43cb-92C2-25804820EDAC}">
                        <c15:formulaRef>
                          <c15:sqref>'Media Analysis3_CPD_Matrix (16)'!$A$2:$A$21</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extLst>
                      <c:ext uri="{02D57815-91ED-43cb-92C2-25804820EDAC}">
                        <c15:formulaRef>
                          <c15:sqref>'Media Analysis3_CPD_Matrix (16)'!$A$2:$A$21</c15:sqref>
                        </c15:formulaRef>
                      </c:ext>
                    </c:extLst>
                    <c:numCache>
                      <c:formatCode>General</c:formatCode>
                      <c:ptCount val="20"/>
                      <c:pt idx="0">
                        <c:v>1995</c:v>
                      </c:pt>
                      <c:pt idx="1">
                        <c:v>1996</c:v>
                      </c:pt>
                      <c:pt idx="2">
                        <c:v>1997</c:v>
                      </c:pt>
                      <c:pt idx="3">
                        <c:v>1998</c:v>
                      </c:pt>
                      <c:pt idx="4">
                        <c:v>1999</c:v>
                      </c:pt>
                      <c:pt idx="5">
                        <c:v>2000</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val>
                <c:extLst>
                  <c:ext xmlns:c16="http://schemas.microsoft.com/office/drawing/2014/chart" uri="{C3380CC4-5D6E-409C-BE32-E72D297353CC}">
                    <c16:uniqueId val="{00000004-7792-4688-AC42-A89D16C5AFDA}"/>
                  </c:ext>
                </c:extLst>
              </c15:ser>
            </c15:filteredBarSeries>
          </c:ext>
        </c:extLst>
      </c:barChart>
      <c:catAx>
        <c:axId val="527321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314104"/>
        <c:crosses val="autoZero"/>
        <c:auto val="1"/>
        <c:lblAlgn val="ctr"/>
        <c:lblOffset val="100"/>
        <c:noMultiLvlLbl val="0"/>
      </c:catAx>
      <c:valAx>
        <c:axId val="527314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7321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20</Pages>
  <Words>4971</Words>
  <Characters>28340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Belfer</dc:creator>
  <cp:keywords/>
  <dc:description/>
  <cp:lastModifiedBy>Ella Belfer</cp:lastModifiedBy>
  <cp:revision>9</cp:revision>
  <dcterms:created xsi:type="dcterms:W3CDTF">2016-10-22T16:08:00Z</dcterms:created>
  <dcterms:modified xsi:type="dcterms:W3CDTF">2016-12-14T15:03:00Z</dcterms:modified>
</cp:coreProperties>
</file>