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05F67" w14:textId="738A738E" w:rsidR="00F975F0" w:rsidRPr="00F975F0" w:rsidRDefault="00F975F0" w:rsidP="00F975F0">
      <w:pPr>
        <w:jc w:val="center"/>
        <w:rPr>
          <w:rFonts w:ascii="Times" w:eastAsia="Times New Roman" w:hAnsi="Times" w:cs="Times New Roman"/>
          <w:sz w:val="20"/>
          <w:szCs w:val="20"/>
        </w:rPr>
      </w:pPr>
      <w:r w:rsidRPr="00F975F0">
        <w:rPr>
          <w:rFonts w:ascii="Times" w:eastAsia="Times New Roman" w:hAnsi="Times" w:cs="Times New Roman"/>
          <w:color w:val="000000"/>
          <w:sz w:val="20"/>
          <w:szCs w:val="20"/>
        </w:rPr>
        <w:t>FAILURE TO PROTECT BEACHES UNDER SLOWLY RISING SEA LEVEL</w:t>
      </w:r>
    </w:p>
    <w:p w14:paraId="34E6887A" w14:textId="4973852A" w:rsidR="00C93842" w:rsidRPr="00F975F0" w:rsidRDefault="00F975F0" w:rsidP="00F975F0">
      <w:pPr>
        <w:spacing w:before="120"/>
        <w:jc w:val="center"/>
        <w:outlineLvl w:val="0"/>
        <w:rPr>
          <w:rFonts w:ascii="Times" w:hAnsi="Times" w:cs="Times New Roman"/>
          <w:b/>
          <w:i/>
          <w:iCs/>
          <w:sz w:val="20"/>
          <w:szCs w:val="20"/>
        </w:rPr>
      </w:pPr>
      <w:r>
        <w:rPr>
          <w:rFonts w:ascii="Times" w:hAnsi="Times" w:cs="Times New Roman"/>
          <w:b/>
          <w:i/>
          <w:iCs/>
          <w:sz w:val="20"/>
          <w:szCs w:val="20"/>
        </w:rPr>
        <w:t>Supplementary</w:t>
      </w:r>
      <w:r w:rsidR="00C93842" w:rsidRPr="00F975F0">
        <w:rPr>
          <w:rFonts w:ascii="Times" w:hAnsi="Times" w:cs="Times New Roman"/>
          <w:b/>
          <w:i/>
          <w:iCs/>
          <w:sz w:val="20"/>
          <w:szCs w:val="20"/>
        </w:rPr>
        <w:t xml:space="preserve"> Information</w:t>
      </w:r>
    </w:p>
    <w:p w14:paraId="06240C63" w14:textId="577EB901" w:rsidR="004751BD" w:rsidRPr="00F975F0" w:rsidRDefault="004751BD" w:rsidP="004751BD">
      <w:pPr>
        <w:pStyle w:val="Normal1"/>
        <w:spacing w:before="120"/>
        <w:outlineLvl w:val="0"/>
        <w:rPr>
          <w:rFonts w:ascii="Times" w:hAnsi="Times" w:cs="Times New Roman"/>
          <w:b/>
          <w:bCs/>
          <w:color w:val="000000" w:themeColor="text1"/>
          <w:sz w:val="20"/>
          <w:szCs w:val="20"/>
        </w:rPr>
      </w:pPr>
      <w:r w:rsidRPr="00F975F0">
        <w:rPr>
          <w:rFonts w:ascii="Times" w:hAnsi="Times" w:cs="Times New Roman"/>
          <w:b/>
          <w:bCs/>
          <w:color w:val="000000" w:themeColor="text1"/>
          <w:sz w:val="20"/>
          <w:szCs w:val="20"/>
        </w:rPr>
        <w:t>Coastal Zone Management in the United States</w:t>
      </w:r>
    </w:p>
    <w:p w14:paraId="2FFBE72A" w14:textId="77777777" w:rsidR="004751BD" w:rsidRPr="00F975F0" w:rsidRDefault="004751BD" w:rsidP="004751BD">
      <w:pPr>
        <w:pStyle w:val="Normal1"/>
        <w:spacing w:before="120"/>
        <w:outlineLvl w:val="0"/>
        <w:rPr>
          <w:rFonts w:ascii="Times" w:eastAsia="Times New Roman" w:hAnsi="Times" w:cs="Times New Roman"/>
          <w:color w:val="000000" w:themeColor="text1"/>
          <w:sz w:val="20"/>
          <w:szCs w:val="20"/>
        </w:rPr>
      </w:pPr>
      <w:r w:rsidRPr="00F975F0">
        <w:rPr>
          <w:rFonts w:ascii="Times" w:hAnsi="Times" w:cs="Times New Roman"/>
          <w:color w:val="000000" w:themeColor="text1"/>
          <w:sz w:val="20"/>
          <w:szCs w:val="20"/>
        </w:rPr>
        <w:t>Recognizing rapid growth and the need for better coastal zone management (CZM), the United States Congress ratified the Coastal Zone Management Act (CZMA) in 1972 (Chasis, 1985). The purpose of the CZMA is to “preserve, protect, develop, and where possible, to restore or enhance the resources of the nation’s coastal zone” (</w:t>
      </w:r>
      <w:r w:rsidRPr="00F975F0">
        <w:rPr>
          <w:rFonts w:ascii="Times" w:eastAsia="Times New Roman" w:hAnsi="Times" w:cs="Times New Roman"/>
          <w:color w:val="000000" w:themeColor="text1"/>
          <w:sz w:val="20"/>
          <w:szCs w:val="20"/>
        </w:rPr>
        <w:t>16 USC §§ 1451-1466; Appendix).</w:t>
      </w:r>
      <w:r w:rsidRPr="00F975F0">
        <w:rPr>
          <w:rFonts w:ascii="Times" w:hAnsi="Times" w:cs="Times New Roman"/>
          <w:color w:val="000000" w:themeColor="text1"/>
          <w:sz w:val="20"/>
          <w:szCs w:val="20"/>
        </w:rPr>
        <w:t xml:space="preserve"> Outlined in the CZMA is the National Coastal Zone Management Program (NCZMP), which establishes partnerships with coastal states and territories using annual allocations and grants tied to policy stipulations and regular reviews.</w:t>
      </w:r>
      <w:r w:rsidRPr="00F975F0">
        <w:rPr>
          <w:rFonts w:ascii="Times" w:eastAsia="Times New Roman" w:hAnsi="Times" w:cs="Times New Roman"/>
          <w:color w:val="000000" w:themeColor="text1"/>
          <w:sz w:val="20"/>
          <w:szCs w:val="20"/>
        </w:rPr>
        <w:t xml:space="preserve"> </w:t>
      </w:r>
    </w:p>
    <w:p w14:paraId="6DE00EBF" w14:textId="77777777" w:rsidR="004751BD" w:rsidRPr="00F975F0" w:rsidRDefault="004751BD" w:rsidP="004751BD">
      <w:pPr>
        <w:pStyle w:val="Normal1"/>
        <w:spacing w:before="120"/>
        <w:outlineLvl w:val="0"/>
        <w:rPr>
          <w:rFonts w:ascii="Times" w:eastAsia="Times New Roman" w:hAnsi="Times" w:cs="Times New Roman"/>
          <w:color w:val="000000" w:themeColor="text1"/>
          <w:sz w:val="20"/>
          <w:szCs w:val="20"/>
        </w:rPr>
      </w:pPr>
    </w:p>
    <w:p w14:paraId="47A2A315" w14:textId="4266F932" w:rsidR="004751BD" w:rsidRPr="00F975F0" w:rsidRDefault="00F975F0" w:rsidP="004751BD">
      <w:pPr>
        <w:spacing w:before="120"/>
        <w:rPr>
          <w:rFonts w:ascii="Times" w:hAnsi="Times"/>
          <w:b/>
          <w:bCs/>
          <w:color w:val="000000" w:themeColor="text1"/>
          <w:sz w:val="20"/>
          <w:szCs w:val="20"/>
        </w:rPr>
      </w:pPr>
      <w:r w:rsidRPr="00F975F0">
        <w:rPr>
          <w:rFonts w:ascii="Times" w:hAnsi="Times" w:cs="Times New Roman"/>
          <w:b/>
          <w:bCs/>
          <w:color w:val="000000" w:themeColor="text1"/>
          <w:sz w:val="20"/>
          <w:szCs w:val="20"/>
        </w:rPr>
        <w:t xml:space="preserve">Coastal Zone Management </w:t>
      </w:r>
      <w:r w:rsidR="004751BD" w:rsidRPr="00F975F0">
        <w:rPr>
          <w:rFonts w:ascii="Times" w:hAnsi="Times"/>
          <w:b/>
          <w:bCs/>
          <w:color w:val="000000" w:themeColor="text1"/>
          <w:sz w:val="20"/>
          <w:szCs w:val="20"/>
        </w:rPr>
        <w:t xml:space="preserve">in </w:t>
      </w:r>
      <w:r w:rsidR="004751BD" w:rsidRPr="00F975F0">
        <w:rPr>
          <w:rFonts w:ascii="Times" w:hAnsi="Times" w:cs="Times New Roman"/>
          <w:b/>
          <w:bCs/>
          <w:color w:val="000000" w:themeColor="text1"/>
          <w:sz w:val="20"/>
          <w:szCs w:val="20"/>
        </w:rPr>
        <w:t>Hawaiʻi</w:t>
      </w:r>
    </w:p>
    <w:p w14:paraId="45573379" w14:textId="77777777" w:rsidR="004751BD" w:rsidRPr="00F975F0" w:rsidRDefault="004751BD" w:rsidP="004751BD">
      <w:pPr>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Codified as Hawaiʻi Revised Statutes Chapter 205A (</w:t>
      </w:r>
      <w:r w:rsidRPr="00F975F0">
        <w:rPr>
          <w:rFonts w:ascii="Times" w:eastAsia="Times New Roman" w:hAnsi="Times" w:cs="Times New Roman"/>
          <w:color w:val="000000" w:themeColor="text1"/>
          <w:sz w:val="20"/>
          <w:szCs w:val="20"/>
        </w:rPr>
        <w:t>HRS §§ 205A)</w:t>
      </w:r>
      <w:r w:rsidRPr="00F975F0">
        <w:rPr>
          <w:rFonts w:ascii="Times" w:hAnsi="Times" w:cs="Times New Roman"/>
          <w:color w:val="000000" w:themeColor="text1"/>
          <w:sz w:val="20"/>
          <w:szCs w:val="20"/>
        </w:rPr>
        <w:t>, the Hawai</w:t>
      </w:r>
      <w:r w:rsidRPr="00F975F0">
        <w:rPr>
          <w:rFonts w:ascii="Times" w:hAnsi="Times" w:cs="Times New Roman"/>
          <w:color w:val="000000" w:themeColor="text1"/>
          <w:sz w:val="20"/>
          <w:szCs w:val="20"/>
          <w:lang w:val="haw-US"/>
        </w:rPr>
        <w:t>ʻi</w:t>
      </w:r>
      <w:r w:rsidRPr="00F975F0">
        <w:rPr>
          <w:rFonts w:ascii="Times" w:hAnsi="Times" w:cs="Times New Roman"/>
          <w:color w:val="000000" w:themeColor="text1"/>
          <w:sz w:val="20"/>
          <w:szCs w:val="20"/>
        </w:rPr>
        <w:t xml:space="preserve"> Coastal Zone Management Program (HCZMP) is a typical federal-local partnership under the NCZMP. Established in 1977 to “provide for the effective management, beneficial use, protection, and development of the coastal zone” (</w:t>
      </w:r>
      <w:r w:rsidRPr="00F975F0">
        <w:rPr>
          <w:rFonts w:ascii="Times" w:eastAsia="Times New Roman" w:hAnsi="Times" w:cs="Times New Roman"/>
          <w:color w:val="000000" w:themeColor="text1"/>
          <w:sz w:val="20"/>
          <w:szCs w:val="20"/>
        </w:rPr>
        <w:t>HRS §§ 205A-1 to 49),</w:t>
      </w:r>
      <w:r w:rsidRPr="00F975F0">
        <w:rPr>
          <w:rFonts w:ascii="Times" w:hAnsi="Times" w:cs="Times New Roman"/>
          <w:color w:val="000000" w:themeColor="text1"/>
          <w:sz w:val="20"/>
          <w:szCs w:val="20"/>
        </w:rPr>
        <w:t xml:space="preserve"> the HCZMP is a networked system, regulating the coastal zone through participating state and local agencies. </w:t>
      </w:r>
    </w:p>
    <w:p w14:paraId="3D5E7070" w14:textId="77777777" w:rsidR="004751BD" w:rsidRPr="00F975F0" w:rsidRDefault="004751BD" w:rsidP="004751BD">
      <w:pPr>
        <w:spacing w:before="120"/>
        <w:rPr>
          <w:rFonts w:ascii="Times" w:hAnsi="Times"/>
          <w:color w:val="000000" w:themeColor="text1"/>
          <w:sz w:val="20"/>
          <w:szCs w:val="20"/>
        </w:rPr>
      </w:pPr>
      <w:r w:rsidRPr="00F975F0">
        <w:rPr>
          <w:rFonts w:ascii="Times" w:eastAsia="Times New Roman" w:hAnsi="Times" w:cs="Times New Roman"/>
          <w:color w:val="000000" w:themeColor="text1"/>
          <w:sz w:val="20"/>
          <w:szCs w:val="20"/>
          <w:shd w:val="clear" w:color="auto" w:fill="FFFFFF"/>
        </w:rPr>
        <w:t xml:space="preserve">The HCZMP receives annual funding, and is regularly reviewed for compliance, from the </w:t>
      </w:r>
      <w:r w:rsidRPr="00F975F0">
        <w:rPr>
          <w:rFonts w:ascii="Times" w:hAnsi="Times"/>
          <w:color w:val="000000" w:themeColor="text1"/>
          <w:sz w:val="20"/>
          <w:szCs w:val="20"/>
        </w:rPr>
        <w:t xml:space="preserve">National Oceanic and Atmospheric Administration (NOAA) Office for Coastal Management (OCM). Fiscal year 2016, for instance, the Hawaiʻi allocation for coastal zone management act sections 306/306A and 309 from the NOAA-OCM totaled $2,269,049 (Federal Program Budgets). This funding is, in turn, distributed among local network agencies in support of their coastal management activities aligned with federal and state program goals. </w:t>
      </w:r>
    </w:p>
    <w:p w14:paraId="6B0C5D77" w14:textId="04D0E1A9" w:rsidR="004751BD" w:rsidRPr="00F975F0" w:rsidRDefault="004751BD" w:rsidP="004751BD">
      <w:pPr>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 xml:space="preserve">Coastal development is regulated through </w:t>
      </w:r>
      <w:r w:rsidR="00C9419B">
        <w:rPr>
          <w:rFonts w:ascii="Times" w:hAnsi="Times" w:cs="Times New Roman"/>
          <w:color w:val="000000" w:themeColor="text1"/>
          <w:sz w:val="20"/>
          <w:szCs w:val="20"/>
        </w:rPr>
        <w:t>three</w:t>
      </w:r>
      <w:r w:rsidR="00C9419B" w:rsidRPr="00F975F0">
        <w:rPr>
          <w:rFonts w:ascii="Times" w:hAnsi="Times" w:cs="Times New Roman"/>
          <w:color w:val="000000" w:themeColor="text1"/>
          <w:sz w:val="20"/>
          <w:szCs w:val="20"/>
        </w:rPr>
        <w:t xml:space="preserve"> </w:t>
      </w:r>
      <w:r w:rsidRPr="00F975F0">
        <w:rPr>
          <w:rFonts w:ascii="Times" w:hAnsi="Times" w:cs="Times New Roman"/>
          <w:color w:val="000000" w:themeColor="text1"/>
          <w:sz w:val="20"/>
          <w:szCs w:val="20"/>
        </w:rPr>
        <w:t>policies:</w:t>
      </w:r>
      <w:r w:rsidR="00C9419B">
        <w:rPr>
          <w:rFonts w:ascii="Times" w:hAnsi="Times" w:cs="Times New Roman"/>
          <w:color w:val="000000" w:themeColor="text1"/>
          <w:sz w:val="20"/>
          <w:szCs w:val="20"/>
        </w:rPr>
        <w:t xml:space="preserve"> land use zoning ordinances,</w:t>
      </w:r>
      <w:r w:rsidRPr="00F975F0">
        <w:rPr>
          <w:rFonts w:ascii="Times" w:hAnsi="Times" w:cs="Times New Roman"/>
          <w:color w:val="000000" w:themeColor="text1"/>
          <w:sz w:val="20"/>
          <w:szCs w:val="20"/>
        </w:rPr>
        <w:t xml:space="preserve"> Special Management Areas (SMA) and Shoreline Setbacks (Braxton, 2003). Pursuant to HRS </w:t>
      </w:r>
      <w:r w:rsidRPr="00F975F0">
        <w:rPr>
          <w:rFonts w:ascii="Times" w:eastAsia="Times New Roman" w:hAnsi="Times" w:cs="Times New Roman"/>
          <w:color w:val="000000" w:themeColor="text1"/>
          <w:sz w:val="20"/>
          <w:szCs w:val="20"/>
        </w:rPr>
        <w:t xml:space="preserve">§§ 205A-5, </w:t>
      </w:r>
      <w:r w:rsidRPr="00F975F0">
        <w:rPr>
          <w:rFonts w:ascii="Times" w:hAnsi="Times" w:cs="Times New Roman"/>
          <w:color w:val="000000" w:themeColor="text1"/>
          <w:sz w:val="20"/>
          <w:szCs w:val="20"/>
        </w:rPr>
        <w:t xml:space="preserve">the SMA designates areas along the shoreline that require special controls on development. The setback establishes a development prohibition zone defined by a minimum distance from a designated baseline (defined in Hawaiʻi as the highest annual reach of the waves; </w:t>
      </w:r>
      <w:r w:rsidRPr="00F975F0">
        <w:rPr>
          <w:rFonts w:ascii="Times" w:eastAsia="Times New Roman" w:hAnsi="Times" w:cs="Times New Roman"/>
          <w:color w:val="000000" w:themeColor="text1"/>
          <w:sz w:val="20"/>
          <w:szCs w:val="20"/>
        </w:rPr>
        <w:t>HRS §§ 205A-1 to 49</w:t>
      </w:r>
      <w:r w:rsidRPr="00F975F0">
        <w:rPr>
          <w:rFonts w:ascii="Times" w:hAnsi="Times" w:cs="Times New Roman"/>
          <w:color w:val="000000" w:themeColor="text1"/>
          <w:sz w:val="20"/>
          <w:szCs w:val="20"/>
        </w:rPr>
        <w:t>). </w:t>
      </w:r>
    </w:p>
    <w:p w14:paraId="546A83D5" w14:textId="7950BB92" w:rsidR="004751BD" w:rsidRPr="00F975F0" w:rsidRDefault="004751BD" w:rsidP="004751BD">
      <w:pPr>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 xml:space="preserve">On the capital island of Oʻahu, the City and County of Honolulu (C&amp;C) has adopted SMA policy, codified as Revised Ordinances of Honolulu (ROH) Chapter 25, </w:t>
      </w:r>
      <w:r w:rsidR="00C9419B">
        <w:rPr>
          <w:rFonts w:ascii="Times" w:hAnsi="Times" w:cs="Times New Roman"/>
          <w:color w:val="000000" w:themeColor="text1"/>
          <w:sz w:val="20"/>
          <w:szCs w:val="20"/>
        </w:rPr>
        <w:t xml:space="preserve">which </w:t>
      </w:r>
      <w:r w:rsidRPr="00F975F0">
        <w:rPr>
          <w:rFonts w:ascii="Times" w:hAnsi="Times" w:cs="Times New Roman"/>
          <w:color w:val="000000" w:themeColor="text1"/>
          <w:sz w:val="20"/>
          <w:szCs w:val="20"/>
        </w:rPr>
        <w:t>states that it is the “policy to preserve, protect, and where possible, to restore the natural resources of the coastal zone of Hawaiʻi” (</w:t>
      </w:r>
      <w:r w:rsidRPr="00F975F0">
        <w:rPr>
          <w:rFonts w:ascii="Times" w:eastAsia="Times New Roman" w:hAnsi="Times" w:cs="Times New Roman"/>
          <w:color w:val="000000" w:themeColor="text1"/>
          <w:sz w:val="20"/>
          <w:szCs w:val="20"/>
        </w:rPr>
        <w:t>ROH § 25-1.2).</w:t>
      </w:r>
      <w:r w:rsidRPr="00F975F0">
        <w:rPr>
          <w:rFonts w:ascii="Times" w:hAnsi="Times" w:cs="Times New Roman"/>
          <w:color w:val="000000" w:themeColor="text1"/>
          <w:sz w:val="20"/>
          <w:szCs w:val="20"/>
        </w:rPr>
        <w:t xml:space="preserve"> </w:t>
      </w:r>
    </w:p>
    <w:p w14:paraId="155067E9" w14:textId="77777777" w:rsidR="004751BD" w:rsidRPr="00F975F0" w:rsidRDefault="004751BD" w:rsidP="004751BD">
      <w:pPr>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 xml:space="preserve">The C&amp;C setback policy, codified as ROH Chapter 23, states “It is the primary policy of the city to protect and preserve the natural shoreline, </w:t>
      </w:r>
      <w:r w:rsidRPr="00F975F0">
        <w:rPr>
          <w:rFonts w:ascii="Times" w:hAnsi="Times" w:cs="Times New Roman"/>
          <w:color w:val="000000" w:themeColor="text1"/>
          <w:sz w:val="20"/>
          <w:szCs w:val="20"/>
          <w:u w:val="single"/>
        </w:rPr>
        <w:t>especially sandy beaches</w:t>
      </w:r>
      <w:r w:rsidRPr="00F975F0">
        <w:rPr>
          <w:rFonts w:ascii="Times" w:hAnsi="Times" w:cs="Times New Roman"/>
          <w:color w:val="000000" w:themeColor="text1"/>
          <w:sz w:val="20"/>
          <w:szCs w:val="20"/>
        </w:rPr>
        <w:t>; to protect and preserve public pedestrian access laterally along the shoreline and to the sea; and to protect and preserve open space along the shoreline. It is also a secondary policy of the city to reduce hazards to property from coastal floods.” (</w:t>
      </w:r>
      <w:r w:rsidRPr="00F975F0">
        <w:rPr>
          <w:rFonts w:ascii="Times" w:eastAsia="Times New Roman" w:hAnsi="Times" w:cs="Times New Roman"/>
          <w:color w:val="000000" w:themeColor="text1"/>
          <w:sz w:val="20"/>
          <w:szCs w:val="20"/>
        </w:rPr>
        <w:t>ROH § 23-1.2</w:t>
      </w:r>
      <w:r w:rsidRPr="00F975F0">
        <w:rPr>
          <w:rFonts w:ascii="Times" w:hAnsi="Times" w:cs="Times New Roman"/>
          <w:color w:val="000000" w:themeColor="text1"/>
          <w:sz w:val="20"/>
          <w:szCs w:val="20"/>
        </w:rPr>
        <w:t xml:space="preserve">). </w:t>
      </w:r>
    </w:p>
    <w:p w14:paraId="48AF0DD7" w14:textId="77777777" w:rsidR="004751BD" w:rsidRPr="00F975F0" w:rsidRDefault="004751BD" w:rsidP="004751BD">
      <w:pPr>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 xml:space="preserve">The C&amp;C has adopted shoreline setback distances of 20-60 feet depending on parcel lot size, regardless of the stability of the shoreline. The setback line is generally established 40 feet inland from the designated shoreline. No new development may take place within the shoreline setback unless a “variance” is granted (Cox </w:t>
      </w:r>
      <w:r w:rsidRPr="00F975F0">
        <w:rPr>
          <w:rFonts w:ascii="Times" w:hAnsi="Times" w:cs="Times New Roman"/>
          <w:i/>
          <w:color w:val="000000" w:themeColor="text1"/>
          <w:sz w:val="20"/>
          <w:szCs w:val="20"/>
        </w:rPr>
        <w:t>et al</w:t>
      </w:r>
      <w:r w:rsidRPr="00F975F0">
        <w:rPr>
          <w:rFonts w:ascii="Times" w:hAnsi="Times" w:cs="Times New Roman"/>
          <w:color w:val="000000" w:themeColor="text1"/>
          <w:sz w:val="20"/>
          <w:szCs w:val="20"/>
        </w:rPr>
        <w:t xml:space="preserve">., 1975). </w:t>
      </w:r>
    </w:p>
    <w:p w14:paraId="7EB2D3C8" w14:textId="77777777" w:rsidR="004751BD" w:rsidRPr="00F975F0" w:rsidRDefault="004751BD" w:rsidP="004751BD">
      <w:pPr>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A number of exemptions are defined that effectively reduce the scope of the SMA. For instance, “development” in the SMA does not include the following: single-family residences less than 7500 square feet, repair and maintenance of roads and highways, interior alterations to existing structures, structural improvements to existing single family residences including additional dwelling units, and others (Special Management Area, Revised Ordinances of Honolulu). These exemptions have led to continued expansion of beachfront residential development, even where shorelines are chronically eroding.</w:t>
      </w:r>
    </w:p>
    <w:p w14:paraId="2D73A854" w14:textId="77777777" w:rsidR="004751BD" w:rsidRDefault="004751BD" w:rsidP="004751BD">
      <w:pPr>
        <w:spacing w:before="120"/>
        <w:rPr>
          <w:rFonts w:ascii="Times" w:eastAsia="Times New Roman" w:hAnsi="Times" w:cs="Times New Roman"/>
          <w:color w:val="000000" w:themeColor="text1"/>
          <w:sz w:val="20"/>
          <w:szCs w:val="20"/>
        </w:rPr>
      </w:pPr>
      <w:r w:rsidRPr="00F975F0">
        <w:rPr>
          <w:rFonts w:ascii="Times" w:hAnsi="Times" w:cs="Times New Roman"/>
          <w:color w:val="000000" w:themeColor="text1"/>
          <w:sz w:val="20"/>
          <w:szCs w:val="20"/>
        </w:rPr>
        <w:t>C&amp;C policy allows for a variance to shoreline setback policy where a hardship exists (</w:t>
      </w:r>
      <w:r w:rsidRPr="00F975F0">
        <w:rPr>
          <w:rFonts w:ascii="Times" w:eastAsia="Times New Roman" w:hAnsi="Times" w:cs="Times New Roman"/>
          <w:color w:val="000000" w:themeColor="text1"/>
          <w:sz w:val="20"/>
          <w:szCs w:val="20"/>
        </w:rPr>
        <w:t>ROH § 23-1.8</w:t>
      </w:r>
      <w:r w:rsidRPr="00F975F0">
        <w:rPr>
          <w:rFonts w:ascii="Times" w:hAnsi="Times" w:cs="Times New Roman"/>
          <w:color w:val="000000" w:themeColor="text1"/>
          <w:sz w:val="20"/>
          <w:szCs w:val="20"/>
        </w:rPr>
        <w:t>)</w:t>
      </w:r>
      <w:r w:rsidRPr="00F975F0">
        <w:rPr>
          <w:rFonts w:ascii="Times" w:eastAsia="Times New Roman" w:hAnsi="Times" w:cs="Times New Roman"/>
          <w:color w:val="000000" w:themeColor="text1"/>
          <w:sz w:val="20"/>
          <w:szCs w:val="20"/>
        </w:rPr>
        <w:t xml:space="preserve">. The hardship standard includes “Private facilities or improvements that may artificially fix the shoreline, but only if hardship is likely to be caused by shoreline erosion and conditions are imposed prohibiting any such structure seaward of the shoreline unless it is clearly in the public interest.” The policy goes on to state that hardship may only be found if “…applicant will be deprived of reasonable use of land if required to fully comply with shoreline setback rules.” </w:t>
      </w:r>
      <w:r w:rsidRPr="00F975F0">
        <w:rPr>
          <w:rFonts w:ascii="Times" w:hAnsi="Times" w:cs="Times New Roman"/>
          <w:color w:val="000000" w:themeColor="text1"/>
          <w:sz w:val="20"/>
          <w:szCs w:val="20"/>
        </w:rPr>
        <w:t xml:space="preserve">(Shoreline Setback, Revised Ordinances of Honolulu). </w:t>
      </w:r>
      <w:r w:rsidRPr="00F975F0">
        <w:rPr>
          <w:rFonts w:ascii="Times" w:eastAsia="Times New Roman" w:hAnsi="Times" w:cs="Times New Roman"/>
          <w:color w:val="000000" w:themeColor="text1"/>
          <w:sz w:val="20"/>
          <w:szCs w:val="20"/>
        </w:rPr>
        <w:t xml:space="preserve">Historically, it is under this hardship variance that various forms of coastal hardening, seawalls and revetments, have been routinely permitted.  </w:t>
      </w:r>
    </w:p>
    <w:p w14:paraId="6DBEFF48" w14:textId="2881BD40" w:rsidR="007F4BE3" w:rsidRPr="004439BA" w:rsidRDefault="004439BA" w:rsidP="007F4BE3">
      <w:pPr>
        <w:spacing w:before="120"/>
        <w:jc w:val="both"/>
        <w:outlineLvl w:val="0"/>
        <w:rPr>
          <w:rFonts w:ascii="Times" w:eastAsia="Times New Roman" w:hAnsi="Times" w:cs="Times New Roman"/>
          <w:i/>
          <w:iCs/>
          <w:sz w:val="20"/>
          <w:szCs w:val="20"/>
        </w:rPr>
      </w:pPr>
      <w:r w:rsidRPr="004439BA">
        <w:rPr>
          <w:rFonts w:ascii="Times" w:hAnsi="Times" w:cs="Times New Roman"/>
          <w:b/>
          <w:i/>
          <w:iCs/>
          <w:sz w:val="20"/>
          <w:szCs w:val="20"/>
        </w:rPr>
        <w:lastRenderedPageBreak/>
        <w:t>Study Area</w:t>
      </w:r>
    </w:p>
    <w:p w14:paraId="3E8BC0B4" w14:textId="47427D3A" w:rsidR="004439BA" w:rsidRPr="004439BA" w:rsidRDefault="004439BA" w:rsidP="004439BA">
      <w:pPr>
        <w:spacing w:before="120"/>
        <w:rPr>
          <w:rFonts w:ascii="Times" w:hAnsi="Times" w:cs="Times New Roman"/>
          <w:color w:val="000000" w:themeColor="text1"/>
          <w:sz w:val="20"/>
          <w:szCs w:val="20"/>
        </w:rPr>
      </w:pPr>
      <w:r w:rsidRPr="004439BA">
        <w:rPr>
          <w:rFonts w:ascii="Times" w:hAnsi="Times" w:cs="Times New Roman"/>
          <w:color w:val="000000" w:themeColor="text1"/>
          <w:sz w:val="20"/>
          <w:szCs w:val="20"/>
        </w:rPr>
        <w:t>Local sea level rise</w:t>
      </w:r>
      <w:r>
        <w:rPr>
          <w:rFonts w:ascii="Times" w:hAnsi="Times" w:cs="Times New Roman"/>
          <w:color w:val="000000" w:themeColor="text1"/>
          <w:sz w:val="20"/>
          <w:szCs w:val="20"/>
        </w:rPr>
        <w:t xml:space="preserve"> in the study area</w:t>
      </w:r>
      <w:r w:rsidRPr="004439BA">
        <w:rPr>
          <w:rFonts w:ascii="Times" w:hAnsi="Times" w:cs="Times New Roman"/>
          <w:color w:val="000000" w:themeColor="text1"/>
          <w:sz w:val="20"/>
          <w:szCs w:val="20"/>
        </w:rPr>
        <w:t xml:space="preserve"> is documented by two tide stations: 1) the Honolulu tide station, established in 1905 and one of the longest continuously recording stations in the U.S., chronicles a long term mean sea level trend of 1.44 ± 0.21 millimeters per year (NOAA, Tides and Currents); 2) the Mokuoloe tide station (recording since 1957) chronicles a trend of 1.26 ± 0.52 millimeters per year which agrees with the Honolulu record at the 95 percent confidence interval. Thus, over the period of our analysis, sea level has been rising in the study area (1.2 to 1.4 millimeters per year).</w:t>
      </w:r>
    </w:p>
    <w:p w14:paraId="126C7D21" w14:textId="77777777" w:rsidR="004439BA" w:rsidRDefault="004439BA" w:rsidP="004439BA">
      <w:pPr>
        <w:spacing w:before="120"/>
        <w:rPr>
          <w:rFonts w:ascii="Times" w:hAnsi="Times" w:cs="Times New Roman"/>
          <w:color w:val="000000" w:themeColor="text1"/>
          <w:sz w:val="20"/>
          <w:szCs w:val="20"/>
        </w:rPr>
      </w:pPr>
      <w:r w:rsidRPr="004439BA">
        <w:rPr>
          <w:rFonts w:ascii="Times" w:hAnsi="Times" w:cs="Times New Roman"/>
          <w:color w:val="000000" w:themeColor="text1"/>
          <w:sz w:val="20"/>
          <w:szCs w:val="20"/>
        </w:rPr>
        <w:t xml:space="preserve">This coast is characterized by northeast trade winds, dominant 75 percent of the year with an average speed of 25 kilometers per hour (Fletcher </w:t>
      </w:r>
      <w:r w:rsidRPr="004439BA">
        <w:rPr>
          <w:rFonts w:ascii="Times" w:hAnsi="Times" w:cs="Times New Roman"/>
          <w:i/>
          <w:color w:val="000000" w:themeColor="text1"/>
          <w:sz w:val="20"/>
          <w:szCs w:val="20"/>
        </w:rPr>
        <w:t>et al</w:t>
      </w:r>
      <w:r w:rsidRPr="004439BA">
        <w:rPr>
          <w:rFonts w:ascii="Times" w:hAnsi="Times" w:cs="Times New Roman"/>
          <w:color w:val="000000" w:themeColor="text1"/>
          <w:sz w:val="20"/>
          <w:szCs w:val="20"/>
        </w:rPr>
        <w:t>., 2012). Trade wind waves with heights ranging from 0.3 to 1.3 meters, tend to have weaker energy than swells from the north or south due to their shorter wavelengths (Vitousek and Fletcher, 2008). However, when wind speeds accelerate, often for several days at a time, wave-driven erosive conditions develop along the sandy shoreline. During winter, this stretch of coastline is subjected to large refracted North Pacific swell that exceed trade wind waves in energy and cause seasonal shifts in shoreline position that usually recover by</w:t>
      </w:r>
      <w:r w:rsidRPr="004439BA">
        <w:rPr>
          <w:rFonts w:ascii="Times" w:hAnsi="Times"/>
          <w:noProof/>
          <w:color w:val="000000" w:themeColor="text1"/>
          <w:sz w:val="20"/>
          <w:szCs w:val="20"/>
        </w:rPr>
        <w:t xml:space="preserve"> </w:t>
      </w:r>
      <w:r w:rsidRPr="004439BA">
        <w:rPr>
          <w:rFonts w:ascii="Times" w:hAnsi="Times" w:cs="Times New Roman"/>
          <w:color w:val="000000" w:themeColor="text1"/>
          <w:sz w:val="20"/>
          <w:szCs w:val="20"/>
        </w:rPr>
        <w:t>the end of the season.</w:t>
      </w:r>
    </w:p>
    <w:p w14:paraId="58BBB2DB" w14:textId="77777777" w:rsidR="004439BA" w:rsidRPr="004439BA" w:rsidRDefault="004439BA" w:rsidP="004439BA">
      <w:pPr>
        <w:spacing w:before="120"/>
        <w:rPr>
          <w:rFonts w:ascii="Times" w:hAnsi="Times" w:cs="Times New Roman"/>
          <w:color w:val="000000" w:themeColor="text1"/>
          <w:sz w:val="20"/>
          <w:szCs w:val="20"/>
        </w:rPr>
      </w:pPr>
    </w:p>
    <w:p w14:paraId="4D413160" w14:textId="77777777" w:rsidR="004439BA" w:rsidRDefault="004439BA" w:rsidP="007F4BE3">
      <w:pPr>
        <w:spacing w:before="120"/>
        <w:jc w:val="both"/>
        <w:rPr>
          <w:rFonts w:ascii="Times" w:eastAsia="Times New Roman" w:hAnsi="Times" w:cs="Times New Roman"/>
          <w:sz w:val="20"/>
          <w:szCs w:val="20"/>
        </w:rPr>
      </w:pPr>
      <w:r w:rsidRPr="004439BA">
        <w:rPr>
          <w:rFonts w:ascii="Times" w:hAnsi="Times" w:cs="Times New Roman"/>
          <w:b/>
          <w:i/>
          <w:iCs/>
          <w:sz w:val="20"/>
          <w:szCs w:val="20"/>
        </w:rPr>
        <w:t>Methodology</w:t>
      </w:r>
      <w:r w:rsidRPr="004439BA">
        <w:rPr>
          <w:rFonts w:ascii="Times" w:eastAsia="Times New Roman" w:hAnsi="Times" w:cs="Times New Roman"/>
          <w:sz w:val="20"/>
          <w:szCs w:val="20"/>
        </w:rPr>
        <w:t xml:space="preserve"> </w:t>
      </w:r>
    </w:p>
    <w:p w14:paraId="53547141" w14:textId="59101327" w:rsidR="007F4BE3" w:rsidRPr="004439BA" w:rsidRDefault="007F4BE3" w:rsidP="007F4BE3">
      <w:pPr>
        <w:spacing w:before="120"/>
        <w:jc w:val="both"/>
        <w:rPr>
          <w:rFonts w:ascii="Times" w:eastAsia="Times New Roman" w:hAnsi="Times" w:cs="Times New Roman"/>
          <w:sz w:val="20"/>
          <w:szCs w:val="20"/>
        </w:rPr>
      </w:pPr>
      <w:r w:rsidRPr="004439BA">
        <w:rPr>
          <w:rFonts w:ascii="Times" w:eastAsia="Times New Roman" w:hAnsi="Times" w:cs="Times New Roman"/>
          <w:sz w:val="20"/>
          <w:szCs w:val="20"/>
        </w:rPr>
        <w:t>For this study, vectors of historical shoreline positions were digitized from survey-grade, orthorectified vertical aerial photomosaics providing coverage of the coastlines of Hauʻula, Punaluʻu, and Makaliʻi (</w:t>
      </w:r>
      <w:r w:rsidRPr="004439BA">
        <w:rPr>
          <w:rFonts w:ascii="Times" w:eastAsia="Times New Roman" w:hAnsi="Times" w:cs="Times New Roman"/>
          <w:b/>
          <w:sz w:val="20"/>
          <w:szCs w:val="20"/>
        </w:rPr>
        <w:t>Table SI1)</w:t>
      </w:r>
      <w:r w:rsidRPr="004439BA">
        <w:rPr>
          <w:rFonts w:ascii="Times" w:eastAsia="Times New Roman" w:hAnsi="Times" w:cs="Times New Roman"/>
          <w:sz w:val="20"/>
          <w:szCs w:val="20"/>
        </w:rPr>
        <w:t xml:space="preserve">. The total 87-year time series extends from 1928 to 2015 with </w:t>
      </w:r>
      <w:bookmarkStart w:id="0" w:name="OLE_LINK3"/>
      <w:bookmarkStart w:id="1" w:name="OLE_LINK4"/>
      <w:r w:rsidRPr="004439BA">
        <w:rPr>
          <w:rFonts w:ascii="Times" w:eastAsia="Times New Roman" w:hAnsi="Times" w:cs="Times New Roman"/>
          <w:sz w:val="20"/>
          <w:szCs w:val="20"/>
        </w:rPr>
        <w:t xml:space="preserve">historical shoreline position vectors acquired from up to 13 separate years of imagery </w:t>
      </w:r>
      <w:bookmarkEnd w:id="0"/>
      <w:bookmarkEnd w:id="1"/>
      <w:r w:rsidRPr="004439BA">
        <w:rPr>
          <w:rFonts w:ascii="Times" w:eastAsia="Times New Roman" w:hAnsi="Times" w:cs="Times New Roman"/>
          <w:sz w:val="20"/>
          <w:szCs w:val="20"/>
        </w:rPr>
        <w:t>(</w:t>
      </w:r>
      <w:r w:rsidRPr="004439BA">
        <w:rPr>
          <w:rFonts w:ascii="Times" w:eastAsia="Times New Roman" w:hAnsi="Times" w:cs="Times New Roman"/>
          <w:b/>
          <w:sz w:val="20"/>
          <w:szCs w:val="20"/>
        </w:rPr>
        <w:t>Table SI2</w:t>
      </w:r>
      <w:r w:rsidRPr="004439BA">
        <w:rPr>
          <w:rFonts w:ascii="Times" w:eastAsia="Times New Roman" w:hAnsi="Times" w:cs="Times New Roman"/>
          <w:sz w:val="20"/>
          <w:szCs w:val="20"/>
        </w:rPr>
        <w:t xml:space="preserve">). </w:t>
      </w:r>
    </w:p>
    <w:p w14:paraId="6989AD71" w14:textId="77777777" w:rsidR="007F4BE3" w:rsidRPr="00F975F0" w:rsidRDefault="007F4BE3" w:rsidP="007F4BE3">
      <w:pPr>
        <w:spacing w:before="120"/>
        <w:ind w:firstLine="720"/>
        <w:jc w:val="both"/>
        <w:rPr>
          <w:rFonts w:ascii="Times" w:eastAsia="Times New Roman" w:hAnsi="Times" w:cs="Times New Roman"/>
          <w:sz w:val="20"/>
          <w:szCs w:val="20"/>
        </w:rPr>
      </w:pPr>
    </w:p>
    <w:p w14:paraId="61CFB84B" w14:textId="4297814F" w:rsidR="007F4BE3" w:rsidRPr="00F975F0" w:rsidRDefault="007F4BE3" w:rsidP="007F4BE3">
      <w:pPr>
        <w:pStyle w:val="Normal1"/>
        <w:spacing w:before="120"/>
        <w:jc w:val="both"/>
        <w:rPr>
          <w:rFonts w:ascii="Times" w:eastAsia="Times New Roman" w:hAnsi="Times" w:cs="Times New Roman"/>
          <w:b/>
          <w:sz w:val="20"/>
          <w:szCs w:val="20"/>
        </w:rPr>
      </w:pPr>
      <w:r w:rsidRPr="00F975F0">
        <w:rPr>
          <w:rFonts w:ascii="Times" w:eastAsia="Times New Roman" w:hAnsi="Times" w:cs="Times New Roman"/>
          <w:b/>
          <w:sz w:val="20"/>
          <w:szCs w:val="20"/>
        </w:rPr>
        <w:t xml:space="preserve">Table </w:t>
      </w:r>
      <w:r>
        <w:rPr>
          <w:rFonts w:ascii="Times" w:eastAsia="Times New Roman" w:hAnsi="Times" w:cs="Times New Roman"/>
          <w:b/>
          <w:sz w:val="20"/>
          <w:szCs w:val="20"/>
        </w:rPr>
        <w:t>SI1</w:t>
      </w:r>
      <w:r w:rsidRPr="00F975F0">
        <w:rPr>
          <w:rFonts w:ascii="Times" w:eastAsia="Times New Roman" w:hAnsi="Times" w:cs="Times New Roman"/>
          <w:b/>
          <w:sz w:val="20"/>
          <w:szCs w:val="20"/>
        </w:rPr>
        <w:t>:</w:t>
      </w:r>
      <w:r w:rsidRPr="00F975F0">
        <w:rPr>
          <w:rFonts w:ascii="Times" w:eastAsia="Times New Roman" w:hAnsi="Times" w:cs="Times New Roman"/>
          <w:sz w:val="20"/>
          <w:szCs w:val="20"/>
        </w:rPr>
        <w:t xml:space="preserve"> Summary of data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41"/>
        <w:gridCol w:w="1773"/>
        <w:gridCol w:w="2220"/>
        <w:gridCol w:w="3116"/>
      </w:tblGrid>
      <w:tr w:rsidR="007F4BE3" w:rsidRPr="00F975F0" w14:paraId="61E34A0D" w14:textId="77777777" w:rsidTr="00C9419B">
        <w:trPr>
          <w:trHeight w:val="440"/>
        </w:trPr>
        <w:tc>
          <w:tcPr>
            <w:tcW w:w="2275" w:type="dxa"/>
            <w:shd w:val="clear" w:color="auto" w:fill="auto"/>
            <w:vAlign w:val="center"/>
          </w:tcPr>
          <w:p w14:paraId="78DDF2D4" w14:textId="77777777" w:rsidR="007F4BE3" w:rsidRPr="00F975F0" w:rsidRDefault="007F4BE3" w:rsidP="00C9419B">
            <w:pPr>
              <w:spacing w:before="120"/>
              <w:jc w:val="center"/>
              <w:rPr>
                <w:rFonts w:ascii="Times" w:eastAsia="Times New Roman" w:hAnsi="Times" w:cs="Times New Roman"/>
                <w:b/>
                <w:bCs/>
                <w:color w:val="000000"/>
                <w:sz w:val="20"/>
                <w:szCs w:val="20"/>
              </w:rPr>
            </w:pPr>
            <w:r w:rsidRPr="00F975F0">
              <w:rPr>
                <w:rFonts w:ascii="Times" w:eastAsia="Times New Roman" w:hAnsi="Times" w:cs="Times New Roman"/>
                <w:b/>
                <w:bCs/>
                <w:color w:val="000000"/>
                <w:sz w:val="20"/>
                <w:szCs w:val="20"/>
              </w:rPr>
              <w:t>DATA TYPE</w:t>
            </w:r>
          </w:p>
        </w:tc>
        <w:tc>
          <w:tcPr>
            <w:tcW w:w="1793" w:type="dxa"/>
            <w:shd w:val="clear" w:color="auto" w:fill="auto"/>
            <w:vAlign w:val="center"/>
          </w:tcPr>
          <w:p w14:paraId="75B9AA32" w14:textId="77777777" w:rsidR="007F4BE3" w:rsidRPr="00F975F0" w:rsidRDefault="007F4BE3" w:rsidP="00C9419B">
            <w:pPr>
              <w:spacing w:before="120"/>
              <w:jc w:val="center"/>
              <w:rPr>
                <w:rFonts w:ascii="Times" w:eastAsia="Times New Roman" w:hAnsi="Times" w:cs="Times New Roman"/>
                <w:b/>
                <w:bCs/>
                <w:color w:val="000000"/>
                <w:sz w:val="20"/>
                <w:szCs w:val="20"/>
              </w:rPr>
            </w:pPr>
            <w:r w:rsidRPr="00F975F0">
              <w:rPr>
                <w:rFonts w:ascii="Times" w:eastAsia="Times New Roman" w:hAnsi="Times" w:cs="Times New Roman"/>
                <w:b/>
                <w:bCs/>
                <w:color w:val="000000"/>
                <w:sz w:val="20"/>
                <w:szCs w:val="20"/>
              </w:rPr>
              <w:t>SOURCE</w:t>
            </w:r>
          </w:p>
        </w:tc>
        <w:tc>
          <w:tcPr>
            <w:tcW w:w="2257" w:type="dxa"/>
            <w:shd w:val="clear" w:color="auto" w:fill="auto"/>
            <w:vAlign w:val="center"/>
          </w:tcPr>
          <w:p w14:paraId="6EC331AE" w14:textId="77777777" w:rsidR="007F4BE3" w:rsidRPr="00F975F0" w:rsidRDefault="007F4BE3" w:rsidP="00C9419B">
            <w:pPr>
              <w:spacing w:before="120"/>
              <w:jc w:val="center"/>
              <w:rPr>
                <w:rFonts w:ascii="Times" w:eastAsia="Times New Roman" w:hAnsi="Times" w:cs="Times New Roman"/>
                <w:b/>
                <w:bCs/>
                <w:color w:val="000000"/>
                <w:sz w:val="20"/>
                <w:szCs w:val="20"/>
              </w:rPr>
            </w:pPr>
            <w:r w:rsidRPr="00F975F0">
              <w:rPr>
                <w:rFonts w:ascii="Times" w:eastAsia="Times New Roman" w:hAnsi="Times" w:cs="Times New Roman"/>
                <w:b/>
                <w:bCs/>
                <w:color w:val="000000"/>
                <w:sz w:val="20"/>
                <w:szCs w:val="20"/>
              </w:rPr>
              <w:t>YEAR</w:t>
            </w:r>
          </w:p>
        </w:tc>
        <w:tc>
          <w:tcPr>
            <w:tcW w:w="3143" w:type="dxa"/>
            <w:shd w:val="clear" w:color="auto" w:fill="auto"/>
            <w:vAlign w:val="center"/>
          </w:tcPr>
          <w:p w14:paraId="5155C13E" w14:textId="77777777" w:rsidR="007F4BE3" w:rsidRPr="00F975F0" w:rsidRDefault="007F4BE3" w:rsidP="00C9419B">
            <w:pPr>
              <w:spacing w:before="120"/>
              <w:jc w:val="center"/>
              <w:rPr>
                <w:rFonts w:ascii="Times" w:eastAsia="Times New Roman" w:hAnsi="Times" w:cs="Times New Roman"/>
                <w:b/>
                <w:bCs/>
                <w:color w:val="000000"/>
                <w:sz w:val="20"/>
                <w:szCs w:val="20"/>
              </w:rPr>
            </w:pPr>
            <w:r w:rsidRPr="00F975F0">
              <w:rPr>
                <w:rFonts w:ascii="Times" w:eastAsia="Times New Roman" w:hAnsi="Times" w:cs="Times New Roman"/>
                <w:b/>
                <w:bCs/>
                <w:color w:val="000000"/>
                <w:sz w:val="20"/>
                <w:szCs w:val="20"/>
              </w:rPr>
              <w:t>DESCRIPTION</w:t>
            </w:r>
          </w:p>
        </w:tc>
      </w:tr>
      <w:tr w:rsidR="007F4BE3" w:rsidRPr="00F975F0" w14:paraId="394C1540" w14:textId="77777777" w:rsidTr="00C9419B">
        <w:trPr>
          <w:trHeight w:val="584"/>
        </w:trPr>
        <w:tc>
          <w:tcPr>
            <w:tcW w:w="2275" w:type="dxa"/>
            <w:shd w:val="clear" w:color="auto" w:fill="auto"/>
            <w:vAlign w:val="center"/>
            <w:hideMark/>
          </w:tcPr>
          <w:p w14:paraId="679CCF74"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Modern aerial photos</w:t>
            </w:r>
          </w:p>
        </w:tc>
        <w:tc>
          <w:tcPr>
            <w:tcW w:w="1793" w:type="dxa"/>
            <w:shd w:val="clear" w:color="auto" w:fill="auto"/>
            <w:vAlign w:val="center"/>
            <w:hideMark/>
          </w:tcPr>
          <w:p w14:paraId="05CF8337"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Resource Mapping Hawai'i</w:t>
            </w:r>
          </w:p>
        </w:tc>
        <w:tc>
          <w:tcPr>
            <w:tcW w:w="2257" w:type="dxa"/>
            <w:shd w:val="clear" w:color="auto" w:fill="auto"/>
            <w:vAlign w:val="center"/>
            <w:hideMark/>
          </w:tcPr>
          <w:p w14:paraId="04E981F1"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2015</w:t>
            </w:r>
          </w:p>
        </w:tc>
        <w:tc>
          <w:tcPr>
            <w:tcW w:w="3143" w:type="dxa"/>
            <w:shd w:val="clear" w:color="auto" w:fill="auto"/>
            <w:vAlign w:val="center"/>
            <w:hideMark/>
          </w:tcPr>
          <w:p w14:paraId="0D2AAD6E"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Raw aerial shoreline photos taken 02/27/2015</w:t>
            </w:r>
          </w:p>
        </w:tc>
      </w:tr>
      <w:tr w:rsidR="007F4BE3" w:rsidRPr="00F975F0" w14:paraId="4760B5B2" w14:textId="77777777" w:rsidTr="00C9419B">
        <w:trPr>
          <w:trHeight w:val="630"/>
        </w:trPr>
        <w:tc>
          <w:tcPr>
            <w:tcW w:w="2275" w:type="dxa"/>
            <w:shd w:val="clear" w:color="auto" w:fill="auto"/>
            <w:vAlign w:val="center"/>
            <w:hideMark/>
          </w:tcPr>
          <w:p w14:paraId="36D80C3F"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Aerial mosaics, shoreline vectors</w:t>
            </w:r>
          </w:p>
        </w:tc>
        <w:tc>
          <w:tcPr>
            <w:tcW w:w="1793" w:type="dxa"/>
            <w:shd w:val="clear" w:color="auto" w:fill="auto"/>
            <w:vAlign w:val="center"/>
            <w:hideMark/>
          </w:tcPr>
          <w:p w14:paraId="195A981E"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Hawai</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i Coastal Geology Group</w:t>
            </w:r>
          </w:p>
        </w:tc>
        <w:tc>
          <w:tcPr>
            <w:tcW w:w="2257" w:type="dxa"/>
            <w:shd w:val="clear" w:color="auto" w:fill="auto"/>
            <w:vAlign w:val="center"/>
            <w:hideMark/>
          </w:tcPr>
          <w:p w14:paraId="438A7876"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1928, 1949, 1958, 1967, 1971, 1975, 1988, 2000, 2006</w:t>
            </w:r>
          </w:p>
        </w:tc>
        <w:tc>
          <w:tcPr>
            <w:tcW w:w="3143" w:type="dxa"/>
            <w:shd w:val="clear" w:color="auto" w:fill="auto"/>
            <w:vAlign w:val="center"/>
            <w:hideMark/>
          </w:tcPr>
          <w:p w14:paraId="323C1E3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Ortho-rectified historical shoreline mosaics</w:t>
            </w:r>
          </w:p>
        </w:tc>
      </w:tr>
      <w:tr w:rsidR="007F4BE3" w:rsidRPr="00F975F0" w14:paraId="4AA184D3" w14:textId="77777777" w:rsidTr="00C9419B">
        <w:trPr>
          <w:trHeight w:val="629"/>
        </w:trPr>
        <w:tc>
          <w:tcPr>
            <w:tcW w:w="2275" w:type="dxa"/>
            <w:shd w:val="clear" w:color="auto" w:fill="auto"/>
            <w:vAlign w:val="center"/>
            <w:hideMark/>
          </w:tcPr>
          <w:p w14:paraId="64273598"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Aerial imagery without shoreline vectors</w:t>
            </w:r>
          </w:p>
        </w:tc>
        <w:tc>
          <w:tcPr>
            <w:tcW w:w="1793" w:type="dxa"/>
            <w:shd w:val="clear" w:color="auto" w:fill="auto"/>
            <w:vAlign w:val="center"/>
            <w:hideMark/>
          </w:tcPr>
          <w:p w14:paraId="4F3FF072"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Hawai</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i Coastal Geology Group</w:t>
            </w:r>
          </w:p>
        </w:tc>
        <w:tc>
          <w:tcPr>
            <w:tcW w:w="2257" w:type="dxa"/>
            <w:shd w:val="clear" w:color="auto" w:fill="auto"/>
            <w:vAlign w:val="center"/>
            <w:hideMark/>
          </w:tcPr>
          <w:p w14:paraId="62F8124A"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1985, 1993, 2011</w:t>
            </w:r>
          </w:p>
        </w:tc>
        <w:tc>
          <w:tcPr>
            <w:tcW w:w="3143" w:type="dxa"/>
            <w:shd w:val="clear" w:color="auto" w:fill="auto"/>
            <w:vAlign w:val="center"/>
            <w:hideMark/>
          </w:tcPr>
          <w:p w14:paraId="61E288A8"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Raw aerial shoreline photos</w:t>
            </w:r>
          </w:p>
        </w:tc>
      </w:tr>
      <w:tr w:rsidR="007F4BE3" w:rsidRPr="00F975F0" w14:paraId="59D7F10A" w14:textId="77777777" w:rsidTr="00C9419B">
        <w:trPr>
          <w:trHeight w:val="600"/>
        </w:trPr>
        <w:tc>
          <w:tcPr>
            <w:tcW w:w="2275" w:type="dxa"/>
            <w:shd w:val="clear" w:color="auto" w:fill="auto"/>
            <w:vAlign w:val="center"/>
            <w:hideMark/>
          </w:tcPr>
          <w:p w14:paraId="31716CCB"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Historical shoreline vectors</w:t>
            </w:r>
          </w:p>
        </w:tc>
        <w:tc>
          <w:tcPr>
            <w:tcW w:w="1793" w:type="dxa"/>
            <w:shd w:val="clear" w:color="auto" w:fill="auto"/>
            <w:vAlign w:val="center"/>
            <w:hideMark/>
          </w:tcPr>
          <w:p w14:paraId="67676EED"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Hawai</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i Coastal Geology Group</w:t>
            </w:r>
          </w:p>
        </w:tc>
        <w:tc>
          <w:tcPr>
            <w:tcW w:w="2257" w:type="dxa"/>
            <w:shd w:val="clear" w:color="auto" w:fill="auto"/>
            <w:vAlign w:val="center"/>
            <w:hideMark/>
          </w:tcPr>
          <w:p w14:paraId="0617695F"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1928, 1949,1958, 1967, 1971, 1975, 1988, 2000, 2006</w:t>
            </w:r>
          </w:p>
        </w:tc>
        <w:tc>
          <w:tcPr>
            <w:tcW w:w="3143" w:type="dxa"/>
            <w:shd w:val="clear" w:color="auto" w:fill="auto"/>
            <w:vAlign w:val="center"/>
            <w:hideMark/>
          </w:tcPr>
          <w:p w14:paraId="4B320ADF"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Low water mark and vegetation line vectors</w:t>
            </w:r>
          </w:p>
        </w:tc>
      </w:tr>
      <w:tr w:rsidR="007F4BE3" w:rsidRPr="00F975F0" w14:paraId="5044501A" w14:textId="77777777" w:rsidTr="00C9419B">
        <w:trPr>
          <w:trHeight w:val="885"/>
        </w:trPr>
        <w:tc>
          <w:tcPr>
            <w:tcW w:w="2275" w:type="dxa"/>
            <w:shd w:val="clear" w:color="auto" w:fill="auto"/>
            <w:vAlign w:val="center"/>
            <w:hideMark/>
          </w:tcPr>
          <w:p w14:paraId="4C46F947"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Tax Map Key (TMK) parcels</w:t>
            </w:r>
          </w:p>
        </w:tc>
        <w:tc>
          <w:tcPr>
            <w:tcW w:w="1793" w:type="dxa"/>
            <w:shd w:val="clear" w:color="auto" w:fill="auto"/>
            <w:vAlign w:val="center"/>
            <w:hideMark/>
          </w:tcPr>
          <w:p w14:paraId="59D6012B"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State of Hawai</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i Office of Planning</w:t>
            </w:r>
          </w:p>
        </w:tc>
        <w:tc>
          <w:tcPr>
            <w:tcW w:w="2257" w:type="dxa"/>
            <w:shd w:val="clear" w:color="auto" w:fill="auto"/>
            <w:vAlign w:val="center"/>
            <w:hideMark/>
          </w:tcPr>
          <w:p w14:paraId="01F7A970"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2016</w:t>
            </w:r>
          </w:p>
        </w:tc>
        <w:tc>
          <w:tcPr>
            <w:tcW w:w="3143" w:type="dxa"/>
            <w:shd w:val="clear" w:color="auto" w:fill="auto"/>
            <w:vAlign w:val="center"/>
            <w:hideMark/>
          </w:tcPr>
          <w:p w14:paraId="152BE6D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Polygon layer of O</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ahu TMK data, building info.  projected to UTM Zone 4 NAD83. C&amp;C of Honolulu FTP site ftp://gisftp.hicentral.com/, on 8/11/2016</w:t>
            </w:r>
          </w:p>
        </w:tc>
      </w:tr>
      <w:tr w:rsidR="007F4BE3" w:rsidRPr="00F975F0" w14:paraId="53EB7771" w14:textId="77777777" w:rsidTr="00C9419B">
        <w:trPr>
          <w:trHeight w:val="737"/>
        </w:trPr>
        <w:tc>
          <w:tcPr>
            <w:tcW w:w="2275" w:type="dxa"/>
            <w:shd w:val="clear" w:color="auto" w:fill="auto"/>
            <w:vAlign w:val="center"/>
            <w:hideMark/>
          </w:tcPr>
          <w:p w14:paraId="67C1DF8B"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Building footprints (C&amp;C)</w:t>
            </w:r>
          </w:p>
        </w:tc>
        <w:tc>
          <w:tcPr>
            <w:tcW w:w="1793" w:type="dxa"/>
            <w:shd w:val="clear" w:color="auto" w:fill="auto"/>
            <w:vAlign w:val="center"/>
            <w:hideMark/>
          </w:tcPr>
          <w:p w14:paraId="13A9B921" w14:textId="77777777" w:rsidR="007F4BE3" w:rsidRPr="00F975F0" w:rsidRDefault="007F4BE3" w:rsidP="00C9419B">
            <w:pPr>
              <w:spacing w:before="120"/>
              <w:jc w:val="center"/>
              <w:rPr>
                <w:rFonts w:ascii="Times" w:eastAsia="Times New Roman" w:hAnsi="Times" w:cs="Times New Roman"/>
                <w:color w:val="000000"/>
                <w:sz w:val="20"/>
                <w:szCs w:val="20"/>
              </w:rPr>
            </w:pPr>
            <w:proofErr w:type="spellStart"/>
            <w:r w:rsidRPr="00F975F0">
              <w:rPr>
                <w:rFonts w:ascii="Times" w:eastAsia="Times New Roman" w:hAnsi="Times" w:cs="Times New Roman"/>
                <w:color w:val="000000"/>
                <w:sz w:val="20"/>
                <w:szCs w:val="20"/>
              </w:rPr>
              <w:t>honolulugis</w:t>
            </w:r>
            <w:proofErr w:type="spellEnd"/>
          </w:p>
        </w:tc>
        <w:tc>
          <w:tcPr>
            <w:tcW w:w="2257" w:type="dxa"/>
            <w:shd w:val="clear" w:color="auto" w:fill="auto"/>
            <w:vAlign w:val="center"/>
            <w:hideMark/>
          </w:tcPr>
          <w:p w14:paraId="712FF476"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2016</w:t>
            </w:r>
          </w:p>
        </w:tc>
        <w:tc>
          <w:tcPr>
            <w:tcW w:w="3143" w:type="dxa"/>
            <w:shd w:val="clear" w:color="auto" w:fill="auto"/>
            <w:vAlign w:val="center"/>
            <w:hideMark/>
          </w:tcPr>
          <w:p w14:paraId="57C24C06"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 xml:space="preserve">Polygon layer of building footprints </w:t>
            </w:r>
            <w:r w:rsidRPr="00F975F0">
              <w:rPr>
                <w:rFonts w:ascii="Times" w:hAnsi="Times" w:cs="Times New Roman"/>
                <w:color w:val="000000"/>
                <w:sz w:val="20"/>
                <w:szCs w:val="20"/>
              </w:rPr>
              <w:t>O</w:t>
            </w:r>
            <w:r w:rsidRPr="00F975F0">
              <w:rPr>
                <w:rFonts w:ascii="Times" w:eastAsia="Times New Roman" w:hAnsi="Times" w:cs="Times New Roman"/>
                <w:color w:val="000000"/>
                <w:sz w:val="20"/>
                <w:szCs w:val="20"/>
              </w:rPr>
              <w:t>ʻahu.  Projected to GCS WGS 1984</w:t>
            </w:r>
          </w:p>
        </w:tc>
      </w:tr>
      <w:tr w:rsidR="007F4BE3" w:rsidRPr="00F975F0" w14:paraId="386D7964" w14:textId="77777777" w:rsidTr="00C9419B">
        <w:trPr>
          <w:trHeight w:val="773"/>
        </w:trPr>
        <w:tc>
          <w:tcPr>
            <w:tcW w:w="2275" w:type="dxa"/>
            <w:shd w:val="clear" w:color="auto" w:fill="auto"/>
            <w:vAlign w:val="center"/>
          </w:tcPr>
          <w:p w14:paraId="0B520E29"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Mokuoloe tide gauge</w:t>
            </w:r>
          </w:p>
        </w:tc>
        <w:tc>
          <w:tcPr>
            <w:tcW w:w="1793" w:type="dxa"/>
            <w:shd w:val="clear" w:color="auto" w:fill="auto"/>
            <w:vAlign w:val="center"/>
          </w:tcPr>
          <w:p w14:paraId="65F5E1C8"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University of Hawai</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i Sea Level Center</w:t>
            </w:r>
          </w:p>
        </w:tc>
        <w:tc>
          <w:tcPr>
            <w:tcW w:w="2257" w:type="dxa"/>
            <w:shd w:val="clear" w:color="auto" w:fill="auto"/>
            <w:vAlign w:val="center"/>
          </w:tcPr>
          <w:p w14:paraId="24E399EA"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1957-2014</w:t>
            </w:r>
          </w:p>
        </w:tc>
        <w:tc>
          <w:tcPr>
            <w:tcW w:w="3143" w:type="dxa"/>
            <w:shd w:val="clear" w:color="auto" w:fill="auto"/>
            <w:vAlign w:val="center"/>
          </w:tcPr>
          <w:p w14:paraId="4A945AD5"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 xml:space="preserve">Hourly water level </w:t>
            </w:r>
          </w:p>
        </w:tc>
      </w:tr>
      <w:tr w:rsidR="007F4BE3" w:rsidRPr="00F975F0" w14:paraId="71E8E801" w14:textId="77777777" w:rsidTr="00C9419B">
        <w:trPr>
          <w:trHeight w:val="675"/>
        </w:trPr>
        <w:tc>
          <w:tcPr>
            <w:tcW w:w="2275" w:type="dxa"/>
            <w:shd w:val="clear" w:color="auto" w:fill="auto"/>
            <w:vAlign w:val="center"/>
          </w:tcPr>
          <w:p w14:paraId="5AD6CD44"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lastRenderedPageBreak/>
              <w:t>Honolulu tide gauge</w:t>
            </w:r>
          </w:p>
        </w:tc>
        <w:tc>
          <w:tcPr>
            <w:tcW w:w="1793" w:type="dxa"/>
            <w:shd w:val="clear" w:color="auto" w:fill="auto"/>
            <w:vAlign w:val="center"/>
          </w:tcPr>
          <w:p w14:paraId="7D8D7EAB"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University of Hawai</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i Sea Level Center</w:t>
            </w:r>
          </w:p>
        </w:tc>
        <w:tc>
          <w:tcPr>
            <w:tcW w:w="2257" w:type="dxa"/>
            <w:shd w:val="clear" w:color="auto" w:fill="auto"/>
            <w:vAlign w:val="center"/>
          </w:tcPr>
          <w:p w14:paraId="38416593"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1905-2014</w:t>
            </w:r>
          </w:p>
        </w:tc>
        <w:tc>
          <w:tcPr>
            <w:tcW w:w="3143" w:type="dxa"/>
            <w:shd w:val="clear" w:color="auto" w:fill="auto"/>
            <w:vAlign w:val="center"/>
          </w:tcPr>
          <w:p w14:paraId="3FE29131"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 xml:space="preserve">Hourly water level </w:t>
            </w:r>
          </w:p>
        </w:tc>
      </w:tr>
      <w:tr w:rsidR="007F4BE3" w:rsidRPr="00F975F0" w14:paraId="2A257E58" w14:textId="77777777" w:rsidTr="00C9419B">
        <w:trPr>
          <w:trHeight w:val="600"/>
        </w:trPr>
        <w:tc>
          <w:tcPr>
            <w:tcW w:w="2275" w:type="dxa"/>
            <w:shd w:val="clear" w:color="auto" w:fill="auto"/>
            <w:vAlign w:val="center"/>
          </w:tcPr>
          <w:p w14:paraId="0F195B16"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Kaneohe Bay buoy</w:t>
            </w:r>
          </w:p>
        </w:tc>
        <w:tc>
          <w:tcPr>
            <w:tcW w:w="1793" w:type="dxa"/>
            <w:shd w:val="clear" w:color="auto" w:fill="auto"/>
            <w:vAlign w:val="center"/>
          </w:tcPr>
          <w:p w14:paraId="5AC8240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Coastal Data Information Program (CDIP)</w:t>
            </w:r>
          </w:p>
        </w:tc>
        <w:tc>
          <w:tcPr>
            <w:tcW w:w="2257" w:type="dxa"/>
            <w:shd w:val="clear" w:color="auto" w:fill="auto"/>
            <w:vAlign w:val="center"/>
          </w:tcPr>
          <w:p w14:paraId="4B1BBE05"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2012-2015</w:t>
            </w:r>
          </w:p>
        </w:tc>
        <w:tc>
          <w:tcPr>
            <w:tcW w:w="3143" w:type="dxa"/>
            <w:shd w:val="clear" w:color="auto" w:fill="auto"/>
            <w:vAlign w:val="center"/>
          </w:tcPr>
          <w:p w14:paraId="0255A19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Wave height.  Station CDIP 098 windward side of O</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ahu offshore of Pyramid Rock.</w:t>
            </w:r>
          </w:p>
        </w:tc>
      </w:tr>
      <w:tr w:rsidR="007F4BE3" w:rsidRPr="00F975F0" w14:paraId="2D163BCF" w14:textId="77777777" w:rsidTr="00C9419B">
        <w:trPr>
          <w:trHeight w:val="675"/>
        </w:trPr>
        <w:tc>
          <w:tcPr>
            <w:tcW w:w="2275" w:type="dxa"/>
            <w:shd w:val="clear" w:color="auto" w:fill="auto"/>
            <w:vAlign w:val="center"/>
          </w:tcPr>
          <w:p w14:paraId="7B6CB0F0"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Makapu</w:t>
            </w:r>
            <w:r w:rsidRPr="00F975F0">
              <w:rPr>
                <w:rFonts w:ascii="Times" w:hAnsi="Times" w:cs="Times New Roman"/>
                <w:color w:val="000000"/>
                <w:sz w:val="20"/>
                <w:szCs w:val="20"/>
              </w:rPr>
              <w:t>ʻ</w:t>
            </w:r>
            <w:r w:rsidRPr="00F975F0">
              <w:rPr>
                <w:rFonts w:ascii="Times" w:eastAsia="Times New Roman" w:hAnsi="Times" w:cs="Times New Roman"/>
                <w:color w:val="000000"/>
                <w:sz w:val="20"/>
                <w:szCs w:val="20"/>
              </w:rPr>
              <w:t>u Point buoy</w:t>
            </w:r>
          </w:p>
        </w:tc>
        <w:tc>
          <w:tcPr>
            <w:tcW w:w="1793" w:type="dxa"/>
            <w:shd w:val="clear" w:color="auto" w:fill="auto"/>
            <w:vAlign w:val="center"/>
          </w:tcPr>
          <w:p w14:paraId="13CCD629"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CDIP</w:t>
            </w:r>
          </w:p>
        </w:tc>
        <w:tc>
          <w:tcPr>
            <w:tcW w:w="2257" w:type="dxa"/>
            <w:shd w:val="clear" w:color="auto" w:fill="auto"/>
            <w:vAlign w:val="center"/>
          </w:tcPr>
          <w:p w14:paraId="344096D2"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1981-1996</w:t>
            </w:r>
          </w:p>
        </w:tc>
        <w:tc>
          <w:tcPr>
            <w:tcW w:w="3143" w:type="dxa"/>
            <w:shd w:val="clear" w:color="auto" w:fill="auto"/>
            <w:vAlign w:val="center"/>
          </w:tcPr>
          <w:p w14:paraId="2CE6CB69"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Wave height.  Station CDIP 034 22 miles offshore of Makap</w:t>
            </w:r>
            <w:r w:rsidRPr="00F975F0">
              <w:rPr>
                <w:rFonts w:ascii="Times" w:hAnsi="Times" w:cs="Times New Roman"/>
                <w:color w:val="000000"/>
                <w:sz w:val="20"/>
                <w:szCs w:val="20"/>
              </w:rPr>
              <w:t>uʻ</w:t>
            </w:r>
            <w:r w:rsidRPr="00F975F0">
              <w:rPr>
                <w:rFonts w:ascii="Times" w:eastAsia="Times New Roman" w:hAnsi="Times" w:cs="Times New Roman"/>
                <w:color w:val="000000"/>
                <w:sz w:val="20"/>
                <w:szCs w:val="20"/>
              </w:rPr>
              <w:t>u Point.</w:t>
            </w:r>
          </w:p>
        </w:tc>
      </w:tr>
      <w:tr w:rsidR="007F4BE3" w:rsidRPr="00F975F0" w14:paraId="3A81E1BD" w14:textId="77777777" w:rsidTr="00C9419B">
        <w:trPr>
          <w:trHeight w:val="675"/>
        </w:trPr>
        <w:tc>
          <w:tcPr>
            <w:tcW w:w="2275" w:type="dxa"/>
            <w:shd w:val="clear" w:color="auto" w:fill="auto"/>
            <w:vAlign w:val="center"/>
          </w:tcPr>
          <w:p w14:paraId="490144A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NOAA WaveWatch III (WW3)</w:t>
            </w:r>
          </w:p>
        </w:tc>
        <w:tc>
          <w:tcPr>
            <w:tcW w:w="1793" w:type="dxa"/>
            <w:shd w:val="clear" w:color="auto" w:fill="auto"/>
            <w:vAlign w:val="center"/>
          </w:tcPr>
          <w:p w14:paraId="50B45778"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Asia Pacific Data Research Center</w:t>
            </w:r>
          </w:p>
        </w:tc>
        <w:tc>
          <w:tcPr>
            <w:tcW w:w="2257" w:type="dxa"/>
            <w:shd w:val="clear" w:color="auto" w:fill="auto"/>
            <w:vAlign w:val="center"/>
          </w:tcPr>
          <w:p w14:paraId="318C8065"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1997-2015</w:t>
            </w:r>
          </w:p>
        </w:tc>
        <w:tc>
          <w:tcPr>
            <w:tcW w:w="3143" w:type="dxa"/>
            <w:shd w:val="clear" w:color="auto" w:fill="auto"/>
            <w:vAlign w:val="center"/>
          </w:tcPr>
          <w:p w14:paraId="76266872"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Wave height. Global wave model on a 1.25̊ latitude x 1̊ longitude grid.</w:t>
            </w:r>
          </w:p>
        </w:tc>
      </w:tr>
    </w:tbl>
    <w:p w14:paraId="23BDE11C" w14:textId="77777777" w:rsidR="007F4BE3" w:rsidRPr="00F975F0" w:rsidRDefault="007F4BE3" w:rsidP="007F4BE3">
      <w:pPr>
        <w:pStyle w:val="Normal1"/>
        <w:spacing w:before="120"/>
        <w:jc w:val="both"/>
        <w:rPr>
          <w:rFonts w:ascii="Times" w:eastAsia="Times New Roman" w:hAnsi="Times" w:cs="Times New Roman"/>
          <w:b/>
          <w:sz w:val="20"/>
          <w:szCs w:val="20"/>
        </w:rPr>
      </w:pPr>
    </w:p>
    <w:p w14:paraId="4671B3A8" w14:textId="5D8E9E2A" w:rsidR="007F4BE3" w:rsidRPr="00F975F0" w:rsidRDefault="007F4BE3" w:rsidP="007F4BE3">
      <w:pPr>
        <w:pStyle w:val="Normal1"/>
        <w:spacing w:before="120"/>
        <w:jc w:val="both"/>
        <w:outlineLvl w:val="0"/>
        <w:rPr>
          <w:rFonts w:ascii="Times" w:eastAsia="Times New Roman" w:hAnsi="Times" w:cs="Times New Roman"/>
          <w:sz w:val="20"/>
          <w:szCs w:val="20"/>
        </w:rPr>
      </w:pPr>
      <w:r w:rsidRPr="00F975F0">
        <w:rPr>
          <w:rFonts w:ascii="Times" w:eastAsia="Times New Roman" w:hAnsi="Times" w:cs="Times New Roman"/>
          <w:b/>
          <w:sz w:val="20"/>
          <w:szCs w:val="20"/>
        </w:rPr>
        <w:t xml:space="preserve">Table </w:t>
      </w:r>
      <w:r>
        <w:rPr>
          <w:rFonts w:ascii="Times" w:eastAsia="Times New Roman" w:hAnsi="Times" w:cs="Times New Roman"/>
          <w:b/>
          <w:sz w:val="20"/>
          <w:szCs w:val="20"/>
        </w:rPr>
        <w:t>SI2</w:t>
      </w:r>
      <w:r w:rsidRPr="00F975F0">
        <w:rPr>
          <w:rFonts w:ascii="Times" w:eastAsia="Times New Roman" w:hAnsi="Times" w:cs="Times New Roman"/>
          <w:b/>
          <w:sz w:val="20"/>
          <w:szCs w:val="20"/>
        </w:rPr>
        <w:t>:</w:t>
      </w:r>
      <w:r w:rsidRPr="00F975F0">
        <w:rPr>
          <w:rFonts w:ascii="Times" w:eastAsia="Times New Roman" w:hAnsi="Times" w:cs="Times New Roman"/>
          <w:sz w:val="20"/>
          <w:szCs w:val="20"/>
        </w:rPr>
        <w:t xml:space="preserve"> Summary of historical shoreline coverage.</w:t>
      </w:r>
    </w:p>
    <w:tbl>
      <w:tblPr>
        <w:tblW w:w="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480"/>
      </w:tblGrid>
      <w:tr w:rsidR="007F4BE3" w:rsidRPr="00F975F0" w14:paraId="40F436DF" w14:textId="77777777" w:rsidTr="00C9419B">
        <w:trPr>
          <w:trHeight w:val="300"/>
        </w:trPr>
        <w:tc>
          <w:tcPr>
            <w:tcW w:w="960" w:type="dxa"/>
            <w:shd w:val="clear" w:color="auto" w:fill="auto"/>
            <w:noWrap/>
            <w:vAlign w:val="center"/>
            <w:hideMark/>
          </w:tcPr>
          <w:p w14:paraId="13060E9F" w14:textId="77777777" w:rsidR="007F4BE3" w:rsidRPr="00F975F0" w:rsidRDefault="007F4BE3" w:rsidP="00C9419B">
            <w:pPr>
              <w:spacing w:before="120"/>
              <w:jc w:val="center"/>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Year</w:t>
            </w:r>
          </w:p>
        </w:tc>
        <w:tc>
          <w:tcPr>
            <w:tcW w:w="2480" w:type="dxa"/>
            <w:shd w:val="clear" w:color="auto" w:fill="auto"/>
            <w:noWrap/>
            <w:vAlign w:val="center"/>
            <w:hideMark/>
          </w:tcPr>
          <w:p w14:paraId="6A6BB463" w14:textId="77777777" w:rsidR="007F4BE3" w:rsidRPr="00F975F0" w:rsidRDefault="007F4BE3" w:rsidP="00C9419B">
            <w:pPr>
              <w:spacing w:before="120"/>
              <w:jc w:val="center"/>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 xml:space="preserve">Region </w:t>
            </w:r>
          </w:p>
        </w:tc>
      </w:tr>
      <w:tr w:rsidR="007F4BE3" w:rsidRPr="00F975F0" w14:paraId="4CB72D98" w14:textId="77777777" w:rsidTr="00C9419B">
        <w:trPr>
          <w:trHeight w:val="300"/>
        </w:trPr>
        <w:tc>
          <w:tcPr>
            <w:tcW w:w="960" w:type="dxa"/>
            <w:shd w:val="clear" w:color="auto" w:fill="auto"/>
            <w:noWrap/>
            <w:vAlign w:val="center"/>
            <w:hideMark/>
          </w:tcPr>
          <w:p w14:paraId="73E9DAFB"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1928</w:t>
            </w:r>
          </w:p>
        </w:tc>
        <w:tc>
          <w:tcPr>
            <w:tcW w:w="2480" w:type="dxa"/>
            <w:shd w:val="clear" w:color="auto" w:fill="auto"/>
            <w:noWrap/>
            <w:vAlign w:val="center"/>
            <w:hideMark/>
          </w:tcPr>
          <w:p w14:paraId="6D82C472"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394859BE" w14:textId="77777777" w:rsidTr="00C9419B">
        <w:trPr>
          <w:trHeight w:val="300"/>
        </w:trPr>
        <w:tc>
          <w:tcPr>
            <w:tcW w:w="960" w:type="dxa"/>
            <w:shd w:val="clear" w:color="auto" w:fill="auto"/>
            <w:noWrap/>
            <w:vAlign w:val="center"/>
            <w:hideMark/>
          </w:tcPr>
          <w:p w14:paraId="2A5CF484"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1949</w:t>
            </w:r>
          </w:p>
        </w:tc>
        <w:tc>
          <w:tcPr>
            <w:tcW w:w="2480" w:type="dxa"/>
            <w:shd w:val="clear" w:color="auto" w:fill="auto"/>
            <w:noWrap/>
            <w:vAlign w:val="center"/>
            <w:hideMark/>
          </w:tcPr>
          <w:p w14:paraId="4B1D2CB1"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34B521D1" w14:textId="77777777" w:rsidTr="00C9419B">
        <w:trPr>
          <w:trHeight w:val="300"/>
        </w:trPr>
        <w:tc>
          <w:tcPr>
            <w:tcW w:w="960" w:type="dxa"/>
            <w:shd w:val="clear" w:color="auto" w:fill="auto"/>
            <w:noWrap/>
            <w:vAlign w:val="center"/>
            <w:hideMark/>
          </w:tcPr>
          <w:p w14:paraId="27A7A6E4"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1958</w:t>
            </w:r>
          </w:p>
        </w:tc>
        <w:tc>
          <w:tcPr>
            <w:tcW w:w="2480" w:type="dxa"/>
            <w:shd w:val="clear" w:color="auto" w:fill="auto"/>
            <w:noWrap/>
            <w:vAlign w:val="center"/>
            <w:hideMark/>
          </w:tcPr>
          <w:p w14:paraId="65BA3CA3"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3ADD42D2" w14:textId="77777777" w:rsidTr="00C9419B">
        <w:trPr>
          <w:trHeight w:val="300"/>
        </w:trPr>
        <w:tc>
          <w:tcPr>
            <w:tcW w:w="960" w:type="dxa"/>
            <w:shd w:val="clear" w:color="auto" w:fill="auto"/>
            <w:noWrap/>
            <w:vAlign w:val="center"/>
            <w:hideMark/>
          </w:tcPr>
          <w:p w14:paraId="23DF1848"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1967</w:t>
            </w:r>
          </w:p>
        </w:tc>
        <w:tc>
          <w:tcPr>
            <w:tcW w:w="2480" w:type="dxa"/>
            <w:shd w:val="clear" w:color="auto" w:fill="auto"/>
            <w:noWrap/>
            <w:vAlign w:val="center"/>
            <w:hideMark/>
          </w:tcPr>
          <w:p w14:paraId="40B35554"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363B230B" w14:textId="77777777" w:rsidTr="00C9419B">
        <w:trPr>
          <w:trHeight w:val="300"/>
        </w:trPr>
        <w:tc>
          <w:tcPr>
            <w:tcW w:w="960" w:type="dxa"/>
            <w:shd w:val="clear" w:color="auto" w:fill="auto"/>
            <w:noWrap/>
            <w:vAlign w:val="center"/>
            <w:hideMark/>
          </w:tcPr>
          <w:p w14:paraId="55593AD2"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1971</w:t>
            </w:r>
          </w:p>
        </w:tc>
        <w:tc>
          <w:tcPr>
            <w:tcW w:w="2480" w:type="dxa"/>
            <w:shd w:val="clear" w:color="auto" w:fill="auto"/>
            <w:noWrap/>
            <w:vAlign w:val="center"/>
            <w:hideMark/>
          </w:tcPr>
          <w:p w14:paraId="5B325D88"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40174C2B" w14:textId="77777777" w:rsidTr="00C9419B">
        <w:trPr>
          <w:trHeight w:val="300"/>
        </w:trPr>
        <w:tc>
          <w:tcPr>
            <w:tcW w:w="960" w:type="dxa"/>
            <w:shd w:val="clear" w:color="auto" w:fill="auto"/>
            <w:noWrap/>
            <w:vAlign w:val="center"/>
            <w:hideMark/>
          </w:tcPr>
          <w:p w14:paraId="15BC2169"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1975</w:t>
            </w:r>
          </w:p>
        </w:tc>
        <w:tc>
          <w:tcPr>
            <w:tcW w:w="2480" w:type="dxa"/>
            <w:shd w:val="clear" w:color="auto" w:fill="auto"/>
            <w:noWrap/>
            <w:vAlign w:val="center"/>
            <w:hideMark/>
          </w:tcPr>
          <w:p w14:paraId="6D5A6666"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5C5B8BC5" w14:textId="77777777" w:rsidTr="00C9419B">
        <w:trPr>
          <w:trHeight w:val="300"/>
        </w:trPr>
        <w:tc>
          <w:tcPr>
            <w:tcW w:w="960" w:type="dxa"/>
            <w:shd w:val="clear" w:color="auto" w:fill="auto"/>
            <w:noWrap/>
            <w:vAlign w:val="center"/>
            <w:hideMark/>
          </w:tcPr>
          <w:p w14:paraId="58D1E3DD"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1985</w:t>
            </w:r>
          </w:p>
        </w:tc>
        <w:tc>
          <w:tcPr>
            <w:tcW w:w="2480" w:type="dxa"/>
            <w:shd w:val="clear" w:color="auto" w:fill="auto"/>
            <w:noWrap/>
            <w:vAlign w:val="center"/>
            <w:hideMark/>
          </w:tcPr>
          <w:p w14:paraId="071F71C0"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w:t>
            </w:r>
          </w:p>
        </w:tc>
      </w:tr>
      <w:tr w:rsidR="007F4BE3" w:rsidRPr="00F975F0" w14:paraId="72B159BC" w14:textId="77777777" w:rsidTr="00C9419B">
        <w:trPr>
          <w:trHeight w:val="300"/>
        </w:trPr>
        <w:tc>
          <w:tcPr>
            <w:tcW w:w="960" w:type="dxa"/>
            <w:shd w:val="clear" w:color="auto" w:fill="auto"/>
            <w:noWrap/>
            <w:vAlign w:val="center"/>
            <w:hideMark/>
          </w:tcPr>
          <w:p w14:paraId="3F0DE72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1988</w:t>
            </w:r>
          </w:p>
        </w:tc>
        <w:tc>
          <w:tcPr>
            <w:tcW w:w="2480" w:type="dxa"/>
            <w:shd w:val="clear" w:color="auto" w:fill="auto"/>
            <w:noWrap/>
            <w:vAlign w:val="center"/>
            <w:hideMark/>
          </w:tcPr>
          <w:p w14:paraId="136A5E53"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Punalu'u, Makali'i</w:t>
            </w:r>
          </w:p>
        </w:tc>
      </w:tr>
      <w:tr w:rsidR="007F4BE3" w:rsidRPr="00F975F0" w14:paraId="15F6AF37" w14:textId="77777777" w:rsidTr="00C9419B">
        <w:trPr>
          <w:trHeight w:val="300"/>
        </w:trPr>
        <w:tc>
          <w:tcPr>
            <w:tcW w:w="960" w:type="dxa"/>
            <w:shd w:val="clear" w:color="auto" w:fill="auto"/>
            <w:noWrap/>
            <w:vAlign w:val="center"/>
            <w:hideMark/>
          </w:tcPr>
          <w:p w14:paraId="18CC7B5C"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1993</w:t>
            </w:r>
          </w:p>
        </w:tc>
        <w:tc>
          <w:tcPr>
            <w:tcW w:w="2480" w:type="dxa"/>
            <w:shd w:val="clear" w:color="auto" w:fill="auto"/>
            <w:noWrap/>
            <w:vAlign w:val="center"/>
            <w:hideMark/>
          </w:tcPr>
          <w:p w14:paraId="77A527D9"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5CA9418B" w14:textId="77777777" w:rsidTr="00C9419B">
        <w:trPr>
          <w:trHeight w:val="300"/>
        </w:trPr>
        <w:tc>
          <w:tcPr>
            <w:tcW w:w="960" w:type="dxa"/>
            <w:shd w:val="clear" w:color="auto" w:fill="auto"/>
            <w:noWrap/>
            <w:vAlign w:val="center"/>
            <w:hideMark/>
          </w:tcPr>
          <w:p w14:paraId="33AC7C5D"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2000</w:t>
            </w:r>
          </w:p>
        </w:tc>
        <w:tc>
          <w:tcPr>
            <w:tcW w:w="2480" w:type="dxa"/>
            <w:shd w:val="clear" w:color="auto" w:fill="auto"/>
            <w:noWrap/>
            <w:vAlign w:val="center"/>
            <w:hideMark/>
          </w:tcPr>
          <w:p w14:paraId="7B2BDC24"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w:t>
            </w:r>
          </w:p>
        </w:tc>
      </w:tr>
      <w:tr w:rsidR="007F4BE3" w:rsidRPr="00F975F0" w14:paraId="0500B152" w14:textId="77777777" w:rsidTr="00C9419B">
        <w:trPr>
          <w:trHeight w:val="300"/>
        </w:trPr>
        <w:tc>
          <w:tcPr>
            <w:tcW w:w="960" w:type="dxa"/>
            <w:shd w:val="clear" w:color="auto" w:fill="auto"/>
            <w:noWrap/>
            <w:vAlign w:val="center"/>
            <w:hideMark/>
          </w:tcPr>
          <w:p w14:paraId="6444640F"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2006</w:t>
            </w:r>
          </w:p>
        </w:tc>
        <w:tc>
          <w:tcPr>
            <w:tcW w:w="2480" w:type="dxa"/>
            <w:shd w:val="clear" w:color="auto" w:fill="auto"/>
            <w:noWrap/>
            <w:vAlign w:val="center"/>
            <w:hideMark/>
          </w:tcPr>
          <w:p w14:paraId="2EBF893D"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362F1AC0" w14:textId="77777777" w:rsidTr="00C9419B">
        <w:trPr>
          <w:trHeight w:val="300"/>
        </w:trPr>
        <w:tc>
          <w:tcPr>
            <w:tcW w:w="960" w:type="dxa"/>
            <w:shd w:val="clear" w:color="auto" w:fill="auto"/>
            <w:noWrap/>
            <w:vAlign w:val="center"/>
            <w:hideMark/>
          </w:tcPr>
          <w:p w14:paraId="069F4732"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2011</w:t>
            </w:r>
          </w:p>
        </w:tc>
        <w:tc>
          <w:tcPr>
            <w:tcW w:w="2480" w:type="dxa"/>
            <w:shd w:val="clear" w:color="auto" w:fill="auto"/>
            <w:noWrap/>
            <w:vAlign w:val="center"/>
            <w:hideMark/>
          </w:tcPr>
          <w:p w14:paraId="277B09AE"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r w:rsidR="007F4BE3" w:rsidRPr="00F975F0" w14:paraId="1F34EECC" w14:textId="77777777" w:rsidTr="00C9419B">
        <w:trPr>
          <w:trHeight w:val="300"/>
        </w:trPr>
        <w:tc>
          <w:tcPr>
            <w:tcW w:w="960" w:type="dxa"/>
            <w:shd w:val="clear" w:color="auto" w:fill="auto"/>
            <w:noWrap/>
            <w:vAlign w:val="center"/>
            <w:hideMark/>
          </w:tcPr>
          <w:p w14:paraId="4821F69D"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2015</w:t>
            </w:r>
          </w:p>
        </w:tc>
        <w:tc>
          <w:tcPr>
            <w:tcW w:w="2480" w:type="dxa"/>
            <w:shd w:val="clear" w:color="auto" w:fill="auto"/>
            <w:noWrap/>
            <w:vAlign w:val="center"/>
            <w:hideMark/>
          </w:tcPr>
          <w:p w14:paraId="59FECE15" w14:textId="77777777" w:rsidR="007F4BE3" w:rsidRPr="00F975F0" w:rsidRDefault="007F4BE3" w:rsidP="00C9419B">
            <w:pPr>
              <w:spacing w:before="120"/>
              <w:jc w:val="center"/>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Hau'ula, Punalu'u, Makali'i</w:t>
            </w:r>
          </w:p>
        </w:tc>
      </w:tr>
    </w:tbl>
    <w:p w14:paraId="4CB9C28E" w14:textId="77777777" w:rsidR="007F4BE3" w:rsidRPr="00F975F0" w:rsidRDefault="007F4BE3" w:rsidP="007F4BE3">
      <w:pPr>
        <w:pStyle w:val="Normal1"/>
        <w:spacing w:before="120"/>
        <w:jc w:val="both"/>
        <w:outlineLvl w:val="0"/>
        <w:rPr>
          <w:rFonts w:ascii="Times" w:eastAsia="Times New Roman" w:hAnsi="Times" w:cs="Times New Roman"/>
          <w:sz w:val="20"/>
          <w:szCs w:val="20"/>
        </w:rPr>
      </w:pPr>
    </w:p>
    <w:p w14:paraId="0D698F24"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High resolution (0.5 meter pixel) photographs were orthorectified and mosaicked in PCI Geomatics, Inc., Geomatica Orthoengine software (</w:t>
      </w:r>
      <w:hyperlink r:id="rId7">
        <w:r w:rsidRPr="00F975F0">
          <w:rPr>
            <w:rFonts w:ascii="Times" w:eastAsia="Times New Roman" w:hAnsi="Times" w:cs="Times New Roman"/>
            <w:sz w:val="20"/>
            <w:szCs w:val="20"/>
          </w:rPr>
          <w:t>http://www.pcigeomatics.com/</w:t>
        </w:r>
      </w:hyperlink>
      <w:r w:rsidRPr="00F975F0">
        <w:rPr>
          <w:rFonts w:ascii="Times" w:eastAsia="Times New Roman" w:hAnsi="Times" w:cs="Times New Roman"/>
          <w:sz w:val="20"/>
          <w:szCs w:val="20"/>
        </w:rPr>
        <w:t xml:space="preserve">), following methods in Fletcher </w:t>
      </w:r>
      <w:r w:rsidRPr="00F975F0">
        <w:rPr>
          <w:rFonts w:ascii="Times" w:eastAsia="Times New Roman" w:hAnsi="Times" w:cs="Times New Roman"/>
          <w:i/>
          <w:sz w:val="20"/>
          <w:szCs w:val="20"/>
        </w:rPr>
        <w:t>et al.</w:t>
      </w:r>
      <w:r w:rsidRPr="00F975F0">
        <w:rPr>
          <w:rFonts w:ascii="Times" w:eastAsia="Times New Roman" w:hAnsi="Times" w:cs="Times New Roman"/>
          <w:sz w:val="20"/>
          <w:szCs w:val="20"/>
        </w:rPr>
        <w:t xml:space="preserve"> (2003, 2012) and Romine </w:t>
      </w:r>
      <w:r w:rsidRPr="00F975F0">
        <w:rPr>
          <w:rFonts w:ascii="Times" w:eastAsia="Times New Roman" w:hAnsi="Times" w:cs="Times New Roman"/>
          <w:i/>
          <w:sz w:val="20"/>
          <w:szCs w:val="20"/>
        </w:rPr>
        <w:t>et al.</w:t>
      </w:r>
      <w:r w:rsidRPr="00F975F0">
        <w:rPr>
          <w:rFonts w:ascii="Times" w:eastAsia="Times New Roman" w:hAnsi="Times" w:cs="Times New Roman"/>
          <w:sz w:val="20"/>
          <w:szCs w:val="20"/>
        </w:rPr>
        <w:t xml:space="preserve"> (2009). To analyze beach width, two features were digitized: the low water mark (LWM) and the vegetation line. The LWM, also referred to the beach toe, is the base of the foreshore that is identified in imagery by various indicators including the seaward-most return position of wave swash, distinct tonal and contrast changes, and dissimilar bottom cover characteristics. The vegetation line is the seaward extent of vegetation growth or the base of a seawall or revetment. The position of these proxies is recorded at evenly spaced (20 meter) transects along the coast.  </w:t>
      </w:r>
    </w:p>
    <w:p w14:paraId="25A50B7B" w14:textId="77777777" w:rsidR="007F4BE3" w:rsidRPr="00F975F0" w:rsidRDefault="007F4BE3" w:rsidP="007F4BE3">
      <w:pPr>
        <w:pStyle w:val="Normal1"/>
        <w:spacing w:before="120"/>
        <w:jc w:val="both"/>
        <w:rPr>
          <w:rFonts w:ascii="Times" w:eastAsia="Times New Roman" w:hAnsi="Times" w:cs="Times New Roman"/>
          <w:sz w:val="20"/>
          <w:szCs w:val="20"/>
          <w:highlight w:val="yellow"/>
        </w:rPr>
      </w:pPr>
      <w:r w:rsidRPr="00F975F0">
        <w:rPr>
          <w:rFonts w:ascii="Times" w:eastAsia="Times New Roman" w:hAnsi="Times" w:cs="Times New Roman"/>
          <w:sz w:val="20"/>
          <w:szCs w:val="20"/>
        </w:rPr>
        <w:t xml:space="preserve">Beach width is calculated at each transect as the distance between the LWM and vegetation line. These values were averaged in the alongshore direction to obtain an average beach width by year. Beach width is also used to calculate the percentage of beach permanently lost to erosion.  Transects with a beach width of zero for consecutive years, for which data is available, were identified as experiencing permanent beach loss.  The number of transects with permanent beach loss was divided by the total number of transects in the study area to obtain the percentage of beach loss over the period of study. </w:t>
      </w:r>
    </w:p>
    <w:p w14:paraId="47B63863"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 xml:space="preserve">At each and every transect in the study area, shoreline change rates were calculated from 1928 to each successive year </w:t>
      </w:r>
      <w:r w:rsidRPr="00F975F0">
        <w:rPr>
          <w:rFonts w:ascii="Times" w:eastAsia="Times New Roman" w:hAnsi="Times" w:cs="Times New Roman"/>
          <w:sz w:val="20"/>
          <w:szCs w:val="20"/>
        </w:rPr>
        <w:lastRenderedPageBreak/>
        <w:t xml:space="preserve">(1928–1967, 1928–1971, 1928–1975, etc.)  </w:t>
      </w:r>
      <w:r w:rsidRPr="00F975F0">
        <w:rPr>
          <w:rFonts w:ascii="Times" w:eastAsia="Times New Roman" w:hAnsi="Times" w:cs="Times New Roman"/>
          <w:sz w:val="20"/>
          <w:szCs w:val="20"/>
          <w:shd w:val="clear" w:color="auto" w:fill="FFFFFF"/>
        </w:rPr>
        <w:t xml:space="preserve">To detect differences in recent shoreline trends compared to earlier trends, and the overall time series, we also generated historical shoreline change rates from 1975 to 2015.  </w:t>
      </w:r>
      <w:r w:rsidRPr="00F975F0">
        <w:rPr>
          <w:rFonts w:ascii="Times" w:eastAsia="Times New Roman" w:hAnsi="Times" w:cs="Times New Roman"/>
          <w:sz w:val="20"/>
          <w:szCs w:val="20"/>
        </w:rPr>
        <w:t>Shoreline change rates along portions of the shoreline were averaged to characterize trends in beach stability (accreting - positive value; erosional - negative value).  By counting the number of eroding transects and dividing by the total number of transects, the percentage eroding shoreline by year is defined.</w:t>
      </w:r>
    </w:p>
    <w:p w14:paraId="349E0B7A"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 xml:space="preserve">We recorded the existence of development (roads, buildings) and the occurrence of shoreline hardening in each photomosaic over the period 1928 to 2015.  Tax map key (TMK) geographic information system (GIS) data was obtained from the State of Hawaiʻi Office of Planning and was utilized to record number of dwellings within a TMK parcel.  GIS data describing the built environment was obtained from the C&amp;C of Honolulu and used to digitize buildings and roads for all years.  In this study, ‘building’ includes both commercial and noncommercial units.  </w:t>
      </w:r>
    </w:p>
    <w:p w14:paraId="2E2B152C"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The length of shoreline hardening was identified in each photomosaic.  In this study, hardening is defined as a physical structure, such as a revetment or a seawall, which was constructed to protect the coastal upland from erosion.  Whether a seawall fronted a transect was determined by visual inspection. Once seawalls were identified, their total length was calculated by summing the number of transects fronted by a seawall and multiplying this number by the transect spacing, 20 meters.</w:t>
      </w:r>
    </w:p>
    <w:p w14:paraId="45D80842"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 xml:space="preserve">Individual buildings were digitized and categorized by type using ArcGIS. Building polygon vectors obtained from public databases were adjusted to accurately represent individual coastal buildings for each historical photomosaic. The total number of coastal buildings was counted by year. </w:t>
      </w:r>
    </w:p>
    <w:p w14:paraId="0BC1AC90"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 xml:space="preserve">The final GIS dataset includes the following: 1) vegetation line and LWM vectors from each year of photography, 2) beach width, 3) rates of shoreline change beginning with the period 1928-1967 and additional rates calculated sequentially with the addition of subsequent years, 4) locations and length of hardened shoreline, 5) individual buildings, and 6) shoreline geomorphology.  Imagery from 1985, 1993, and 2011 are not accompanied with measured shoreline position vectors. However, numbers of buildings and length of hardening was identified to better characterize the progression of land use throughout the time series.   </w:t>
      </w:r>
    </w:p>
    <w:p w14:paraId="2005C8F6"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 xml:space="preserve">Positional and measurement uncertainties were quantified following Fletcher </w:t>
      </w:r>
      <w:r w:rsidRPr="00F975F0">
        <w:rPr>
          <w:rFonts w:ascii="Times" w:eastAsia="Times New Roman" w:hAnsi="Times" w:cs="Times New Roman"/>
          <w:i/>
          <w:sz w:val="20"/>
          <w:szCs w:val="20"/>
        </w:rPr>
        <w:t>et al.</w:t>
      </w:r>
      <w:r w:rsidRPr="00F975F0">
        <w:rPr>
          <w:rFonts w:ascii="Times" w:eastAsia="Times New Roman" w:hAnsi="Times" w:cs="Times New Roman"/>
          <w:sz w:val="20"/>
          <w:szCs w:val="20"/>
        </w:rPr>
        <w:t xml:space="preserve"> (2003), Romine </w:t>
      </w:r>
      <w:r w:rsidRPr="00F975F0">
        <w:rPr>
          <w:rFonts w:ascii="Times" w:eastAsia="Times New Roman" w:hAnsi="Times" w:cs="Times New Roman"/>
          <w:i/>
          <w:sz w:val="20"/>
          <w:szCs w:val="20"/>
        </w:rPr>
        <w:t>et al.</w:t>
      </w:r>
      <w:r w:rsidRPr="00F975F0">
        <w:rPr>
          <w:rFonts w:ascii="Times" w:eastAsia="Times New Roman" w:hAnsi="Times" w:cs="Times New Roman"/>
          <w:sz w:val="20"/>
          <w:szCs w:val="20"/>
        </w:rPr>
        <w:t xml:space="preserve"> (2009), Fletcher </w:t>
      </w:r>
      <w:r w:rsidRPr="00F975F0">
        <w:rPr>
          <w:rFonts w:ascii="Times" w:eastAsia="Times New Roman" w:hAnsi="Times" w:cs="Times New Roman"/>
          <w:i/>
          <w:sz w:val="20"/>
          <w:szCs w:val="20"/>
        </w:rPr>
        <w:t>et al.</w:t>
      </w:r>
      <w:r w:rsidRPr="00F975F0">
        <w:rPr>
          <w:rFonts w:ascii="Times" w:eastAsia="Times New Roman" w:hAnsi="Times" w:cs="Times New Roman"/>
          <w:sz w:val="20"/>
          <w:szCs w:val="20"/>
        </w:rPr>
        <w:t xml:space="preserve"> (2012), and Romine </w:t>
      </w:r>
      <w:r w:rsidRPr="00F975F0">
        <w:rPr>
          <w:rFonts w:ascii="Times" w:eastAsia="Times New Roman" w:hAnsi="Times" w:cs="Times New Roman"/>
          <w:i/>
          <w:sz w:val="20"/>
          <w:szCs w:val="20"/>
        </w:rPr>
        <w:t>et al.</w:t>
      </w:r>
      <w:r w:rsidRPr="00F975F0">
        <w:rPr>
          <w:rFonts w:ascii="Times" w:eastAsia="Times New Roman" w:hAnsi="Times" w:cs="Times New Roman"/>
          <w:sz w:val="20"/>
          <w:szCs w:val="20"/>
        </w:rPr>
        <w:t xml:space="preserve"> (2013).  </w:t>
      </w:r>
      <w:r w:rsidRPr="00F975F0">
        <w:rPr>
          <w:rFonts w:ascii="Times" w:eastAsia="Times New Roman" w:hAnsi="Times" w:cs="Times New Roman"/>
          <w:sz w:val="20"/>
          <w:szCs w:val="20"/>
          <w:shd w:val="clear" w:color="auto" w:fill="FFFFFF"/>
        </w:rPr>
        <w:t xml:space="preserve">Errors, assumed to be normally distributed (Fletcher </w:t>
      </w:r>
      <w:r w:rsidRPr="00F975F0">
        <w:rPr>
          <w:rFonts w:ascii="Times" w:eastAsia="Times New Roman" w:hAnsi="Times" w:cs="Times New Roman"/>
          <w:i/>
          <w:sz w:val="20"/>
          <w:szCs w:val="20"/>
          <w:shd w:val="clear" w:color="auto" w:fill="FFFFFF"/>
        </w:rPr>
        <w:t>et al.</w:t>
      </w:r>
      <w:r w:rsidRPr="00F975F0">
        <w:rPr>
          <w:rFonts w:ascii="Times" w:eastAsia="Times New Roman" w:hAnsi="Times" w:cs="Times New Roman"/>
          <w:sz w:val="20"/>
          <w:szCs w:val="20"/>
          <w:shd w:val="clear" w:color="auto" w:fill="FFFFFF"/>
        </w:rPr>
        <w:t xml:space="preserve">, 2003), are introduced in documenting the following variables: 1) historical shorelines; 2) upland development; and 3) coastal hardening. </w:t>
      </w:r>
      <w:r w:rsidRPr="00F975F0">
        <w:rPr>
          <w:rFonts w:ascii="Times" w:eastAsia="Times New Roman" w:hAnsi="Times" w:cs="Times New Roman"/>
          <w:sz w:val="20"/>
          <w:szCs w:val="20"/>
        </w:rPr>
        <w:t xml:space="preserve">Positional and measurement uncertainty reduces the accuracy of defining historical shoreline proxies.  Positional uncertainties include errors associated with seasonal shoreline patterns (storms and waves), and tides, which introduce variability to LWM positions unrelated to long-term trends or land-use patterns. Measurement uncertainties include errors associated with the mapping process, including pixel error, orthorectification error, and digitizing error. </w:t>
      </w:r>
    </w:p>
    <w:p w14:paraId="18FB4522" w14:textId="77777777" w:rsidR="007F4BE3" w:rsidRPr="00F975F0" w:rsidRDefault="007F4BE3" w:rsidP="007F4BE3">
      <w:pPr>
        <w:spacing w:before="120"/>
        <w:jc w:val="both"/>
        <w:rPr>
          <w:rFonts w:ascii="Times" w:eastAsia="Times New Roman" w:hAnsi="Times" w:cs="Times New Roman"/>
          <w:sz w:val="20"/>
          <w:szCs w:val="20"/>
        </w:rPr>
      </w:pPr>
      <w:r w:rsidRPr="00F975F0">
        <w:rPr>
          <w:rFonts w:ascii="Times" w:eastAsia="Times New Roman" w:hAnsi="Times" w:cs="Times New Roman"/>
          <w:sz w:val="20"/>
          <w:szCs w:val="20"/>
        </w:rPr>
        <w:t xml:space="preserve">Following methods by Fletcher </w:t>
      </w:r>
      <w:r w:rsidRPr="00F975F0">
        <w:rPr>
          <w:rFonts w:ascii="Times" w:eastAsia="Times New Roman" w:hAnsi="Times" w:cs="Times New Roman"/>
          <w:i/>
          <w:iCs/>
          <w:sz w:val="20"/>
          <w:szCs w:val="20"/>
        </w:rPr>
        <w:t>et al.</w:t>
      </w:r>
      <w:r w:rsidRPr="00F975F0">
        <w:rPr>
          <w:rFonts w:ascii="Times" w:eastAsia="Times New Roman" w:hAnsi="Times" w:cs="Times New Roman"/>
          <w:sz w:val="20"/>
          <w:szCs w:val="20"/>
        </w:rPr>
        <w:t xml:space="preserve"> (2003), Romine </w:t>
      </w:r>
      <w:r w:rsidRPr="00F975F0">
        <w:rPr>
          <w:rFonts w:ascii="Times" w:eastAsia="Times New Roman" w:hAnsi="Times" w:cs="Times New Roman"/>
          <w:i/>
          <w:iCs/>
          <w:sz w:val="20"/>
          <w:szCs w:val="20"/>
        </w:rPr>
        <w:t>et al.</w:t>
      </w:r>
      <w:r w:rsidRPr="00F975F0">
        <w:rPr>
          <w:rFonts w:ascii="Times" w:eastAsia="Times New Roman" w:hAnsi="Times" w:cs="Times New Roman"/>
          <w:sz w:val="20"/>
          <w:szCs w:val="20"/>
        </w:rPr>
        <w:t xml:space="preserve"> (2009), Fletcher </w:t>
      </w:r>
      <w:r w:rsidRPr="00F975F0">
        <w:rPr>
          <w:rFonts w:ascii="Times" w:eastAsia="Times New Roman" w:hAnsi="Times" w:cs="Times New Roman"/>
          <w:i/>
          <w:iCs/>
          <w:sz w:val="20"/>
          <w:szCs w:val="20"/>
        </w:rPr>
        <w:t>et al.</w:t>
      </w:r>
      <w:r w:rsidRPr="00F975F0">
        <w:rPr>
          <w:rFonts w:ascii="Times" w:eastAsia="Times New Roman" w:hAnsi="Times" w:cs="Times New Roman"/>
          <w:sz w:val="20"/>
          <w:szCs w:val="20"/>
        </w:rPr>
        <w:t xml:space="preserve"> (2012), and Romine </w:t>
      </w:r>
      <w:r w:rsidRPr="00F975F0">
        <w:rPr>
          <w:rFonts w:ascii="Times" w:eastAsia="Times New Roman" w:hAnsi="Times" w:cs="Times New Roman"/>
          <w:i/>
          <w:iCs/>
          <w:sz w:val="20"/>
          <w:szCs w:val="20"/>
        </w:rPr>
        <w:t>et al.</w:t>
      </w:r>
      <w:r w:rsidRPr="00F975F0">
        <w:rPr>
          <w:rFonts w:ascii="Times" w:eastAsia="Times New Roman" w:hAnsi="Times" w:cs="Times New Roman"/>
          <w:sz w:val="20"/>
          <w:szCs w:val="20"/>
        </w:rPr>
        <w:t xml:space="preserve"> (2013), five errors were calculated for the LWM: pixel error (</w:t>
      </w:r>
      <w:r w:rsidRPr="00F975F0">
        <w:rPr>
          <w:rFonts w:ascii="Times" w:eastAsia="Times New Roman" w:hAnsi="Times" w:cs="Times New Roman"/>
          <w:i/>
          <w:sz w:val="20"/>
          <w:szCs w:val="20"/>
        </w:rPr>
        <w:t>E</w:t>
      </w:r>
      <w:r w:rsidRPr="00F975F0">
        <w:rPr>
          <w:rFonts w:ascii="Times" w:eastAsia="Times New Roman" w:hAnsi="Times" w:cs="Times New Roman"/>
          <w:i/>
          <w:sz w:val="20"/>
          <w:szCs w:val="20"/>
          <w:vertAlign w:val="subscript"/>
        </w:rPr>
        <w:t>p</w:t>
      </w:r>
      <w:r w:rsidRPr="00F975F0">
        <w:rPr>
          <w:rFonts w:ascii="Times" w:eastAsia="Times New Roman" w:hAnsi="Times" w:cs="Times New Roman"/>
          <w:sz w:val="20"/>
          <w:szCs w:val="20"/>
        </w:rPr>
        <w:t>, pixel size limitations), rectification error (</w:t>
      </w:r>
      <w:proofErr w:type="spellStart"/>
      <w:r w:rsidRPr="00F975F0">
        <w:rPr>
          <w:rFonts w:ascii="Times" w:eastAsia="Times New Roman" w:hAnsi="Times" w:cs="Times New Roman"/>
          <w:i/>
          <w:sz w:val="20"/>
          <w:szCs w:val="20"/>
        </w:rPr>
        <w:t>E</w:t>
      </w:r>
      <w:r w:rsidRPr="00F975F0">
        <w:rPr>
          <w:rFonts w:ascii="Times" w:eastAsia="Times New Roman" w:hAnsi="Times" w:cs="Times New Roman"/>
          <w:i/>
          <w:sz w:val="20"/>
          <w:szCs w:val="20"/>
          <w:vertAlign w:val="subscript"/>
        </w:rPr>
        <w:t>r</w:t>
      </w:r>
      <w:proofErr w:type="spellEnd"/>
      <w:r w:rsidRPr="00F975F0">
        <w:rPr>
          <w:rFonts w:ascii="Times" w:eastAsia="Times New Roman" w:hAnsi="Times" w:cs="Times New Roman"/>
          <w:sz w:val="20"/>
          <w:szCs w:val="20"/>
        </w:rPr>
        <w:t>, RMS error), digitizing error (</w:t>
      </w:r>
      <w:r w:rsidRPr="00F975F0">
        <w:rPr>
          <w:rFonts w:ascii="Times" w:eastAsia="Times New Roman" w:hAnsi="Times" w:cs="Times New Roman"/>
          <w:i/>
          <w:sz w:val="20"/>
          <w:szCs w:val="20"/>
        </w:rPr>
        <w:t>E</w:t>
      </w:r>
      <w:r w:rsidRPr="00F975F0">
        <w:rPr>
          <w:rFonts w:ascii="Times" w:eastAsia="Times New Roman" w:hAnsi="Times" w:cs="Times New Roman"/>
          <w:i/>
          <w:sz w:val="20"/>
          <w:szCs w:val="20"/>
          <w:vertAlign w:val="subscript"/>
        </w:rPr>
        <w:t>d</w:t>
      </w:r>
      <w:r w:rsidRPr="00F975F0">
        <w:rPr>
          <w:rFonts w:ascii="Times" w:eastAsia="Times New Roman" w:hAnsi="Times" w:cs="Times New Roman"/>
          <w:sz w:val="20"/>
          <w:szCs w:val="20"/>
        </w:rPr>
        <w:t>, digitizing the shoreline), tidal fluctuation error (</w:t>
      </w:r>
      <w:r w:rsidRPr="00F975F0">
        <w:rPr>
          <w:rFonts w:ascii="Times" w:eastAsia="Times New Roman" w:hAnsi="Times" w:cs="Times New Roman"/>
          <w:i/>
          <w:sz w:val="20"/>
          <w:szCs w:val="20"/>
        </w:rPr>
        <w:t>E</w:t>
      </w:r>
      <w:r w:rsidRPr="00F975F0">
        <w:rPr>
          <w:rFonts w:ascii="Times" w:eastAsia="Times New Roman" w:hAnsi="Times" w:cs="Times New Roman"/>
          <w:i/>
          <w:sz w:val="20"/>
          <w:szCs w:val="20"/>
          <w:vertAlign w:val="subscript"/>
        </w:rPr>
        <w:t>td</w:t>
      </w:r>
      <w:r w:rsidRPr="00F975F0">
        <w:rPr>
          <w:rFonts w:ascii="Times" w:eastAsia="Times New Roman" w:hAnsi="Times" w:cs="Times New Roman"/>
          <w:sz w:val="20"/>
          <w:szCs w:val="20"/>
        </w:rPr>
        <w:t>, horizontal movement due to vertical tides), and seasonal error (</w:t>
      </w:r>
      <w:r w:rsidRPr="00F975F0">
        <w:rPr>
          <w:rFonts w:ascii="Times" w:eastAsia="Times New Roman" w:hAnsi="Times" w:cs="Times New Roman"/>
          <w:i/>
          <w:sz w:val="20"/>
          <w:szCs w:val="20"/>
        </w:rPr>
        <w:t>E</w:t>
      </w:r>
      <w:r w:rsidRPr="00F975F0">
        <w:rPr>
          <w:rFonts w:ascii="Times" w:eastAsia="Times New Roman" w:hAnsi="Times" w:cs="Times New Roman"/>
          <w:i/>
          <w:sz w:val="20"/>
          <w:szCs w:val="20"/>
          <w:vertAlign w:val="subscript"/>
        </w:rPr>
        <w:t>s</w:t>
      </w:r>
      <w:r w:rsidRPr="00F975F0">
        <w:rPr>
          <w:rFonts w:ascii="Times" w:eastAsia="Times New Roman" w:hAnsi="Times" w:cs="Times New Roman"/>
          <w:sz w:val="20"/>
          <w:szCs w:val="20"/>
        </w:rPr>
        <w:t>, waves and storm influence on the position of the LWM). These errors are joined as a root sum of squares, total positional error (</w:t>
      </w:r>
      <w:r w:rsidRPr="00F975F0">
        <w:rPr>
          <w:rFonts w:ascii="Times" w:eastAsia="Times New Roman" w:hAnsi="Times" w:cs="Times New Roman"/>
          <w:i/>
          <w:sz w:val="20"/>
          <w:szCs w:val="20"/>
        </w:rPr>
        <w:t>E</w:t>
      </w:r>
      <w:r w:rsidRPr="00F975F0">
        <w:rPr>
          <w:rFonts w:ascii="Times" w:eastAsia="Times New Roman" w:hAnsi="Times" w:cs="Times New Roman"/>
          <w:i/>
          <w:sz w:val="20"/>
          <w:szCs w:val="20"/>
          <w:vertAlign w:val="subscript"/>
        </w:rPr>
        <w:t>tp</w:t>
      </w:r>
      <w:r w:rsidRPr="00F975F0">
        <w:rPr>
          <w:rFonts w:ascii="Times" w:eastAsia="Times New Roman" w:hAnsi="Times" w:cs="Times New Roman"/>
          <w:sz w:val="20"/>
          <w:szCs w:val="20"/>
        </w:rPr>
        <w:t>). Vegetation line errors are calculated using a similar process as the LWM.  However, because the vegetation line is not affected by short-term variations, E</w:t>
      </w:r>
      <w:r w:rsidRPr="00F975F0">
        <w:rPr>
          <w:rFonts w:ascii="Times" w:eastAsia="Times New Roman" w:hAnsi="Times" w:cs="Times New Roman"/>
          <w:sz w:val="20"/>
          <w:szCs w:val="20"/>
          <w:vertAlign w:val="subscript"/>
        </w:rPr>
        <w:t>s</w:t>
      </w:r>
      <w:r w:rsidRPr="00F975F0">
        <w:rPr>
          <w:rFonts w:ascii="Times" w:eastAsia="Times New Roman" w:hAnsi="Times" w:cs="Times New Roman"/>
          <w:sz w:val="20"/>
          <w:szCs w:val="20"/>
        </w:rPr>
        <w:t xml:space="preserve"> and E</w:t>
      </w:r>
      <w:r w:rsidRPr="00F975F0">
        <w:rPr>
          <w:rFonts w:ascii="Times" w:eastAsia="Times New Roman" w:hAnsi="Times" w:cs="Times New Roman"/>
          <w:sz w:val="20"/>
          <w:szCs w:val="20"/>
          <w:vertAlign w:val="subscript"/>
        </w:rPr>
        <w:t>td</w:t>
      </w:r>
      <w:r w:rsidRPr="00F975F0">
        <w:rPr>
          <w:rFonts w:ascii="Times" w:eastAsia="Times New Roman" w:hAnsi="Times" w:cs="Times New Roman"/>
          <w:sz w:val="20"/>
          <w:szCs w:val="20"/>
        </w:rPr>
        <w:t xml:space="preserve"> are not included in the total positional uncertainty calculation. </w:t>
      </w:r>
      <w:r w:rsidRPr="00F975F0">
        <w:rPr>
          <w:rFonts w:ascii="Times" w:eastAsia="Times New Roman" w:hAnsi="Times" w:cs="Times New Roman"/>
          <w:sz w:val="20"/>
          <w:szCs w:val="20"/>
          <w:shd w:val="clear" w:color="auto" w:fill="FFFFFF"/>
        </w:rPr>
        <w:t>Shoreline position vectors were acquired for ten photomosaics. The scarcity of historical imagery means that calculated shoreline change rates typically have high uncertainty values. This is an intrinsic characteristic of a sparse data time series.</w:t>
      </w:r>
    </w:p>
    <w:p w14:paraId="7A97F2EE" w14:textId="77777777" w:rsidR="007F4BE3" w:rsidRPr="00F975F0" w:rsidRDefault="007F4BE3" w:rsidP="007F4BE3">
      <w:pPr>
        <w:spacing w:before="120"/>
        <w:jc w:val="both"/>
        <w:rPr>
          <w:rFonts w:ascii="Times" w:eastAsia="Times New Roman" w:hAnsi="Times" w:cs="Times New Roman"/>
          <w:sz w:val="20"/>
          <w:szCs w:val="20"/>
          <w:shd w:val="clear" w:color="auto" w:fill="FFFFFF"/>
        </w:rPr>
      </w:pPr>
      <w:r w:rsidRPr="00F975F0">
        <w:rPr>
          <w:rFonts w:ascii="Times" w:eastAsia="Times New Roman" w:hAnsi="Times" w:cs="Times New Roman"/>
          <w:sz w:val="20"/>
          <w:szCs w:val="20"/>
          <w:shd w:val="clear" w:color="auto" w:fill="FFFFFF"/>
        </w:rPr>
        <w:t xml:space="preserve">Recording the number of individual buildings and the length of coastal hardening along the shoreline is limited to feature identification errors associated with quality and resolution of the imagery. The quality of imagery decreases historically and it becomes increasingly difficult to identify coastal hardening in older photomosaics.  From 1928 to 1988 photomosaics are black and white, making it more difficult to identify features compared to modern colored mosaics.  In addition, overhanging vegetation and the presence of buildings and their shadows can make it difficult to clearly identify seawalls and revetments. </w:t>
      </w:r>
    </w:p>
    <w:p w14:paraId="324F7C8A" w14:textId="77777777" w:rsidR="007F4BE3" w:rsidRPr="00F975F0" w:rsidRDefault="007F4BE3" w:rsidP="007F4BE3">
      <w:pPr>
        <w:spacing w:before="120"/>
        <w:rPr>
          <w:rFonts w:ascii="Times" w:hAnsi="Times" w:cs="Times New Roman"/>
          <w:sz w:val="20"/>
          <w:szCs w:val="20"/>
        </w:rPr>
      </w:pPr>
      <w:r w:rsidRPr="00F975F0">
        <w:rPr>
          <w:rFonts w:ascii="Times" w:hAnsi="Times" w:cs="Times New Roman"/>
          <w:sz w:val="20"/>
          <w:szCs w:val="20"/>
        </w:rPr>
        <w:t xml:space="preserve">Beaches respond to atmospheric and oceanic forcing.  For instance, high water levels and swells cause rapid shoreline retreat.  High energy waves transport sand offshore and form sandbars that migrate back onshore as forcing wanes (Wright and Short, 1983).  However, full shoreline recovery may require several days to a few weeks during which time new wave forcing may arise. Thus, beaches are often in a state of quasi-equilibrium because the </w:t>
      </w:r>
      <w:r w:rsidRPr="00F975F0">
        <w:rPr>
          <w:rFonts w:ascii="Times" w:hAnsi="Times" w:cs="Times New Roman"/>
          <w:sz w:val="20"/>
          <w:szCs w:val="20"/>
        </w:rPr>
        <w:lastRenderedPageBreak/>
        <w:t>time-scales of forcing and recovery may overlap. This morphodynamic variability controls shoreline position and thus is a source of uncertainty in our photogrammetric time series.</w:t>
      </w:r>
    </w:p>
    <w:p w14:paraId="2E697926" w14:textId="77777777" w:rsidR="007F4BE3" w:rsidRPr="00F975F0" w:rsidRDefault="007F4BE3" w:rsidP="007F4BE3">
      <w:pPr>
        <w:spacing w:before="120"/>
        <w:rPr>
          <w:rFonts w:ascii="Times" w:hAnsi="Times" w:cs="Times New Roman"/>
          <w:sz w:val="20"/>
          <w:szCs w:val="20"/>
        </w:rPr>
      </w:pPr>
      <w:r w:rsidRPr="00F975F0">
        <w:rPr>
          <w:rFonts w:ascii="Times" w:hAnsi="Times" w:cs="Times New Roman"/>
          <w:sz w:val="20"/>
          <w:szCs w:val="20"/>
        </w:rPr>
        <w:t>Water level and wave data are available for a portion of the study period (</w:t>
      </w:r>
      <w:r w:rsidRPr="00F975F0">
        <w:rPr>
          <w:rFonts w:ascii="Times" w:hAnsi="Times" w:cs="Times New Roman"/>
          <w:b/>
          <w:bCs/>
          <w:sz w:val="20"/>
          <w:szCs w:val="20"/>
        </w:rPr>
        <w:t>Table SI3</w:t>
      </w:r>
      <w:r w:rsidRPr="00F975F0">
        <w:rPr>
          <w:rFonts w:ascii="Times" w:hAnsi="Times" w:cs="Times New Roman"/>
          <w:sz w:val="20"/>
          <w:szCs w:val="20"/>
        </w:rPr>
        <w:t xml:space="preserve">).  Water levels are available on </w:t>
      </w:r>
      <w:r w:rsidRPr="00F975F0">
        <w:rPr>
          <w:rFonts w:ascii="Times" w:hAnsi="Times" w:cs="Times New Roman"/>
          <w:color w:val="000000"/>
          <w:sz w:val="20"/>
          <w:szCs w:val="20"/>
        </w:rPr>
        <w:t>Oʻahu</w:t>
      </w:r>
      <w:r w:rsidRPr="00F975F0">
        <w:rPr>
          <w:rFonts w:ascii="Times" w:hAnsi="Times" w:cs="Times New Roman"/>
          <w:sz w:val="20"/>
          <w:szCs w:val="20"/>
        </w:rPr>
        <w:t xml:space="preserve"> from the Honolulu and Mokuoloe tide gauges which are maintained by the University of Hawai</w:t>
      </w:r>
      <w:r w:rsidRPr="00F975F0">
        <w:rPr>
          <w:rFonts w:ascii="Times" w:hAnsi="Times" w:cs="Times New Roman"/>
          <w:color w:val="000000"/>
          <w:sz w:val="20"/>
          <w:szCs w:val="20"/>
        </w:rPr>
        <w:t>ʻ</w:t>
      </w:r>
      <w:r w:rsidRPr="00F975F0">
        <w:rPr>
          <w:rFonts w:ascii="Times" w:hAnsi="Times" w:cs="Times New Roman"/>
          <w:sz w:val="20"/>
          <w:szCs w:val="20"/>
        </w:rPr>
        <w:t xml:space="preserve">i Sea Level Center under agreement with the National Oceanic and Atmospheric Administration, Co-Ops program. Hourly water level data for Honolulu spans 1905 to 2014 and for Mokuoloe, 1957 to 2014. Wave data are available from three sources: wave buoys at Makapuu Point (1981 to 1996) and Kaneohe Bay (2012 to present), and as NOAA WaveWatch III (WW3) model output (1997 to 2015). </w:t>
      </w:r>
    </w:p>
    <w:p w14:paraId="1F59776E" w14:textId="77777777" w:rsidR="007F4BE3" w:rsidRPr="00F975F0" w:rsidRDefault="007F4BE3" w:rsidP="007F4BE3">
      <w:pPr>
        <w:pStyle w:val="Normal1"/>
        <w:spacing w:before="120"/>
        <w:jc w:val="both"/>
        <w:rPr>
          <w:rFonts w:ascii="Times" w:eastAsia="Times New Roman" w:hAnsi="Times" w:cs="Times New Roman"/>
          <w:sz w:val="20"/>
          <w:szCs w:val="20"/>
        </w:rPr>
      </w:pPr>
      <w:r w:rsidRPr="00F975F0">
        <w:rPr>
          <w:rFonts w:ascii="Times" w:hAnsi="Times" w:cs="Times New Roman"/>
          <w:sz w:val="20"/>
          <w:szCs w:val="20"/>
        </w:rPr>
        <w:t>We use these wave and water level data to investigate interannual variability and extreme events from 1981 to 2015. The top 2% of water level values, and wave heights 4 m or higher, provide a history of extreme atmospheric and oceanic forcing in the study area.</w:t>
      </w:r>
    </w:p>
    <w:p w14:paraId="46477B85" w14:textId="6D6437EA" w:rsidR="007F4BE3" w:rsidRPr="00F975F0" w:rsidRDefault="007F4BE3" w:rsidP="007F4BE3">
      <w:pPr>
        <w:spacing w:before="120"/>
        <w:rPr>
          <w:rFonts w:ascii="Times" w:hAnsi="Times" w:cs="Times New Roman"/>
          <w:sz w:val="20"/>
          <w:szCs w:val="20"/>
        </w:rPr>
      </w:pPr>
      <w:r w:rsidRPr="00F975F0">
        <w:rPr>
          <w:rFonts w:ascii="Times" w:hAnsi="Times" w:cs="Times New Roman"/>
          <w:sz w:val="20"/>
          <w:szCs w:val="20"/>
        </w:rPr>
        <w:t>Extreme water levels and wave heights correlate with seasonal and inter-annual variation.  Throughout the time series (</w:t>
      </w:r>
      <w:r w:rsidRPr="00F975F0">
        <w:rPr>
          <w:rFonts w:ascii="Times" w:hAnsi="Times" w:cs="Times New Roman"/>
          <w:b/>
          <w:sz w:val="20"/>
          <w:szCs w:val="20"/>
        </w:rPr>
        <w:t>Fig. SI</w:t>
      </w:r>
      <w:r w:rsidR="004439BA">
        <w:rPr>
          <w:rFonts w:ascii="Times" w:hAnsi="Times" w:cs="Times New Roman"/>
          <w:b/>
          <w:sz w:val="20"/>
          <w:szCs w:val="20"/>
        </w:rPr>
        <w:t>1</w:t>
      </w:r>
      <w:r w:rsidRPr="00F975F0">
        <w:rPr>
          <w:rFonts w:ascii="Times" w:hAnsi="Times" w:cs="Times New Roman"/>
          <w:sz w:val="20"/>
          <w:szCs w:val="20"/>
        </w:rPr>
        <w:t xml:space="preserve">) extreme water levels and swell events were more likely to occur in winter (November to March), during El-Nino years (‘57-‘58, ‘65-‘66, ‘72-‘73, ‘87-‘88, ‘97-98, ‘02-‘03; NOAA, </w:t>
      </w:r>
      <w:r w:rsidRPr="00F975F0">
        <w:rPr>
          <w:rFonts w:ascii="Times" w:hAnsi="Times" w:cs="Times New Roman"/>
          <w:iCs/>
          <w:sz w:val="20"/>
          <w:szCs w:val="20"/>
        </w:rPr>
        <w:t>2017</w:t>
      </w:r>
      <w:r w:rsidRPr="00F975F0">
        <w:rPr>
          <w:rFonts w:ascii="Times" w:hAnsi="Times" w:cs="Times New Roman"/>
          <w:sz w:val="20"/>
          <w:szCs w:val="20"/>
        </w:rPr>
        <w:t>), and during summer solstice tides (May-July). Although there are more extreme water level and swell events during El-Nino years, the number of extreme events does not necessarily correlate to the intensities of the El Niños.  For instance, according to NOAA’s Multivariate ENSO Index (MEI) the ‘97-‘98 El-Nino is considered a ‘Very Strong’ event.  In comparison, the ‘02-‘03 El-Nino is considered a ‘Moderate’ event.  Despite this, the number of extreme water level and high swell days that occurred five years prior to the 2006 mosaic was much greater than the number of extreme events that occurred five years prior to the 2000 mosaic. This collection of extreme water levels and wave events are used in the case studies that follow.</w:t>
      </w:r>
    </w:p>
    <w:p w14:paraId="3F5A7EE0" w14:textId="77777777" w:rsidR="007F4BE3" w:rsidRPr="00F975F0" w:rsidRDefault="007F4BE3" w:rsidP="007F4BE3">
      <w:pPr>
        <w:spacing w:before="120"/>
        <w:jc w:val="both"/>
        <w:rPr>
          <w:rFonts w:ascii="Times" w:hAnsi="Times" w:cs="Times New Roman"/>
          <w:sz w:val="20"/>
          <w:szCs w:val="20"/>
        </w:rPr>
      </w:pPr>
    </w:p>
    <w:p w14:paraId="0DC21DE3" w14:textId="542C4B76" w:rsidR="007F4BE3" w:rsidRPr="00F975F0" w:rsidRDefault="007F4BE3" w:rsidP="007F4BE3">
      <w:pPr>
        <w:spacing w:before="120"/>
        <w:jc w:val="both"/>
        <w:rPr>
          <w:rFonts w:ascii="Times" w:eastAsia="Times New Roman" w:hAnsi="Times" w:cs="Times New Roman"/>
          <w:sz w:val="20"/>
          <w:szCs w:val="20"/>
          <w:shd w:val="clear" w:color="auto" w:fill="FFFFFF"/>
        </w:rPr>
      </w:pPr>
      <w:r w:rsidRPr="00F975F0">
        <w:rPr>
          <w:rFonts w:ascii="Times" w:eastAsia="Times New Roman" w:hAnsi="Times" w:cs="Times New Roman"/>
          <w:b/>
          <w:sz w:val="20"/>
          <w:szCs w:val="20"/>
          <w:shd w:val="clear" w:color="auto" w:fill="FFFFFF"/>
        </w:rPr>
        <w:t>Table SI</w:t>
      </w:r>
      <w:r w:rsidR="004439BA">
        <w:rPr>
          <w:rFonts w:ascii="Times" w:eastAsia="Times New Roman" w:hAnsi="Times" w:cs="Times New Roman"/>
          <w:b/>
          <w:sz w:val="20"/>
          <w:szCs w:val="20"/>
          <w:shd w:val="clear" w:color="auto" w:fill="FFFFFF"/>
        </w:rPr>
        <w:t>3</w:t>
      </w:r>
      <w:r w:rsidRPr="00F975F0">
        <w:rPr>
          <w:rFonts w:ascii="Times" w:eastAsia="Times New Roman" w:hAnsi="Times" w:cs="Times New Roman"/>
          <w:sz w:val="20"/>
          <w:szCs w:val="20"/>
          <w:shd w:val="clear" w:color="auto" w:fill="FFFFFF"/>
        </w:rPr>
        <w:t xml:space="preserve"> Recordings of high water level days (top 0.2%) and high swell days (&gt;4m)</w:t>
      </w:r>
    </w:p>
    <w:tbl>
      <w:tblPr>
        <w:tblStyle w:val="TableGrid"/>
        <w:tblW w:w="9540" w:type="dxa"/>
        <w:tblInd w:w="4" w:type="dxa"/>
        <w:tblLayout w:type="fixed"/>
        <w:tblLook w:val="04A0" w:firstRow="1" w:lastRow="0" w:firstColumn="1" w:lastColumn="0" w:noHBand="0" w:noVBand="1"/>
      </w:tblPr>
      <w:tblGrid>
        <w:gridCol w:w="1620"/>
        <w:gridCol w:w="1350"/>
        <w:gridCol w:w="1350"/>
        <w:gridCol w:w="1350"/>
        <w:gridCol w:w="1260"/>
        <w:gridCol w:w="1260"/>
        <w:gridCol w:w="1350"/>
      </w:tblGrid>
      <w:tr w:rsidR="007F4BE3" w:rsidRPr="00F975F0" w14:paraId="6E97CB14" w14:textId="77777777" w:rsidTr="00C9419B">
        <w:tc>
          <w:tcPr>
            <w:tcW w:w="1620" w:type="dxa"/>
            <w:vAlign w:val="center"/>
          </w:tcPr>
          <w:p w14:paraId="6B013E04"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Date of Aerial Image</w:t>
            </w:r>
          </w:p>
        </w:tc>
        <w:tc>
          <w:tcPr>
            <w:tcW w:w="1350" w:type="dxa"/>
            <w:vAlign w:val="center"/>
          </w:tcPr>
          <w:p w14:paraId="29B51445"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 high water level days (5 yr prior)</w:t>
            </w:r>
          </w:p>
        </w:tc>
        <w:tc>
          <w:tcPr>
            <w:tcW w:w="1350" w:type="dxa"/>
            <w:vAlign w:val="center"/>
          </w:tcPr>
          <w:p w14:paraId="22D75570"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 high water level days (1 mon.  prior)</w:t>
            </w:r>
          </w:p>
        </w:tc>
        <w:tc>
          <w:tcPr>
            <w:tcW w:w="1350" w:type="dxa"/>
            <w:vAlign w:val="center"/>
          </w:tcPr>
          <w:p w14:paraId="39F57045"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Most recent high water event</w:t>
            </w:r>
          </w:p>
        </w:tc>
        <w:tc>
          <w:tcPr>
            <w:tcW w:w="1260" w:type="dxa"/>
            <w:vAlign w:val="center"/>
          </w:tcPr>
          <w:p w14:paraId="17E0E4F4"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 high swell days (5 yr prior)</w:t>
            </w:r>
          </w:p>
        </w:tc>
        <w:tc>
          <w:tcPr>
            <w:tcW w:w="1260" w:type="dxa"/>
            <w:vAlign w:val="center"/>
          </w:tcPr>
          <w:p w14:paraId="29BC2EF9"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 high swell days (1 mon. prior)</w:t>
            </w:r>
          </w:p>
        </w:tc>
        <w:tc>
          <w:tcPr>
            <w:tcW w:w="1350" w:type="dxa"/>
            <w:vAlign w:val="center"/>
          </w:tcPr>
          <w:p w14:paraId="3362C121" w14:textId="77777777" w:rsidR="007F4BE3" w:rsidRPr="00F975F0" w:rsidRDefault="007F4BE3" w:rsidP="00C9419B">
            <w:pPr>
              <w:spacing w:before="120"/>
              <w:jc w:val="center"/>
              <w:rPr>
                <w:rFonts w:ascii="Times" w:hAnsi="Times"/>
                <w:b/>
                <w:bCs/>
                <w:sz w:val="20"/>
                <w:szCs w:val="20"/>
              </w:rPr>
            </w:pPr>
            <w:r w:rsidRPr="00F975F0">
              <w:rPr>
                <w:rFonts w:ascii="Times" w:hAnsi="Times"/>
                <w:b/>
                <w:bCs/>
                <w:sz w:val="20"/>
                <w:szCs w:val="20"/>
              </w:rPr>
              <w:t>Most recent high swell event</w:t>
            </w:r>
          </w:p>
        </w:tc>
      </w:tr>
      <w:tr w:rsidR="007F4BE3" w:rsidRPr="00F975F0" w14:paraId="78BF742A" w14:textId="77777777" w:rsidTr="00C9419B">
        <w:tc>
          <w:tcPr>
            <w:tcW w:w="1620" w:type="dxa"/>
            <w:vAlign w:val="center"/>
          </w:tcPr>
          <w:p w14:paraId="5056B207"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1928</w:t>
            </w:r>
          </w:p>
        </w:tc>
        <w:tc>
          <w:tcPr>
            <w:tcW w:w="1350" w:type="dxa"/>
            <w:vAlign w:val="center"/>
          </w:tcPr>
          <w:p w14:paraId="28F8A8CF"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w:t>
            </w:r>
          </w:p>
        </w:tc>
        <w:tc>
          <w:tcPr>
            <w:tcW w:w="1350" w:type="dxa"/>
            <w:vAlign w:val="center"/>
          </w:tcPr>
          <w:p w14:paraId="6670E71C"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145F1C2E"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8/3/1925</w:t>
            </w:r>
          </w:p>
        </w:tc>
        <w:tc>
          <w:tcPr>
            <w:tcW w:w="1260" w:type="dxa"/>
            <w:vAlign w:val="center"/>
          </w:tcPr>
          <w:p w14:paraId="1FC8BF9E"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260" w:type="dxa"/>
            <w:vAlign w:val="center"/>
          </w:tcPr>
          <w:p w14:paraId="736BDEFF"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0C56CB3C"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w:t>
            </w:r>
          </w:p>
        </w:tc>
      </w:tr>
      <w:tr w:rsidR="007F4BE3" w:rsidRPr="00F975F0" w14:paraId="450DCC7E" w14:textId="77777777" w:rsidTr="00C9419B">
        <w:tc>
          <w:tcPr>
            <w:tcW w:w="1620" w:type="dxa"/>
            <w:vAlign w:val="center"/>
          </w:tcPr>
          <w:p w14:paraId="63D87860"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Sept./Oct. 1949</w:t>
            </w:r>
          </w:p>
        </w:tc>
        <w:tc>
          <w:tcPr>
            <w:tcW w:w="1350" w:type="dxa"/>
            <w:vAlign w:val="center"/>
          </w:tcPr>
          <w:p w14:paraId="028EE44E"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18</w:t>
            </w:r>
          </w:p>
        </w:tc>
        <w:tc>
          <w:tcPr>
            <w:tcW w:w="1350" w:type="dxa"/>
            <w:vAlign w:val="center"/>
          </w:tcPr>
          <w:p w14:paraId="3ED92741"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2BC3B4D2"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1/17/1949</w:t>
            </w:r>
          </w:p>
        </w:tc>
        <w:tc>
          <w:tcPr>
            <w:tcW w:w="1260" w:type="dxa"/>
            <w:vAlign w:val="center"/>
          </w:tcPr>
          <w:p w14:paraId="0DFC9C5B"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260" w:type="dxa"/>
            <w:vAlign w:val="center"/>
          </w:tcPr>
          <w:p w14:paraId="2F070E2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3CB69F65"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w:t>
            </w:r>
          </w:p>
        </w:tc>
      </w:tr>
      <w:tr w:rsidR="007F4BE3" w:rsidRPr="00F975F0" w14:paraId="68A0ADDE" w14:textId="77777777" w:rsidTr="00C9419B">
        <w:tc>
          <w:tcPr>
            <w:tcW w:w="1620" w:type="dxa"/>
            <w:vAlign w:val="center"/>
          </w:tcPr>
          <w:p w14:paraId="3D6ADFB5"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November 1958</w:t>
            </w:r>
          </w:p>
        </w:tc>
        <w:tc>
          <w:tcPr>
            <w:tcW w:w="1350" w:type="dxa"/>
            <w:vAlign w:val="center"/>
          </w:tcPr>
          <w:p w14:paraId="4814E5BD"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9</w:t>
            </w:r>
          </w:p>
        </w:tc>
        <w:tc>
          <w:tcPr>
            <w:tcW w:w="1350" w:type="dxa"/>
            <w:vAlign w:val="center"/>
          </w:tcPr>
          <w:p w14:paraId="64BE6C55"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w:t>
            </w:r>
          </w:p>
        </w:tc>
        <w:tc>
          <w:tcPr>
            <w:tcW w:w="1350" w:type="dxa"/>
            <w:vAlign w:val="center"/>
          </w:tcPr>
          <w:p w14:paraId="784EEF90"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11/12/1958</w:t>
            </w:r>
          </w:p>
        </w:tc>
        <w:tc>
          <w:tcPr>
            <w:tcW w:w="1260" w:type="dxa"/>
            <w:vAlign w:val="center"/>
          </w:tcPr>
          <w:p w14:paraId="07495CBB"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260" w:type="dxa"/>
            <w:vAlign w:val="center"/>
          </w:tcPr>
          <w:p w14:paraId="24771753"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07C69722"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w:t>
            </w:r>
          </w:p>
        </w:tc>
      </w:tr>
      <w:tr w:rsidR="007F4BE3" w:rsidRPr="00F975F0" w14:paraId="2E0D33A8" w14:textId="77777777" w:rsidTr="00C9419B">
        <w:tc>
          <w:tcPr>
            <w:tcW w:w="1620" w:type="dxa"/>
            <w:vAlign w:val="center"/>
          </w:tcPr>
          <w:p w14:paraId="773B1887"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April 1967</w:t>
            </w:r>
          </w:p>
        </w:tc>
        <w:tc>
          <w:tcPr>
            <w:tcW w:w="1350" w:type="dxa"/>
            <w:vAlign w:val="center"/>
          </w:tcPr>
          <w:p w14:paraId="3128EF0D"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16</w:t>
            </w:r>
          </w:p>
        </w:tc>
        <w:tc>
          <w:tcPr>
            <w:tcW w:w="1350" w:type="dxa"/>
            <w:vAlign w:val="center"/>
          </w:tcPr>
          <w:p w14:paraId="0A6790E1"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422DC255"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1/25/1967</w:t>
            </w:r>
          </w:p>
        </w:tc>
        <w:tc>
          <w:tcPr>
            <w:tcW w:w="1260" w:type="dxa"/>
            <w:vAlign w:val="center"/>
          </w:tcPr>
          <w:p w14:paraId="7085125D"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260" w:type="dxa"/>
            <w:vAlign w:val="center"/>
          </w:tcPr>
          <w:p w14:paraId="3C1E71AC"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76FB9EEF"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w:t>
            </w:r>
          </w:p>
        </w:tc>
      </w:tr>
      <w:tr w:rsidR="007F4BE3" w:rsidRPr="00F975F0" w14:paraId="4148A6AA" w14:textId="77777777" w:rsidTr="00C9419B">
        <w:tc>
          <w:tcPr>
            <w:tcW w:w="1620" w:type="dxa"/>
            <w:vAlign w:val="center"/>
          </w:tcPr>
          <w:p w14:paraId="4B837F2F"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February 1971</w:t>
            </w:r>
          </w:p>
        </w:tc>
        <w:tc>
          <w:tcPr>
            <w:tcW w:w="1350" w:type="dxa"/>
            <w:vAlign w:val="center"/>
          </w:tcPr>
          <w:p w14:paraId="0EB30F09"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21</w:t>
            </w:r>
          </w:p>
        </w:tc>
        <w:tc>
          <w:tcPr>
            <w:tcW w:w="1350" w:type="dxa"/>
            <w:vAlign w:val="center"/>
          </w:tcPr>
          <w:p w14:paraId="0654816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72F4D13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6/30/1969</w:t>
            </w:r>
          </w:p>
        </w:tc>
        <w:tc>
          <w:tcPr>
            <w:tcW w:w="1260" w:type="dxa"/>
            <w:vAlign w:val="center"/>
          </w:tcPr>
          <w:p w14:paraId="350AF66F"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260" w:type="dxa"/>
            <w:vAlign w:val="center"/>
          </w:tcPr>
          <w:p w14:paraId="009CD6DF"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1BEBD49F"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w:t>
            </w:r>
          </w:p>
        </w:tc>
      </w:tr>
      <w:tr w:rsidR="007F4BE3" w:rsidRPr="00F975F0" w14:paraId="568CE727" w14:textId="77777777" w:rsidTr="00C9419B">
        <w:tc>
          <w:tcPr>
            <w:tcW w:w="1620" w:type="dxa"/>
            <w:vAlign w:val="center"/>
          </w:tcPr>
          <w:p w14:paraId="1B2E9101"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April 1975</w:t>
            </w:r>
          </w:p>
        </w:tc>
        <w:tc>
          <w:tcPr>
            <w:tcW w:w="1350" w:type="dxa"/>
            <w:vAlign w:val="center"/>
          </w:tcPr>
          <w:p w14:paraId="647D88DC"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5</w:t>
            </w:r>
          </w:p>
        </w:tc>
        <w:tc>
          <w:tcPr>
            <w:tcW w:w="1350" w:type="dxa"/>
            <w:vAlign w:val="center"/>
          </w:tcPr>
          <w:p w14:paraId="3EF85449"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57C651BB"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8/18/1974</w:t>
            </w:r>
          </w:p>
        </w:tc>
        <w:tc>
          <w:tcPr>
            <w:tcW w:w="1260" w:type="dxa"/>
            <w:vAlign w:val="center"/>
          </w:tcPr>
          <w:p w14:paraId="6E3A4B4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260" w:type="dxa"/>
            <w:vAlign w:val="center"/>
          </w:tcPr>
          <w:p w14:paraId="4D669C30"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7482BCAB"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w:t>
            </w:r>
          </w:p>
        </w:tc>
      </w:tr>
      <w:tr w:rsidR="007F4BE3" w:rsidRPr="00F975F0" w14:paraId="0FCE5C50" w14:textId="77777777" w:rsidTr="00C9419B">
        <w:tc>
          <w:tcPr>
            <w:tcW w:w="1620" w:type="dxa"/>
            <w:vAlign w:val="center"/>
          </w:tcPr>
          <w:p w14:paraId="768CA6E5"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February 1988</w:t>
            </w:r>
          </w:p>
        </w:tc>
        <w:tc>
          <w:tcPr>
            <w:tcW w:w="1350" w:type="dxa"/>
            <w:vAlign w:val="center"/>
          </w:tcPr>
          <w:p w14:paraId="0CEB9655"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46</w:t>
            </w:r>
          </w:p>
        </w:tc>
        <w:tc>
          <w:tcPr>
            <w:tcW w:w="1350" w:type="dxa"/>
            <w:vAlign w:val="center"/>
          </w:tcPr>
          <w:p w14:paraId="44F2E729"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w:t>
            </w:r>
          </w:p>
        </w:tc>
        <w:tc>
          <w:tcPr>
            <w:tcW w:w="1350" w:type="dxa"/>
            <w:vAlign w:val="center"/>
          </w:tcPr>
          <w:p w14:paraId="359AF72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1/31/1988</w:t>
            </w:r>
          </w:p>
        </w:tc>
        <w:tc>
          <w:tcPr>
            <w:tcW w:w="1260" w:type="dxa"/>
            <w:vAlign w:val="center"/>
          </w:tcPr>
          <w:p w14:paraId="15082BD3"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23</w:t>
            </w:r>
          </w:p>
        </w:tc>
        <w:tc>
          <w:tcPr>
            <w:tcW w:w="1260" w:type="dxa"/>
            <w:vAlign w:val="center"/>
          </w:tcPr>
          <w:p w14:paraId="7585E7E9"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2D1EC092"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5/25/1987</w:t>
            </w:r>
          </w:p>
        </w:tc>
      </w:tr>
      <w:tr w:rsidR="007F4BE3" w:rsidRPr="00F975F0" w14:paraId="5971F9C4" w14:textId="77777777" w:rsidTr="00C9419B">
        <w:tc>
          <w:tcPr>
            <w:tcW w:w="1620" w:type="dxa"/>
            <w:vAlign w:val="center"/>
          </w:tcPr>
          <w:p w14:paraId="7AB8102C"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May 2000</w:t>
            </w:r>
          </w:p>
        </w:tc>
        <w:tc>
          <w:tcPr>
            <w:tcW w:w="1350" w:type="dxa"/>
            <w:vAlign w:val="center"/>
          </w:tcPr>
          <w:p w14:paraId="0251612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34</w:t>
            </w:r>
          </w:p>
        </w:tc>
        <w:tc>
          <w:tcPr>
            <w:tcW w:w="1350" w:type="dxa"/>
            <w:vAlign w:val="center"/>
          </w:tcPr>
          <w:p w14:paraId="07089758"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6FA2C8B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10/24/1999</w:t>
            </w:r>
          </w:p>
        </w:tc>
        <w:tc>
          <w:tcPr>
            <w:tcW w:w="1260" w:type="dxa"/>
            <w:vAlign w:val="center"/>
          </w:tcPr>
          <w:p w14:paraId="52FAD25C"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14</w:t>
            </w:r>
          </w:p>
        </w:tc>
        <w:tc>
          <w:tcPr>
            <w:tcW w:w="1260" w:type="dxa"/>
            <w:vAlign w:val="center"/>
          </w:tcPr>
          <w:p w14:paraId="7B6505D6"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6D9DCA97"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1/25/2000</w:t>
            </w:r>
          </w:p>
        </w:tc>
      </w:tr>
      <w:tr w:rsidR="007F4BE3" w:rsidRPr="00F975F0" w14:paraId="409AB6DA" w14:textId="77777777" w:rsidTr="00C9419B">
        <w:tc>
          <w:tcPr>
            <w:tcW w:w="1620" w:type="dxa"/>
            <w:vAlign w:val="center"/>
          </w:tcPr>
          <w:p w14:paraId="0487B83D"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October 2006</w:t>
            </w:r>
          </w:p>
        </w:tc>
        <w:tc>
          <w:tcPr>
            <w:tcW w:w="1350" w:type="dxa"/>
            <w:vAlign w:val="center"/>
          </w:tcPr>
          <w:p w14:paraId="65B39C14"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123</w:t>
            </w:r>
          </w:p>
        </w:tc>
        <w:tc>
          <w:tcPr>
            <w:tcW w:w="1350" w:type="dxa"/>
            <w:vAlign w:val="center"/>
          </w:tcPr>
          <w:p w14:paraId="367793A4"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w:t>
            </w:r>
          </w:p>
        </w:tc>
        <w:tc>
          <w:tcPr>
            <w:tcW w:w="1350" w:type="dxa"/>
            <w:vAlign w:val="center"/>
          </w:tcPr>
          <w:p w14:paraId="2467D565"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10/10/2006</w:t>
            </w:r>
          </w:p>
        </w:tc>
        <w:tc>
          <w:tcPr>
            <w:tcW w:w="1260" w:type="dxa"/>
            <w:vAlign w:val="center"/>
          </w:tcPr>
          <w:p w14:paraId="3E723CDD"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37</w:t>
            </w:r>
          </w:p>
        </w:tc>
        <w:tc>
          <w:tcPr>
            <w:tcW w:w="1260" w:type="dxa"/>
            <w:vAlign w:val="center"/>
          </w:tcPr>
          <w:p w14:paraId="3F95B477"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w:t>
            </w:r>
          </w:p>
        </w:tc>
        <w:tc>
          <w:tcPr>
            <w:tcW w:w="1350" w:type="dxa"/>
            <w:vAlign w:val="center"/>
          </w:tcPr>
          <w:p w14:paraId="6D390C53"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10/3/2006</w:t>
            </w:r>
          </w:p>
        </w:tc>
      </w:tr>
      <w:tr w:rsidR="007F4BE3" w:rsidRPr="00F975F0" w14:paraId="72F0490B" w14:textId="77777777" w:rsidTr="00C9419B">
        <w:tc>
          <w:tcPr>
            <w:tcW w:w="1620" w:type="dxa"/>
            <w:vAlign w:val="center"/>
          </w:tcPr>
          <w:p w14:paraId="0A6595DA" w14:textId="77777777" w:rsidR="007F4BE3" w:rsidRPr="00F975F0" w:rsidRDefault="007F4BE3" w:rsidP="00C9419B">
            <w:pPr>
              <w:spacing w:before="120"/>
              <w:jc w:val="center"/>
              <w:rPr>
                <w:rFonts w:ascii="Times" w:hAnsi="Times"/>
                <w:b/>
                <w:bCs/>
                <w:caps/>
                <w:sz w:val="20"/>
                <w:szCs w:val="20"/>
              </w:rPr>
            </w:pPr>
            <w:r w:rsidRPr="00F975F0">
              <w:rPr>
                <w:rFonts w:ascii="Times" w:hAnsi="Times"/>
                <w:b/>
                <w:bCs/>
                <w:caps/>
                <w:sz w:val="20"/>
                <w:szCs w:val="20"/>
              </w:rPr>
              <w:t>February 2015</w:t>
            </w:r>
          </w:p>
        </w:tc>
        <w:tc>
          <w:tcPr>
            <w:tcW w:w="1350" w:type="dxa"/>
            <w:vAlign w:val="center"/>
          </w:tcPr>
          <w:p w14:paraId="763278B3"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25</w:t>
            </w:r>
          </w:p>
        </w:tc>
        <w:tc>
          <w:tcPr>
            <w:tcW w:w="1350" w:type="dxa"/>
            <w:vAlign w:val="center"/>
          </w:tcPr>
          <w:p w14:paraId="094D6730"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N/A</w:t>
            </w:r>
          </w:p>
        </w:tc>
        <w:tc>
          <w:tcPr>
            <w:tcW w:w="1350" w:type="dxa"/>
            <w:vAlign w:val="center"/>
          </w:tcPr>
          <w:p w14:paraId="797C4F29" w14:textId="77777777" w:rsidR="007F4BE3" w:rsidRPr="00F975F0" w:rsidRDefault="007F4BE3" w:rsidP="00C9419B">
            <w:pPr>
              <w:tabs>
                <w:tab w:val="left" w:pos="750"/>
              </w:tabs>
              <w:spacing w:before="120"/>
              <w:jc w:val="center"/>
              <w:rPr>
                <w:rFonts w:ascii="Times" w:hAnsi="Times"/>
                <w:caps/>
                <w:sz w:val="20"/>
                <w:szCs w:val="20"/>
              </w:rPr>
            </w:pPr>
            <w:r w:rsidRPr="00F975F0">
              <w:rPr>
                <w:rFonts w:ascii="Times" w:hAnsi="Times"/>
                <w:caps/>
                <w:sz w:val="20"/>
                <w:szCs w:val="20"/>
              </w:rPr>
              <w:t>12/25/2014</w:t>
            </w:r>
          </w:p>
        </w:tc>
        <w:tc>
          <w:tcPr>
            <w:tcW w:w="1260" w:type="dxa"/>
            <w:vAlign w:val="center"/>
          </w:tcPr>
          <w:p w14:paraId="30F5D6F9"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10</w:t>
            </w:r>
          </w:p>
        </w:tc>
        <w:tc>
          <w:tcPr>
            <w:tcW w:w="1260" w:type="dxa"/>
            <w:vAlign w:val="center"/>
          </w:tcPr>
          <w:p w14:paraId="6244EAB1"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0</w:t>
            </w:r>
          </w:p>
        </w:tc>
        <w:tc>
          <w:tcPr>
            <w:tcW w:w="1350" w:type="dxa"/>
            <w:vAlign w:val="center"/>
          </w:tcPr>
          <w:p w14:paraId="08EC7925" w14:textId="77777777" w:rsidR="007F4BE3" w:rsidRPr="00F975F0" w:rsidRDefault="007F4BE3" w:rsidP="00C9419B">
            <w:pPr>
              <w:spacing w:before="120"/>
              <w:jc w:val="center"/>
              <w:rPr>
                <w:rFonts w:ascii="Times" w:hAnsi="Times"/>
                <w:caps/>
                <w:sz w:val="20"/>
                <w:szCs w:val="20"/>
              </w:rPr>
            </w:pPr>
            <w:r w:rsidRPr="00F975F0">
              <w:rPr>
                <w:rFonts w:ascii="Times" w:hAnsi="Times"/>
                <w:caps/>
                <w:sz w:val="20"/>
                <w:szCs w:val="20"/>
              </w:rPr>
              <w:t>1/1/2015</w:t>
            </w:r>
          </w:p>
        </w:tc>
      </w:tr>
    </w:tbl>
    <w:p w14:paraId="072F2B94" w14:textId="77777777" w:rsidR="007F4BE3" w:rsidRPr="00F975F0" w:rsidRDefault="007F4BE3" w:rsidP="007F4BE3">
      <w:pPr>
        <w:spacing w:before="120"/>
        <w:jc w:val="both"/>
        <w:rPr>
          <w:rFonts w:ascii="Times" w:hAnsi="Times"/>
          <w:sz w:val="20"/>
          <w:szCs w:val="20"/>
        </w:rPr>
      </w:pPr>
      <w:r w:rsidRPr="00F975F0">
        <w:rPr>
          <w:rFonts w:ascii="Times" w:hAnsi="Times"/>
          <w:noProof/>
          <w:sz w:val="20"/>
          <w:szCs w:val="20"/>
          <w:lang w:eastAsia="en-US"/>
        </w:rPr>
        <w:lastRenderedPageBreak/>
        <w:drawing>
          <wp:inline distT="0" distB="0" distL="0" distR="0" wp14:anchorId="2E2F305F" wp14:editId="039C9886">
            <wp:extent cx="2565400" cy="308971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0851" cy="3180589"/>
                    </a:xfrm>
                    <a:prstGeom prst="rect">
                      <a:avLst/>
                    </a:prstGeom>
                  </pic:spPr>
                </pic:pic>
              </a:graphicData>
            </a:graphic>
          </wp:inline>
        </w:drawing>
      </w:r>
    </w:p>
    <w:p w14:paraId="37A7748E" w14:textId="190E2169" w:rsidR="007F4BE3" w:rsidRPr="00F975F0" w:rsidRDefault="007F4BE3" w:rsidP="007F4BE3">
      <w:pPr>
        <w:spacing w:before="120"/>
        <w:jc w:val="both"/>
        <w:rPr>
          <w:rFonts w:ascii="Times" w:hAnsi="Times" w:cs="Times New Roman"/>
          <w:sz w:val="20"/>
          <w:szCs w:val="20"/>
        </w:rPr>
      </w:pPr>
      <w:r w:rsidRPr="00F975F0">
        <w:rPr>
          <w:rFonts w:ascii="Times" w:hAnsi="Times" w:cs="Times New Roman"/>
          <w:b/>
          <w:sz w:val="20"/>
          <w:szCs w:val="20"/>
        </w:rPr>
        <w:t xml:space="preserve">Figure </w:t>
      </w:r>
      <w:r w:rsidR="004439BA">
        <w:rPr>
          <w:rFonts w:ascii="Times" w:hAnsi="Times" w:cs="Times New Roman"/>
          <w:b/>
          <w:sz w:val="20"/>
          <w:szCs w:val="20"/>
        </w:rPr>
        <w:t>SI1</w:t>
      </w:r>
      <w:r w:rsidRPr="00F975F0">
        <w:rPr>
          <w:rFonts w:ascii="Times" w:hAnsi="Times" w:cs="Times New Roman"/>
          <w:b/>
          <w:sz w:val="20"/>
          <w:szCs w:val="20"/>
        </w:rPr>
        <w:t xml:space="preserve"> </w:t>
      </w:r>
      <w:r w:rsidRPr="00F975F0">
        <w:rPr>
          <w:rFonts w:ascii="Times" w:hAnsi="Times" w:cs="Times New Roman"/>
          <w:sz w:val="20"/>
          <w:szCs w:val="20"/>
        </w:rPr>
        <w:t>Extreme water levels and swell heights that occurred 1 month prior and/or 5 years prior to the day photomosaics were obtained. Note that wave data was not available prior to 1981.</w:t>
      </w:r>
    </w:p>
    <w:p w14:paraId="0372CF41" w14:textId="77777777" w:rsidR="00F975F0" w:rsidRPr="00F975F0" w:rsidRDefault="00F975F0" w:rsidP="004751BD">
      <w:pPr>
        <w:spacing w:before="120"/>
        <w:rPr>
          <w:rFonts w:ascii="Times" w:eastAsia="Times New Roman" w:hAnsi="Times" w:cs="Times New Roman"/>
          <w:color w:val="000000" w:themeColor="text1"/>
          <w:sz w:val="20"/>
          <w:szCs w:val="20"/>
        </w:rPr>
      </w:pPr>
    </w:p>
    <w:p w14:paraId="0B0E7FBF" w14:textId="2EFEE2E2" w:rsidR="00C93842" w:rsidRPr="00F975F0" w:rsidRDefault="00C93842" w:rsidP="004751BD">
      <w:pPr>
        <w:spacing w:before="120"/>
        <w:outlineLvl w:val="0"/>
        <w:rPr>
          <w:rFonts w:ascii="Times" w:hAnsi="Times" w:cs="Times New Roman"/>
          <w:color w:val="000000" w:themeColor="text1"/>
          <w:sz w:val="20"/>
          <w:szCs w:val="20"/>
        </w:rPr>
      </w:pPr>
      <w:r w:rsidRPr="00F975F0">
        <w:rPr>
          <w:rFonts w:ascii="Times" w:hAnsi="Times" w:cs="Times New Roman"/>
          <w:b/>
          <w:color w:val="000000" w:themeColor="text1"/>
          <w:sz w:val="20"/>
          <w:szCs w:val="20"/>
        </w:rPr>
        <w:t>Table SI</w:t>
      </w:r>
      <w:r w:rsidR="004439BA">
        <w:rPr>
          <w:rFonts w:ascii="Times" w:hAnsi="Times" w:cs="Times New Roman"/>
          <w:b/>
          <w:color w:val="000000" w:themeColor="text1"/>
          <w:sz w:val="20"/>
          <w:szCs w:val="20"/>
        </w:rPr>
        <w:t>4</w:t>
      </w:r>
      <w:r w:rsidRPr="00F975F0">
        <w:rPr>
          <w:rFonts w:ascii="Times" w:hAnsi="Times" w:cs="Times New Roman"/>
          <w:color w:val="000000" w:themeColor="text1"/>
          <w:sz w:val="20"/>
          <w:szCs w:val="20"/>
        </w:rPr>
        <w:t xml:space="preserve"> Historical shoreline change from 1928 to year specified, for each geomorphology, and the total shoreline. </w:t>
      </w:r>
    </w:p>
    <w:tbl>
      <w:tblPr>
        <w:tblW w:w="9923" w:type="dxa"/>
        <w:tblInd w:w="-5" w:type="dxa"/>
        <w:tblLayout w:type="fixed"/>
        <w:tblLook w:val="04A0" w:firstRow="1" w:lastRow="0" w:firstColumn="1" w:lastColumn="0" w:noHBand="0" w:noVBand="1"/>
      </w:tblPr>
      <w:tblGrid>
        <w:gridCol w:w="1800"/>
        <w:gridCol w:w="1463"/>
        <w:gridCol w:w="1350"/>
        <w:gridCol w:w="1260"/>
        <w:gridCol w:w="1260"/>
        <w:gridCol w:w="1350"/>
        <w:gridCol w:w="1440"/>
      </w:tblGrid>
      <w:tr w:rsidR="00C93842" w:rsidRPr="00F975F0" w14:paraId="419ACD43" w14:textId="77777777" w:rsidTr="004751BD">
        <w:tc>
          <w:tcPr>
            <w:tcW w:w="99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6478A8B"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Shoreline change rates (m/yr)</w:t>
            </w:r>
          </w:p>
        </w:tc>
      </w:tr>
      <w:tr w:rsidR="00C93842" w:rsidRPr="00F975F0" w14:paraId="41358CE0"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16A37"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Year</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1914A8E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1967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89FA4F7"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1971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F8880C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1975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2C1457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1988</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B927A4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2006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D6B1C9C"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2015</w:t>
            </w:r>
          </w:p>
        </w:tc>
      </w:tr>
      <w:tr w:rsidR="00C93842" w:rsidRPr="00F975F0" w14:paraId="72CB741C"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A3F1F"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Headland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0D04689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-0.06 ± 0.15</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D2E65D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-0.06 ± 0.12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806C1C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-0.07 ± 0.1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644B7C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 ±0.08</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54A0D1B"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-0.12 ±0.06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4E57BC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-0.11 ± 0.06</w:t>
            </w:r>
          </w:p>
        </w:tc>
      </w:tr>
      <w:tr w:rsidR="00C93842" w:rsidRPr="00F975F0" w14:paraId="6AFBA2FC"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2540E"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Transitional</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5FCF568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0.09 ± 0.07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0386BA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 ± 0.05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F864C3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0.11 ± 0.03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E25D6E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0.08 ± 0.07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CB34E49"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-0.03 ± 0.07</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5CF40F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-0.02 ± 0.05</w:t>
            </w:r>
          </w:p>
        </w:tc>
      </w:tr>
      <w:tr w:rsidR="00C93842" w:rsidRPr="00F975F0" w14:paraId="29CB804F"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8F4A"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emBayed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78DD989"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0.07 ± 0.14</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7DF1379"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 ± 0.10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3FAAD0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0.11 ± 0.08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2CB9AA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0.11 ± 0.06</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7F83D8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0.01 ± 0.05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95E17F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-0.01 ± 0.04</w:t>
            </w:r>
          </w:p>
        </w:tc>
      </w:tr>
      <w:tr w:rsidR="00C93842" w:rsidRPr="00F975F0" w14:paraId="3D0384DF"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6151C"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764DF2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3D1273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9DB5415"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E358C5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754950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2E52D3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r>
      <w:tr w:rsidR="00C93842" w:rsidRPr="00F975F0" w14:paraId="05523723"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D3135"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Reef-fronted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5425A20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xml:space="preserve">0.01 ± 0.11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2C6F13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0.03 ± 0.09</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51FB32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0.02 ± 0.07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C299F0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 ±0.07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3C7065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-0.07 ± 0.06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54C25C7"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-0.06 ± 0.05</w:t>
            </w:r>
          </w:p>
        </w:tc>
      </w:tr>
      <w:tr w:rsidR="00C93842" w:rsidRPr="00F975F0" w14:paraId="64E0D903"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9E64C"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sand Channel</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02A4CE6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0.01 ± 0.09</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78DE769"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0.02 ± 0.07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9F352E7"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0.04 ±0.05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6C05BC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0.04 ± 0.03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C8C984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-0.03 ± 0.05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8BA0F1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-0.04 ± 0.04</w:t>
            </w:r>
          </w:p>
        </w:tc>
      </w:tr>
      <w:tr w:rsidR="00C93842" w:rsidRPr="00F975F0" w14:paraId="617F73B8"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24021"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0892E505"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66898A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5B616F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59BCDB5"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52F79C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95FF67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 </w:t>
            </w:r>
          </w:p>
        </w:tc>
      </w:tr>
      <w:tr w:rsidR="00C93842" w:rsidRPr="00F975F0" w14:paraId="5B680E0B" w14:textId="77777777" w:rsidTr="004751BD">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74C08"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ALL</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6E7CC83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0.01 ± 0.12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419C2D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0.03 ± 0.09</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B53A7D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0.03 ± 0.07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35B9E4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0.01 ± 0.07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CD2FCB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-0.06 ± 0.06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5355E1B"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-0.06 0.05</w:t>
            </w:r>
          </w:p>
        </w:tc>
      </w:tr>
    </w:tbl>
    <w:p w14:paraId="41EFACD7" w14:textId="77777777" w:rsidR="00C93842" w:rsidRPr="00F975F0" w:rsidRDefault="00C93842" w:rsidP="004751BD">
      <w:pPr>
        <w:spacing w:before="120"/>
        <w:ind w:firstLine="720"/>
        <w:rPr>
          <w:rFonts w:ascii="Times" w:hAnsi="Times" w:cs="Times New Roman"/>
          <w:color w:val="000000" w:themeColor="text1"/>
          <w:sz w:val="20"/>
          <w:szCs w:val="20"/>
        </w:rPr>
      </w:pPr>
    </w:p>
    <w:p w14:paraId="22C67CB7" w14:textId="1ADCC145" w:rsidR="00C93842" w:rsidRPr="00F975F0" w:rsidRDefault="00C93842" w:rsidP="004751BD">
      <w:pPr>
        <w:spacing w:before="120"/>
        <w:rPr>
          <w:rFonts w:ascii="Times" w:hAnsi="Times" w:cs="Times New Roman"/>
          <w:color w:val="000000" w:themeColor="text1"/>
          <w:sz w:val="20"/>
          <w:szCs w:val="20"/>
        </w:rPr>
      </w:pPr>
      <w:r w:rsidRPr="00F975F0">
        <w:rPr>
          <w:rFonts w:ascii="Times" w:hAnsi="Times" w:cs="Times New Roman"/>
          <w:b/>
          <w:color w:val="000000" w:themeColor="text1"/>
          <w:sz w:val="20"/>
          <w:szCs w:val="20"/>
        </w:rPr>
        <w:t>Table SI</w:t>
      </w:r>
      <w:r w:rsidR="004439BA">
        <w:rPr>
          <w:rFonts w:ascii="Times" w:hAnsi="Times" w:cs="Times New Roman"/>
          <w:b/>
          <w:color w:val="000000" w:themeColor="text1"/>
          <w:sz w:val="20"/>
          <w:szCs w:val="20"/>
        </w:rPr>
        <w:t>5</w:t>
      </w:r>
      <w:r w:rsidRPr="00F975F0">
        <w:rPr>
          <w:rFonts w:ascii="Times" w:hAnsi="Times" w:cs="Times New Roman"/>
          <w:b/>
          <w:color w:val="000000" w:themeColor="text1"/>
          <w:sz w:val="20"/>
          <w:szCs w:val="20"/>
        </w:rPr>
        <w:t xml:space="preserve"> </w:t>
      </w:r>
      <w:r w:rsidRPr="00F975F0">
        <w:rPr>
          <w:rFonts w:ascii="Times" w:hAnsi="Times" w:cs="Times New Roman"/>
          <w:color w:val="000000" w:themeColor="text1"/>
          <w:sz w:val="20"/>
          <w:szCs w:val="20"/>
        </w:rPr>
        <w:t xml:space="preserve">Beach loss from 1928 to 2015.  Seasonal beach loss indicates recovery following seasonal wave-induced erosion.  Degraded beaches are calculated as the sum of narrowed and permanent beach loss.  </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1862"/>
        <w:gridCol w:w="1980"/>
        <w:gridCol w:w="1890"/>
        <w:gridCol w:w="1800"/>
      </w:tblGrid>
      <w:tr w:rsidR="00C93842" w:rsidRPr="00F975F0" w14:paraId="66A0F85B" w14:textId="77777777" w:rsidTr="004751BD">
        <w:trPr>
          <w:trHeight w:val="300"/>
        </w:trPr>
        <w:tc>
          <w:tcPr>
            <w:tcW w:w="833" w:type="dxa"/>
            <w:shd w:val="clear" w:color="auto" w:fill="auto"/>
            <w:noWrap/>
            <w:vAlign w:val="center"/>
            <w:hideMark/>
          </w:tcPr>
          <w:p w14:paraId="33AB2C55"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 YEAR</w:t>
            </w:r>
          </w:p>
        </w:tc>
        <w:tc>
          <w:tcPr>
            <w:tcW w:w="1862" w:type="dxa"/>
            <w:shd w:val="clear" w:color="auto" w:fill="auto"/>
            <w:noWrap/>
            <w:vAlign w:val="center"/>
            <w:hideMark/>
          </w:tcPr>
          <w:p w14:paraId="48D08707"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SEASONAL Beach Loss (%)</w:t>
            </w:r>
          </w:p>
        </w:tc>
        <w:tc>
          <w:tcPr>
            <w:tcW w:w="1980" w:type="dxa"/>
            <w:shd w:val="clear" w:color="auto" w:fill="auto"/>
            <w:noWrap/>
            <w:vAlign w:val="center"/>
            <w:hideMark/>
          </w:tcPr>
          <w:p w14:paraId="02D902B2"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PERMANENT BEACH LOSS (%)</w:t>
            </w:r>
          </w:p>
        </w:tc>
        <w:tc>
          <w:tcPr>
            <w:tcW w:w="1890" w:type="dxa"/>
            <w:shd w:val="clear" w:color="auto" w:fill="auto"/>
            <w:noWrap/>
            <w:vAlign w:val="center"/>
            <w:hideMark/>
          </w:tcPr>
          <w:p w14:paraId="5A491066"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Narrowed (%)</w:t>
            </w:r>
          </w:p>
        </w:tc>
        <w:tc>
          <w:tcPr>
            <w:tcW w:w="1800" w:type="dxa"/>
            <w:shd w:val="clear" w:color="auto" w:fill="auto"/>
            <w:noWrap/>
            <w:vAlign w:val="center"/>
            <w:hideMark/>
          </w:tcPr>
          <w:p w14:paraId="4006F991"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DEGRADED (%)</w:t>
            </w:r>
          </w:p>
        </w:tc>
      </w:tr>
      <w:tr w:rsidR="00C93842" w:rsidRPr="00F975F0" w14:paraId="114C52C5" w14:textId="77777777" w:rsidTr="004751BD">
        <w:trPr>
          <w:trHeight w:val="300"/>
        </w:trPr>
        <w:tc>
          <w:tcPr>
            <w:tcW w:w="833" w:type="dxa"/>
            <w:shd w:val="clear" w:color="auto" w:fill="auto"/>
            <w:noWrap/>
            <w:vAlign w:val="center"/>
            <w:hideMark/>
          </w:tcPr>
          <w:p w14:paraId="48649C3E"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1928</w:t>
            </w:r>
          </w:p>
        </w:tc>
        <w:tc>
          <w:tcPr>
            <w:tcW w:w="1862" w:type="dxa"/>
            <w:shd w:val="clear" w:color="auto" w:fill="auto"/>
            <w:noWrap/>
            <w:vAlign w:val="center"/>
            <w:hideMark/>
          </w:tcPr>
          <w:p w14:paraId="56CAC08D"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10</w:t>
            </w:r>
          </w:p>
        </w:tc>
        <w:tc>
          <w:tcPr>
            <w:tcW w:w="1980" w:type="dxa"/>
            <w:shd w:val="clear" w:color="auto" w:fill="auto"/>
            <w:noWrap/>
            <w:vAlign w:val="center"/>
            <w:hideMark/>
          </w:tcPr>
          <w:p w14:paraId="3B49CCBF"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0</w:t>
            </w:r>
          </w:p>
        </w:tc>
        <w:tc>
          <w:tcPr>
            <w:tcW w:w="1890" w:type="dxa"/>
            <w:shd w:val="clear" w:color="auto" w:fill="auto"/>
            <w:noWrap/>
            <w:vAlign w:val="center"/>
            <w:hideMark/>
          </w:tcPr>
          <w:p w14:paraId="194087F7"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N/A</w:t>
            </w:r>
          </w:p>
        </w:tc>
        <w:tc>
          <w:tcPr>
            <w:tcW w:w="1800" w:type="dxa"/>
            <w:shd w:val="clear" w:color="auto" w:fill="auto"/>
            <w:noWrap/>
            <w:vAlign w:val="center"/>
            <w:hideMark/>
          </w:tcPr>
          <w:p w14:paraId="5BACDAA2"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N/A</w:t>
            </w:r>
          </w:p>
        </w:tc>
      </w:tr>
      <w:tr w:rsidR="00C93842" w:rsidRPr="00F975F0" w14:paraId="5C80ABAF" w14:textId="77777777" w:rsidTr="004751BD">
        <w:trPr>
          <w:trHeight w:val="340"/>
        </w:trPr>
        <w:tc>
          <w:tcPr>
            <w:tcW w:w="833" w:type="dxa"/>
            <w:shd w:val="clear" w:color="auto" w:fill="auto"/>
            <w:noWrap/>
            <w:vAlign w:val="center"/>
            <w:hideMark/>
          </w:tcPr>
          <w:p w14:paraId="381001D8"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1949</w:t>
            </w:r>
          </w:p>
        </w:tc>
        <w:tc>
          <w:tcPr>
            <w:tcW w:w="1862" w:type="dxa"/>
            <w:shd w:val="clear" w:color="auto" w:fill="auto"/>
            <w:noWrap/>
            <w:vAlign w:val="center"/>
            <w:hideMark/>
          </w:tcPr>
          <w:p w14:paraId="592390BC"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11</w:t>
            </w:r>
          </w:p>
        </w:tc>
        <w:tc>
          <w:tcPr>
            <w:tcW w:w="1980" w:type="dxa"/>
            <w:shd w:val="clear" w:color="auto" w:fill="auto"/>
            <w:noWrap/>
            <w:vAlign w:val="center"/>
            <w:hideMark/>
          </w:tcPr>
          <w:p w14:paraId="44747143"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0</w:t>
            </w:r>
          </w:p>
        </w:tc>
        <w:tc>
          <w:tcPr>
            <w:tcW w:w="1890" w:type="dxa"/>
            <w:shd w:val="clear" w:color="auto" w:fill="auto"/>
            <w:noWrap/>
            <w:vAlign w:val="center"/>
            <w:hideMark/>
          </w:tcPr>
          <w:p w14:paraId="4229DF92"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N/A</w:t>
            </w:r>
          </w:p>
        </w:tc>
        <w:tc>
          <w:tcPr>
            <w:tcW w:w="1800" w:type="dxa"/>
            <w:shd w:val="clear" w:color="auto" w:fill="auto"/>
            <w:noWrap/>
            <w:vAlign w:val="center"/>
            <w:hideMark/>
          </w:tcPr>
          <w:p w14:paraId="5B72C1C6"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N/A</w:t>
            </w:r>
          </w:p>
        </w:tc>
      </w:tr>
      <w:tr w:rsidR="00C93842" w:rsidRPr="00F975F0" w14:paraId="69E7B9C1" w14:textId="77777777" w:rsidTr="004751BD">
        <w:trPr>
          <w:trHeight w:val="300"/>
        </w:trPr>
        <w:tc>
          <w:tcPr>
            <w:tcW w:w="833" w:type="dxa"/>
            <w:shd w:val="clear" w:color="auto" w:fill="auto"/>
            <w:noWrap/>
            <w:vAlign w:val="center"/>
            <w:hideMark/>
          </w:tcPr>
          <w:p w14:paraId="4F4741D9"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1958</w:t>
            </w:r>
          </w:p>
        </w:tc>
        <w:tc>
          <w:tcPr>
            <w:tcW w:w="1862" w:type="dxa"/>
            <w:shd w:val="clear" w:color="auto" w:fill="auto"/>
            <w:noWrap/>
            <w:vAlign w:val="center"/>
            <w:hideMark/>
          </w:tcPr>
          <w:p w14:paraId="7BB60389"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10</w:t>
            </w:r>
          </w:p>
        </w:tc>
        <w:tc>
          <w:tcPr>
            <w:tcW w:w="1980" w:type="dxa"/>
            <w:shd w:val="clear" w:color="auto" w:fill="auto"/>
            <w:noWrap/>
            <w:vAlign w:val="center"/>
            <w:hideMark/>
          </w:tcPr>
          <w:p w14:paraId="10B29995"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0</w:t>
            </w:r>
          </w:p>
        </w:tc>
        <w:tc>
          <w:tcPr>
            <w:tcW w:w="1890" w:type="dxa"/>
            <w:shd w:val="clear" w:color="auto" w:fill="auto"/>
            <w:noWrap/>
            <w:vAlign w:val="center"/>
            <w:hideMark/>
          </w:tcPr>
          <w:p w14:paraId="2EBA9184"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N/A</w:t>
            </w:r>
          </w:p>
        </w:tc>
        <w:tc>
          <w:tcPr>
            <w:tcW w:w="1800" w:type="dxa"/>
            <w:shd w:val="clear" w:color="auto" w:fill="auto"/>
            <w:noWrap/>
            <w:vAlign w:val="center"/>
            <w:hideMark/>
          </w:tcPr>
          <w:p w14:paraId="466D4B1F"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N/A</w:t>
            </w:r>
          </w:p>
        </w:tc>
      </w:tr>
      <w:tr w:rsidR="00C93842" w:rsidRPr="00F975F0" w14:paraId="584AE9EB" w14:textId="77777777" w:rsidTr="004751BD">
        <w:trPr>
          <w:trHeight w:val="300"/>
        </w:trPr>
        <w:tc>
          <w:tcPr>
            <w:tcW w:w="833" w:type="dxa"/>
            <w:shd w:val="clear" w:color="auto" w:fill="auto"/>
            <w:noWrap/>
            <w:vAlign w:val="center"/>
            <w:hideMark/>
          </w:tcPr>
          <w:p w14:paraId="79CE049D"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lastRenderedPageBreak/>
              <w:t>1967</w:t>
            </w:r>
          </w:p>
        </w:tc>
        <w:tc>
          <w:tcPr>
            <w:tcW w:w="1862" w:type="dxa"/>
            <w:shd w:val="clear" w:color="auto" w:fill="auto"/>
            <w:noWrap/>
            <w:vAlign w:val="center"/>
            <w:hideMark/>
          </w:tcPr>
          <w:p w14:paraId="6F9403A0"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1.8</w:t>
            </w:r>
          </w:p>
        </w:tc>
        <w:tc>
          <w:tcPr>
            <w:tcW w:w="1980" w:type="dxa"/>
            <w:shd w:val="clear" w:color="auto" w:fill="auto"/>
            <w:noWrap/>
            <w:vAlign w:val="center"/>
            <w:hideMark/>
          </w:tcPr>
          <w:p w14:paraId="1C5C166D"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0</w:t>
            </w:r>
          </w:p>
        </w:tc>
        <w:tc>
          <w:tcPr>
            <w:tcW w:w="1890" w:type="dxa"/>
            <w:shd w:val="clear" w:color="auto" w:fill="auto"/>
            <w:noWrap/>
            <w:vAlign w:val="center"/>
            <w:hideMark/>
          </w:tcPr>
          <w:p w14:paraId="13D50C79"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57</w:t>
            </w:r>
          </w:p>
        </w:tc>
        <w:tc>
          <w:tcPr>
            <w:tcW w:w="1800" w:type="dxa"/>
            <w:shd w:val="clear" w:color="auto" w:fill="auto"/>
            <w:noWrap/>
            <w:vAlign w:val="center"/>
            <w:hideMark/>
          </w:tcPr>
          <w:p w14:paraId="6F4C2C43"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57</w:t>
            </w:r>
          </w:p>
        </w:tc>
      </w:tr>
      <w:tr w:rsidR="00C93842" w:rsidRPr="00F975F0" w14:paraId="0A1E23BA" w14:textId="77777777" w:rsidTr="004751BD">
        <w:trPr>
          <w:trHeight w:val="300"/>
        </w:trPr>
        <w:tc>
          <w:tcPr>
            <w:tcW w:w="833" w:type="dxa"/>
            <w:shd w:val="clear" w:color="auto" w:fill="auto"/>
            <w:noWrap/>
            <w:vAlign w:val="center"/>
            <w:hideMark/>
          </w:tcPr>
          <w:p w14:paraId="4CFCC5A5"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1971</w:t>
            </w:r>
          </w:p>
        </w:tc>
        <w:tc>
          <w:tcPr>
            <w:tcW w:w="1862" w:type="dxa"/>
            <w:shd w:val="clear" w:color="auto" w:fill="auto"/>
            <w:noWrap/>
            <w:vAlign w:val="center"/>
            <w:hideMark/>
          </w:tcPr>
          <w:p w14:paraId="18372CA7"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9.7</w:t>
            </w:r>
          </w:p>
        </w:tc>
        <w:tc>
          <w:tcPr>
            <w:tcW w:w="1980" w:type="dxa"/>
            <w:shd w:val="clear" w:color="auto" w:fill="auto"/>
            <w:noWrap/>
            <w:vAlign w:val="center"/>
            <w:hideMark/>
          </w:tcPr>
          <w:p w14:paraId="17B8B0C0"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0</w:t>
            </w:r>
          </w:p>
        </w:tc>
        <w:tc>
          <w:tcPr>
            <w:tcW w:w="1890" w:type="dxa"/>
            <w:shd w:val="clear" w:color="auto" w:fill="auto"/>
            <w:noWrap/>
            <w:vAlign w:val="center"/>
            <w:hideMark/>
          </w:tcPr>
          <w:p w14:paraId="2361846D"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53</w:t>
            </w:r>
          </w:p>
        </w:tc>
        <w:tc>
          <w:tcPr>
            <w:tcW w:w="1800" w:type="dxa"/>
            <w:shd w:val="clear" w:color="auto" w:fill="auto"/>
            <w:noWrap/>
            <w:vAlign w:val="center"/>
            <w:hideMark/>
          </w:tcPr>
          <w:p w14:paraId="6F2218CB"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53</w:t>
            </w:r>
          </w:p>
        </w:tc>
      </w:tr>
      <w:tr w:rsidR="00C93842" w:rsidRPr="00F975F0" w14:paraId="05FABA84" w14:textId="77777777" w:rsidTr="004751BD">
        <w:trPr>
          <w:trHeight w:val="300"/>
        </w:trPr>
        <w:tc>
          <w:tcPr>
            <w:tcW w:w="833" w:type="dxa"/>
            <w:shd w:val="clear" w:color="auto" w:fill="auto"/>
            <w:noWrap/>
            <w:vAlign w:val="center"/>
            <w:hideMark/>
          </w:tcPr>
          <w:p w14:paraId="414D5356"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1975</w:t>
            </w:r>
          </w:p>
        </w:tc>
        <w:tc>
          <w:tcPr>
            <w:tcW w:w="1862" w:type="dxa"/>
            <w:shd w:val="clear" w:color="auto" w:fill="auto"/>
            <w:noWrap/>
            <w:vAlign w:val="center"/>
            <w:hideMark/>
          </w:tcPr>
          <w:p w14:paraId="4E82EFFF"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2.4</w:t>
            </w:r>
          </w:p>
        </w:tc>
        <w:tc>
          <w:tcPr>
            <w:tcW w:w="1980" w:type="dxa"/>
            <w:shd w:val="clear" w:color="auto" w:fill="auto"/>
            <w:noWrap/>
            <w:vAlign w:val="center"/>
            <w:hideMark/>
          </w:tcPr>
          <w:p w14:paraId="103DD6BE"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0.8</w:t>
            </w:r>
          </w:p>
        </w:tc>
        <w:tc>
          <w:tcPr>
            <w:tcW w:w="1890" w:type="dxa"/>
            <w:shd w:val="clear" w:color="auto" w:fill="auto"/>
            <w:noWrap/>
            <w:vAlign w:val="center"/>
            <w:hideMark/>
          </w:tcPr>
          <w:p w14:paraId="2F63E6FB"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54</w:t>
            </w:r>
          </w:p>
        </w:tc>
        <w:tc>
          <w:tcPr>
            <w:tcW w:w="1800" w:type="dxa"/>
            <w:shd w:val="clear" w:color="auto" w:fill="auto"/>
            <w:noWrap/>
            <w:vAlign w:val="center"/>
            <w:hideMark/>
          </w:tcPr>
          <w:p w14:paraId="26A0E841"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55</w:t>
            </w:r>
          </w:p>
        </w:tc>
      </w:tr>
      <w:tr w:rsidR="00C93842" w:rsidRPr="00F975F0" w14:paraId="172F0E6E" w14:textId="77777777" w:rsidTr="004751BD">
        <w:trPr>
          <w:trHeight w:val="300"/>
        </w:trPr>
        <w:tc>
          <w:tcPr>
            <w:tcW w:w="833" w:type="dxa"/>
            <w:shd w:val="clear" w:color="auto" w:fill="auto"/>
            <w:noWrap/>
            <w:vAlign w:val="center"/>
            <w:hideMark/>
          </w:tcPr>
          <w:p w14:paraId="7ED21691"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1988</w:t>
            </w:r>
          </w:p>
        </w:tc>
        <w:tc>
          <w:tcPr>
            <w:tcW w:w="1862" w:type="dxa"/>
            <w:shd w:val="clear" w:color="auto" w:fill="auto"/>
            <w:noWrap/>
            <w:vAlign w:val="center"/>
            <w:hideMark/>
          </w:tcPr>
          <w:p w14:paraId="5CB8B6DB"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14</w:t>
            </w:r>
          </w:p>
        </w:tc>
        <w:tc>
          <w:tcPr>
            <w:tcW w:w="1980" w:type="dxa"/>
            <w:shd w:val="clear" w:color="auto" w:fill="auto"/>
            <w:noWrap/>
            <w:vAlign w:val="center"/>
            <w:hideMark/>
          </w:tcPr>
          <w:p w14:paraId="354BC4E7"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8.6</w:t>
            </w:r>
          </w:p>
        </w:tc>
        <w:tc>
          <w:tcPr>
            <w:tcW w:w="1890" w:type="dxa"/>
            <w:shd w:val="clear" w:color="auto" w:fill="auto"/>
            <w:noWrap/>
            <w:vAlign w:val="center"/>
            <w:hideMark/>
          </w:tcPr>
          <w:p w14:paraId="36CDA77D"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51</w:t>
            </w:r>
          </w:p>
        </w:tc>
        <w:tc>
          <w:tcPr>
            <w:tcW w:w="1800" w:type="dxa"/>
            <w:shd w:val="clear" w:color="auto" w:fill="auto"/>
            <w:noWrap/>
            <w:vAlign w:val="center"/>
            <w:hideMark/>
          </w:tcPr>
          <w:p w14:paraId="0A9F2A86"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60</w:t>
            </w:r>
          </w:p>
        </w:tc>
      </w:tr>
      <w:tr w:rsidR="00C93842" w:rsidRPr="00F975F0" w14:paraId="74834B63" w14:textId="77777777" w:rsidTr="004751BD">
        <w:trPr>
          <w:trHeight w:val="300"/>
        </w:trPr>
        <w:tc>
          <w:tcPr>
            <w:tcW w:w="833" w:type="dxa"/>
            <w:shd w:val="clear" w:color="auto" w:fill="auto"/>
            <w:noWrap/>
            <w:vAlign w:val="center"/>
            <w:hideMark/>
          </w:tcPr>
          <w:p w14:paraId="03494AD6"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2006</w:t>
            </w:r>
          </w:p>
        </w:tc>
        <w:tc>
          <w:tcPr>
            <w:tcW w:w="1862" w:type="dxa"/>
            <w:shd w:val="clear" w:color="auto" w:fill="auto"/>
            <w:noWrap/>
            <w:vAlign w:val="center"/>
            <w:hideMark/>
          </w:tcPr>
          <w:p w14:paraId="2DC8A20D"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28</w:t>
            </w:r>
          </w:p>
        </w:tc>
        <w:tc>
          <w:tcPr>
            <w:tcW w:w="1980" w:type="dxa"/>
            <w:shd w:val="clear" w:color="auto" w:fill="auto"/>
            <w:noWrap/>
            <w:vAlign w:val="center"/>
            <w:hideMark/>
          </w:tcPr>
          <w:p w14:paraId="04FD89F2"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17</w:t>
            </w:r>
          </w:p>
        </w:tc>
        <w:tc>
          <w:tcPr>
            <w:tcW w:w="1890" w:type="dxa"/>
            <w:shd w:val="clear" w:color="auto" w:fill="auto"/>
            <w:noWrap/>
            <w:vAlign w:val="center"/>
            <w:hideMark/>
          </w:tcPr>
          <w:p w14:paraId="0DA1BC65"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58</w:t>
            </w:r>
          </w:p>
        </w:tc>
        <w:tc>
          <w:tcPr>
            <w:tcW w:w="1800" w:type="dxa"/>
            <w:shd w:val="clear" w:color="auto" w:fill="auto"/>
            <w:noWrap/>
            <w:vAlign w:val="center"/>
            <w:hideMark/>
          </w:tcPr>
          <w:p w14:paraId="10C51A01"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75</w:t>
            </w:r>
          </w:p>
        </w:tc>
      </w:tr>
      <w:tr w:rsidR="00C93842" w:rsidRPr="00F975F0" w14:paraId="040D5990" w14:textId="77777777" w:rsidTr="004751BD">
        <w:trPr>
          <w:trHeight w:val="300"/>
        </w:trPr>
        <w:tc>
          <w:tcPr>
            <w:tcW w:w="833" w:type="dxa"/>
            <w:shd w:val="clear" w:color="auto" w:fill="auto"/>
            <w:noWrap/>
            <w:vAlign w:val="center"/>
            <w:hideMark/>
          </w:tcPr>
          <w:p w14:paraId="6BF0098D"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2015</w:t>
            </w:r>
          </w:p>
        </w:tc>
        <w:tc>
          <w:tcPr>
            <w:tcW w:w="1862" w:type="dxa"/>
            <w:shd w:val="clear" w:color="auto" w:fill="auto"/>
            <w:noWrap/>
            <w:vAlign w:val="center"/>
            <w:hideMark/>
          </w:tcPr>
          <w:p w14:paraId="72AB5856"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19</w:t>
            </w:r>
          </w:p>
        </w:tc>
        <w:tc>
          <w:tcPr>
            <w:tcW w:w="1980" w:type="dxa"/>
            <w:shd w:val="clear" w:color="auto" w:fill="auto"/>
            <w:noWrap/>
            <w:vAlign w:val="center"/>
            <w:hideMark/>
          </w:tcPr>
          <w:p w14:paraId="3268CDA9"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19</w:t>
            </w:r>
          </w:p>
        </w:tc>
        <w:tc>
          <w:tcPr>
            <w:tcW w:w="1890" w:type="dxa"/>
            <w:shd w:val="clear" w:color="auto" w:fill="auto"/>
            <w:noWrap/>
            <w:vAlign w:val="center"/>
            <w:hideMark/>
          </w:tcPr>
          <w:p w14:paraId="79A68DF4"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55</w:t>
            </w:r>
          </w:p>
        </w:tc>
        <w:tc>
          <w:tcPr>
            <w:tcW w:w="1800" w:type="dxa"/>
            <w:shd w:val="clear" w:color="auto" w:fill="auto"/>
            <w:noWrap/>
            <w:vAlign w:val="center"/>
            <w:hideMark/>
          </w:tcPr>
          <w:p w14:paraId="05A0C760" w14:textId="77777777" w:rsidR="00C93842" w:rsidRPr="00F975F0" w:rsidRDefault="00C93842" w:rsidP="004751BD">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74</w:t>
            </w:r>
          </w:p>
        </w:tc>
      </w:tr>
    </w:tbl>
    <w:p w14:paraId="0F3198D2" w14:textId="77777777" w:rsidR="00C93842" w:rsidRPr="00F975F0" w:rsidRDefault="00C93842" w:rsidP="00C93842">
      <w:pPr>
        <w:spacing w:before="120"/>
        <w:rPr>
          <w:rFonts w:ascii="Times" w:hAnsi="Times" w:cs="Times New Roman"/>
          <w:color w:val="000000" w:themeColor="text1"/>
          <w:sz w:val="20"/>
          <w:szCs w:val="20"/>
        </w:rPr>
      </w:pPr>
    </w:p>
    <w:p w14:paraId="7CC069E8" w14:textId="6FD27C66" w:rsidR="00C93842" w:rsidRPr="00F975F0" w:rsidRDefault="00C93842" w:rsidP="00C93842">
      <w:pPr>
        <w:spacing w:before="120"/>
        <w:rPr>
          <w:rFonts w:ascii="Times" w:hAnsi="Times" w:cs="Times New Roman"/>
          <w:color w:val="000000" w:themeColor="text1"/>
          <w:sz w:val="20"/>
          <w:szCs w:val="20"/>
        </w:rPr>
      </w:pPr>
      <w:r w:rsidRPr="00F975F0">
        <w:rPr>
          <w:rFonts w:ascii="Times" w:hAnsi="Times" w:cs="Times New Roman"/>
          <w:b/>
          <w:color w:val="000000" w:themeColor="text1"/>
          <w:sz w:val="20"/>
          <w:szCs w:val="20"/>
        </w:rPr>
        <w:t>Table SI</w:t>
      </w:r>
      <w:r w:rsidR="004439BA">
        <w:rPr>
          <w:rFonts w:ascii="Times" w:hAnsi="Times" w:cs="Times New Roman"/>
          <w:b/>
          <w:color w:val="000000" w:themeColor="text1"/>
          <w:sz w:val="20"/>
          <w:szCs w:val="20"/>
        </w:rPr>
        <w:t>6</w:t>
      </w:r>
      <w:r w:rsidRPr="00F975F0">
        <w:rPr>
          <w:rFonts w:ascii="Times" w:hAnsi="Times" w:cs="Times New Roman"/>
          <w:color w:val="000000" w:themeColor="text1"/>
          <w:sz w:val="20"/>
          <w:szCs w:val="20"/>
        </w:rPr>
        <w:t xml:space="preserve"> Increase in coastal development and length and percent of hardened and unhardened beach from 1928 to 2015.</w:t>
      </w:r>
    </w:p>
    <w:tbl>
      <w:tblPr>
        <w:tblW w:w="0" w:type="auto"/>
        <w:tblInd w:w="93" w:type="dxa"/>
        <w:tblLook w:val="04A0" w:firstRow="1" w:lastRow="0" w:firstColumn="1" w:lastColumn="0" w:noHBand="0" w:noVBand="1"/>
      </w:tblPr>
      <w:tblGrid>
        <w:gridCol w:w="960"/>
        <w:gridCol w:w="1840"/>
        <w:gridCol w:w="1641"/>
        <w:gridCol w:w="1479"/>
        <w:gridCol w:w="1604"/>
        <w:gridCol w:w="1396"/>
      </w:tblGrid>
      <w:tr w:rsidR="00C93842" w:rsidRPr="00F975F0" w14:paraId="56FC19AD" w14:textId="77777777" w:rsidTr="004751BD">
        <w:trPr>
          <w:trHeight w:val="300"/>
        </w:trPr>
        <w:tc>
          <w:tcPr>
            <w:tcW w:w="960" w:type="dxa"/>
            <w:tcBorders>
              <w:top w:val="nil"/>
              <w:left w:val="nil"/>
              <w:bottom w:val="nil"/>
              <w:right w:val="nil"/>
            </w:tcBorders>
            <w:shd w:val="clear" w:color="auto" w:fill="auto"/>
            <w:noWrap/>
            <w:vAlign w:val="center"/>
            <w:hideMark/>
          </w:tcPr>
          <w:p w14:paraId="7CABDD44" w14:textId="77777777" w:rsidR="00C93842" w:rsidRPr="00F975F0" w:rsidRDefault="00C93842" w:rsidP="004751BD">
            <w:pPr>
              <w:spacing w:before="120"/>
              <w:rPr>
                <w:rFonts w:ascii="Times" w:eastAsia="Times New Roman" w:hAnsi="Times" w:cs="Times New Roman"/>
                <w:b/>
                <w:bCs/>
                <w:caps/>
                <w:color w:val="000000" w:themeColor="text1"/>
                <w:sz w:val="20"/>
                <w:szCs w:val="20"/>
              </w:rPr>
            </w:pPr>
          </w:p>
        </w:tc>
        <w:tc>
          <w:tcPr>
            <w:tcW w:w="1840" w:type="dxa"/>
            <w:tcBorders>
              <w:top w:val="nil"/>
              <w:left w:val="nil"/>
              <w:bottom w:val="nil"/>
              <w:right w:val="nil"/>
            </w:tcBorders>
            <w:shd w:val="clear" w:color="auto" w:fill="auto"/>
            <w:noWrap/>
            <w:vAlign w:val="center"/>
            <w:hideMark/>
          </w:tcPr>
          <w:p w14:paraId="685480CC" w14:textId="77777777" w:rsidR="00C93842" w:rsidRPr="00F975F0" w:rsidRDefault="00C93842" w:rsidP="004751BD">
            <w:pPr>
              <w:spacing w:before="120"/>
              <w:rPr>
                <w:rFonts w:ascii="Times" w:eastAsia="Times New Roman" w:hAnsi="Times" w:cs="Times New Roman"/>
                <w:b/>
                <w:bCs/>
                <w:caps/>
                <w:color w:val="000000" w:themeColor="text1"/>
                <w:sz w:val="20"/>
                <w:szCs w:val="20"/>
              </w:rPr>
            </w:pPr>
          </w:p>
        </w:tc>
        <w:tc>
          <w:tcPr>
            <w:tcW w:w="31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DFF22"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hardened Beach</w:t>
            </w:r>
          </w:p>
        </w:tc>
        <w:tc>
          <w:tcPr>
            <w:tcW w:w="30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9179D8"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unhardened Beach</w:t>
            </w:r>
          </w:p>
        </w:tc>
      </w:tr>
      <w:tr w:rsidR="00C93842" w:rsidRPr="00F975F0" w14:paraId="4B104C08" w14:textId="77777777" w:rsidTr="004751BD">
        <w:trPr>
          <w:trHeight w:val="6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1E342"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Years</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4C28138C"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Amount of COASTAL BUILDINGS</w:t>
            </w:r>
          </w:p>
        </w:tc>
        <w:tc>
          <w:tcPr>
            <w:tcW w:w="1641" w:type="dxa"/>
            <w:tcBorders>
              <w:top w:val="nil"/>
              <w:left w:val="nil"/>
              <w:bottom w:val="single" w:sz="4" w:space="0" w:color="auto"/>
              <w:right w:val="single" w:sz="4" w:space="0" w:color="auto"/>
            </w:tcBorders>
            <w:shd w:val="clear" w:color="auto" w:fill="auto"/>
            <w:noWrap/>
            <w:vAlign w:val="center"/>
            <w:hideMark/>
          </w:tcPr>
          <w:p w14:paraId="3882C105"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 of shoreline</w:t>
            </w:r>
          </w:p>
        </w:tc>
        <w:tc>
          <w:tcPr>
            <w:tcW w:w="1479" w:type="dxa"/>
            <w:tcBorders>
              <w:top w:val="nil"/>
              <w:left w:val="nil"/>
              <w:bottom w:val="single" w:sz="4" w:space="0" w:color="auto"/>
              <w:right w:val="single" w:sz="4" w:space="0" w:color="auto"/>
            </w:tcBorders>
            <w:shd w:val="clear" w:color="auto" w:fill="auto"/>
            <w:vAlign w:val="center"/>
            <w:hideMark/>
          </w:tcPr>
          <w:p w14:paraId="0B33AA85"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Average Beach Width (m)</w:t>
            </w:r>
          </w:p>
        </w:tc>
        <w:tc>
          <w:tcPr>
            <w:tcW w:w="1604" w:type="dxa"/>
            <w:tcBorders>
              <w:top w:val="nil"/>
              <w:left w:val="nil"/>
              <w:bottom w:val="single" w:sz="4" w:space="0" w:color="auto"/>
              <w:right w:val="single" w:sz="4" w:space="0" w:color="auto"/>
            </w:tcBorders>
            <w:shd w:val="clear" w:color="auto" w:fill="auto"/>
            <w:noWrap/>
            <w:vAlign w:val="center"/>
            <w:hideMark/>
          </w:tcPr>
          <w:p w14:paraId="582171A7"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 of shoreline</w:t>
            </w:r>
          </w:p>
        </w:tc>
        <w:tc>
          <w:tcPr>
            <w:tcW w:w="1396" w:type="dxa"/>
            <w:tcBorders>
              <w:top w:val="nil"/>
              <w:left w:val="nil"/>
              <w:bottom w:val="single" w:sz="4" w:space="0" w:color="auto"/>
              <w:right w:val="single" w:sz="4" w:space="0" w:color="auto"/>
            </w:tcBorders>
            <w:shd w:val="clear" w:color="auto" w:fill="auto"/>
            <w:vAlign w:val="center"/>
            <w:hideMark/>
          </w:tcPr>
          <w:p w14:paraId="1611FC7F"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Average Beach Width (m)</w:t>
            </w:r>
          </w:p>
        </w:tc>
      </w:tr>
      <w:tr w:rsidR="00C93842" w:rsidRPr="00F975F0" w14:paraId="487F3A9E"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41BC14"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1928</w:t>
            </w:r>
          </w:p>
        </w:tc>
        <w:tc>
          <w:tcPr>
            <w:tcW w:w="1840" w:type="dxa"/>
            <w:tcBorders>
              <w:top w:val="nil"/>
              <w:left w:val="nil"/>
              <w:bottom w:val="single" w:sz="4" w:space="0" w:color="auto"/>
              <w:right w:val="single" w:sz="4" w:space="0" w:color="auto"/>
            </w:tcBorders>
            <w:shd w:val="clear" w:color="auto" w:fill="auto"/>
            <w:noWrap/>
            <w:vAlign w:val="center"/>
            <w:hideMark/>
          </w:tcPr>
          <w:p w14:paraId="33D917B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39</w:t>
            </w:r>
          </w:p>
        </w:tc>
        <w:tc>
          <w:tcPr>
            <w:tcW w:w="1641" w:type="dxa"/>
            <w:tcBorders>
              <w:top w:val="nil"/>
              <w:left w:val="nil"/>
              <w:bottom w:val="single" w:sz="4" w:space="0" w:color="auto"/>
              <w:right w:val="single" w:sz="4" w:space="0" w:color="auto"/>
            </w:tcBorders>
            <w:shd w:val="clear" w:color="auto" w:fill="auto"/>
            <w:noWrap/>
            <w:vAlign w:val="center"/>
            <w:hideMark/>
          </w:tcPr>
          <w:p w14:paraId="2A6EC5A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w:t>
            </w:r>
          </w:p>
        </w:tc>
        <w:tc>
          <w:tcPr>
            <w:tcW w:w="1479" w:type="dxa"/>
            <w:tcBorders>
              <w:top w:val="nil"/>
              <w:left w:val="nil"/>
              <w:bottom w:val="single" w:sz="4" w:space="0" w:color="auto"/>
              <w:right w:val="single" w:sz="4" w:space="0" w:color="auto"/>
            </w:tcBorders>
            <w:shd w:val="clear" w:color="auto" w:fill="auto"/>
            <w:noWrap/>
            <w:vAlign w:val="center"/>
            <w:hideMark/>
          </w:tcPr>
          <w:p w14:paraId="76A093A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c>
          <w:tcPr>
            <w:tcW w:w="1604" w:type="dxa"/>
            <w:tcBorders>
              <w:top w:val="nil"/>
              <w:left w:val="nil"/>
              <w:bottom w:val="single" w:sz="4" w:space="0" w:color="auto"/>
              <w:right w:val="single" w:sz="4" w:space="0" w:color="auto"/>
            </w:tcBorders>
            <w:shd w:val="clear" w:color="auto" w:fill="auto"/>
            <w:noWrap/>
            <w:vAlign w:val="center"/>
            <w:hideMark/>
          </w:tcPr>
          <w:p w14:paraId="094CF8D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100</w:t>
            </w:r>
          </w:p>
        </w:tc>
        <w:tc>
          <w:tcPr>
            <w:tcW w:w="1396" w:type="dxa"/>
            <w:tcBorders>
              <w:top w:val="nil"/>
              <w:left w:val="nil"/>
              <w:bottom w:val="single" w:sz="4" w:space="0" w:color="auto"/>
              <w:right w:val="single" w:sz="4" w:space="0" w:color="auto"/>
            </w:tcBorders>
            <w:shd w:val="clear" w:color="auto" w:fill="auto"/>
            <w:noWrap/>
            <w:vAlign w:val="center"/>
            <w:hideMark/>
          </w:tcPr>
          <w:p w14:paraId="68F2DFC3"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11.4</w:t>
            </w:r>
          </w:p>
        </w:tc>
      </w:tr>
      <w:tr w:rsidR="00C93842" w:rsidRPr="00F975F0" w14:paraId="463DA9C5"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F8A620"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1949</w:t>
            </w:r>
          </w:p>
        </w:tc>
        <w:tc>
          <w:tcPr>
            <w:tcW w:w="1840" w:type="dxa"/>
            <w:tcBorders>
              <w:top w:val="nil"/>
              <w:left w:val="nil"/>
              <w:bottom w:val="single" w:sz="4" w:space="0" w:color="auto"/>
              <w:right w:val="single" w:sz="4" w:space="0" w:color="auto"/>
            </w:tcBorders>
            <w:shd w:val="clear" w:color="auto" w:fill="auto"/>
            <w:noWrap/>
            <w:vAlign w:val="center"/>
            <w:hideMark/>
          </w:tcPr>
          <w:p w14:paraId="0509F49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107</w:t>
            </w:r>
          </w:p>
        </w:tc>
        <w:tc>
          <w:tcPr>
            <w:tcW w:w="1641" w:type="dxa"/>
            <w:tcBorders>
              <w:top w:val="nil"/>
              <w:left w:val="nil"/>
              <w:bottom w:val="single" w:sz="4" w:space="0" w:color="auto"/>
              <w:right w:val="single" w:sz="4" w:space="0" w:color="auto"/>
            </w:tcBorders>
            <w:shd w:val="clear" w:color="auto" w:fill="auto"/>
            <w:noWrap/>
            <w:vAlign w:val="center"/>
            <w:hideMark/>
          </w:tcPr>
          <w:p w14:paraId="69F90BF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20</w:t>
            </w:r>
          </w:p>
        </w:tc>
        <w:tc>
          <w:tcPr>
            <w:tcW w:w="1479" w:type="dxa"/>
            <w:tcBorders>
              <w:top w:val="nil"/>
              <w:left w:val="nil"/>
              <w:bottom w:val="single" w:sz="4" w:space="0" w:color="auto"/>
              <w:right w:val="single" w:sz="4" w:space="0" w:color="auto"/>
            </w:tcBorders>
            <w:shd w:val="clear" w:color="auto" w:fill="auto"/>
            <w:noWrap/>
            <w:vAlign w:val="center"/>
            <w:hideMark/>
          </w:tcPr>
          <w:p w14:paraId="124CC4AC"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6.6</w:t>
            </w:r>
          </w:p>
        </w:tc>
        <w:tc>
          <w:tcPr>
            <w:tcW w:w="1604" w:type="dxa"/>
            <w:tcBorders>
              <w:top w:val="nil"/>
              <w:left w:val="nil"/>
              <w:bottom w:val="single" w:sz="4" w:space="0" w:color="auto"/>
              <w:right w:val="single" w:sz="4" w:space="0" w:color="auto"/>
            </w:tcBorders>
            <w:shd w:val="clear" w:color="auto" w:fill="auto"/>
            <w:noWrap/>
            <w:vAlign w:val="center"/>
            <w:hideMark/>
          </w:tcPr>
          <w:p w14:paraId="2621A7F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80</w:t>
            </w:r>
          </w:p>
        </w:tc>
        <w:tc>
          <w:tcPr>
            <w:tcW w:w="1396" w:type="dxa"/>
            <w:tcBorders>
              <w:top w:val="nil"/>
              <w:left w:val="nil"/>
              <w:bottom w:val="single" w:sz="4" w:space="0" w:color="auto"/>
              <w:right w:val="single" w:sz="4" w:space="0" w:color="auto"/>
            </w:tcBorders>
            <w:shd w:val="clear" w:color="auto" w:fill="auto"/>
            <w:noWrap/>
            <w:vAlign w:val="center"/>
            <w:hideMark/>
          </w:tcPr>
          <w:p w14:paraId="7435926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13.1</w:t>
            </w:r>
          </w:p>
        </w:tc>
      </w:tr>
      <w:tr w:rsidR="00C93842" w:rsidRPr="00F975F0" w14:paraId="4A512FEA"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A6C142"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1958</w:t>
            </w:r>
          </w:p>
        </w:tc>
        <w:tc>
          <w:tcPr>
            <w:tcW w:w="1840" w:type="dxa"/>
            <w:tcBorders>
              <w:top w:val="nil"/>
              <w:left w:val="nil"/>
              <w:bottom w:val="single" w:sz="4" w:space="0" w:color="auto"/>
              <w:right w:val="single" w:sz="4" w:space="0" w:color="auto"/>
            </w:tcBorders>
            <w:shd w:val="clear" w:color="auto" w:fill="auto"/>
            <w:noWrap/>
            <w:vAlign w:val="center"/>
            <w:hideMark/>
          </w:tcPr>
          <w:p w14:paraId="0650E0E3"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129</w:t>
            </w:r>
          </w:p>
        </w:tc>
        <w:tc>
          <w:tcPr>
            <w:tcW w:w="1641" w:type="dxa"/>
            <w:tcBorders>
              <w:top w:val="nil"/>
              <w:left w:val="nil"/>
              <w:bottom w:val="single" w:sz="4" w:space="0" w:color="auto"/>
              <w:right w:val="single" w:sz="4" w:space="0" w:color="auto"/>
            </w:tcBorders>
            <w:shd w:val="clear" w:color="auto" w:fill="auto"/>
            <w:noWrap/>
            <w:vAlign w:val="center"/>
            <w:hideMark/>
          </w:tcPr>
          <w:p w14:paraId="67D02B1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30</w:t>
            </w:r>
          </w:p>
        </w:tc>
        <w:tc>
          <w:tcPr>
            <w:tcW w:w="1479" w:type="dxa"/>
            <w:tcBorders>
              <w:top w:val="nil"/>
              <w:left w:val="nil"/>
              <w:bottom w:val="single" w:sz="4" w:space="0" w:color="auto"/>
              <w:right w:val="single" w:sz="4" w:space="0" w:color="auto"/>
            </w:tcBorders>
            <w:shd w:val="clear" w:color="auto" w:fill="auto"/>
            <w:noWrap/>
            <w:vAlign w:val="center"/>
            <w:hideMark/>
          </w:tcPr>
          <w:p w14:paraId="3813291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6.2</w:t>
            </w:r>
          </w:p>
        </w:tc>
        <w:tc>
          <w:tcPr>
            <w:tcW w:w="1604" w:type="dxa"/>
            <w:tcBorders>
              <w:top w:val="nil"/>
              <w:left w:val="nil"/>
              <w:bottom w:val="single" w:sz="4" w:space="0" w:color="auto"/>
              <w:right w:val="single" w:sz="4" w:space="0" w:color="auto"/>
            </w:tcBorders>
            <w:shd w:val="clear" w:color="auto" w:fill="auto"/>
            <w:noWrap/>
            <w:vAlign w:val="center"/>
            <w:hideMark/>
          </w:tcPr>
          <w:p w14:paraId="521D2A1B"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70</w:t>
            </w:r>
          </w:p>
        </w:tc>
        <w:tc>
          <w:tcPr>
            <w:tcW w:w="1396" w:type="dxa"/>
            <w:tcBorders>
              <w:top w:val="nil"/>
              <w:left w:val="nil"/>
              <w:bottom w:val="single" w:sz="4" w:space="0" w:color="auto"/>
              <w:right w:val="single" w:sz="4" w:space="0" w:color="auto"/>
            </w:tcBorders>
            <w:shd w:val="clear" w:color="auto" w:fill="auto"/>
            <w:noWrap/>
            <w:vAlign w:val="center"/>
            <w:hideMark/>
          </w:tcPr>
          <w:p w14:paraId="43E52F37"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13.4</w:t>
            </w:r>
          </w:p>
        </w:tc>
      </w:tr>
      <w:tr w:rsidR="00C93842" w:rsidRPr="00F975F0" w14:paraId="79F96D7A"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A8032B"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1967</w:t>
            </w:r>
          </w:p>
        </w:tc>
        <w:tc>
          <w:tcPr>
            <w:tcW w:w="1840" w:type="dxa"/>
            <w:tcBorders>
              <w:top w:val="nil"/>
              <w:left w:val="nil"/>
              <w:bottom w:val="single" w:sz="4" w:space="0" w:color="auto"/>
              <w:right w:val="single" w:sz="4" w:space="0" w:color="auto"/>
            </w:tcBorders>
            <w:shd w:val="clear" w:color="auto" w:fill="auto"/>
            <w:noWrap/>
            <w:vAlign w:val="center"/>
            <w:hideMark/>
          </w:tcPr>
          <w:p w14:paraId="738E565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155</w:t>
            </w:r>
          </w:p>
        </w:tc>
        <w:tc>
          <w:tcPr>
            <w:tcW w:w="1641" w:type="dxa"/>
            <w:tcBorders>
              <w:top w:val="nil"/>
              <w:left w:val="nil"/>
              <w:bottom w:val="single" w:sz="4" w:space="0" w:color="auto"/>
              <w:right w:val="single" w:sz="4" w:space="0" w:color="auto"/>
            </w:tcBorders>
            <w:shd w:val="clear" w:color="auto" w:fill="auto"/>
            <w:noWrap/>
            <w:vAlign w:val="center"/>
            <w:hideMark/>
          </w:tcPr>
          <w:p w14:paraId="36926F7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41</w:t>
            </w:r>
          </w:p>
        </w:tc>
        <w:tc>
          <w:tcPr>
            <w:tcW w:w="1479" w:type="dxa"/>
            <w:tcBorders>
              <w:top w:val="nil"/>
              <w:left w:val="nil"/>
              <w:bottom w:val="single" w:sz="4" w:space="0" w:color="auto"/>
              <w:right w:val="single" w:sz="4" w:space="0" w:color="auto"/>
            </w:tcBorders>
            <w:shd w:val="clear" w:color="auto" w:fill="auto"/>
            <w:noWrap/>
            <w:vAlign w:val="center"/>
            <w:hideMark/>
          </w:tcPr>
          <w:p w14:paraId="2ACBF73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13.4</w:t>
            </w:r>
          </w:p>
        </w:tc>
        <w:tc>
          <w:tcPr>
            <w:tcW w:w="1604" w:type="dxa"/>
            <w:tcBorders>
              <w:top w:val="nil"/>
              <w:left w:val="nil"/>
              <w:bottom w:val="single" w:sz="4" w:space="0" w:color="auto"/>
              <w:right w:val="single" w:sz="4" w:space="0" w:color="auto"/>
            </w:tcBorders>
            <w:shd w:val="clear" w:color="auto" w:fill="auto"/>
            <w:noWrap/>
            <w:vAlign w:val="center"/>
            <w:hideMark/>
          </w:tcPr>
          <w:p w14:paraId="6DD8970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59</w:t>
            </w:r>
          </w:p>
        </w:tc>
        <w:tc>
          <w:tcPr>
            <w:tcW w:w="1396" w:type="dxa"/>
            <w:tcBorders>
              <w:top w:val="nil"/>
              <w:left w:val="nil"/>
              <w:bottom w:val="single" w:sz="4" w:space="0" w:color="auto"/>
              <w:right w:val="single" w:sz="4" w:space="0" w:color="auto"/>
            </w:tcBorders>
            <w:shd w:val="clear" w:color="auto" w:fill="auto"/>
            <w:noWrap/>
            <w:vAlign w:val="center"/>
            <w:hideMark/>
          </w:tcPr>
          <w:p w14:paraId="2927E14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17.7</w:t>
            </w:r>
          </w:p>
        </w:tc>
      </w:tr>
      <w:tr w:rsidR="00C93842" w:rsidRPr="00F975F0" w14:paraId="0F885A9C"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E9CC9D"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1971</w:t>
            </w:r>
          </w:p>
        </w:tc>
        <w:tc>
          <w:tcPr>
            <w:tcW w:w="1840" w:type="dxa"/>
            <w:tcBorders>
              <w:top w:val="nil"/>
              <w:left w:val="nil"/>
              <w:bottom w:val="single" w:sz="4" w:space="0" w:color="auto"/>
              <w:right w:val="single" w:sz="4" w:space="0" w:color="auto"/>
            </w:tcBorders>
            <w:shd w:val="clear" w:color="auto" w:fill="auto"/>
            <w:noWrap/>
            <w:vAlign w:val="center"/>
            <w:hideMark/>
          </w:tcPr>
          <w:p w14:paraId="545BA76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164</w:t>
            </w:r>
          </w:p>
        </w:tc>
        <w:tc>
          <w:tcPr>
            <w:tcW w:w="1641" w:type="dxa"/>
            <w:tcBorders>
              <w:top w:val="nil"/>
              <w:left w:val="nil"/>
              <w:bottom w:val="single" w:sz="4" w:space="0" w:color="auto"/>
              <w:right w:val="single" w:sz="4" w:space="0" w:color="auto"/>
            </w:tcBorders>
            <w:shd w:val="clear" w:color="auto" w:fill="auto"/>
            <w:noWrap/>
            <w:vAlign w:val="center"/>
            <w:hideMark/>
          </w:tcPr>
          <w:p w14:paraId="5B3325A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42</w:t>
            </w:r>
          </w:p>
        </w:tc>
        <w:tc>
          <w:tcPr>
            <w:tcW w:w="1479" w:type="dxa"/>
            <w:tcBorders>
              <w:top w:val="nil"/>
              <w:left w:val="nil"/>
              <w:bottom w:val="single" w:sz="4" w:space="0" w:color="auto"/>
              <w:right w:val="single" w:sz="4" w:space="0" w:color="auto"/>
            </w:tcBorders>
            <w:shd w:val="clear" w:color="auto" w:fill="auto"/>
            <w:noWrap/>
            <w:vAlign w:val="center"/>
            <w:hideMark/>
          </w:tcPr>
          <w:p w14:paraId="5438CA8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9.8</w:t>
            </w:r>
          </w:p>
        </w:tc>
        <w:tc>
          <w:tcPr>
            <w:tcW w:w="1604" w:type="dxa"/>
            <w:tcBorders>
              <w:top w:val="nil"/>
              <w:left w:val="nil"/>
              <w:bottom w:val="single" w:sz="4" w:space="0" w:color="auto"/>
              <w:right w:val="single" w:sz="4" w:space="0" w:color="auto"/>
            </w:tcBorders>
            <w:shd w:val="clear" w:color="auto" w:fill="auto"/>
            <w:noWrap/>
            <w:vAlign w:val="center"/>
            <w:hideMark/>
          </w:tcPr>
          <w:p w14:paraId="21BE090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58</w:t>
            </w:r>
          </w:p>
        </w:tc>
        <w:tc>
          <w:tcPr>
            <w:tcW w:w="1396" w:type="dxa"/>
            <w:tcBorders>
              <w:top w:val="nil"/>
              <w:left w:val="nil"/>
              <w:bottom w:val="single" w:sz="4" w:space="0" w:color="auto"/>
              <w:right w:val="single" w:sz="4" w:space="0" w:color="auto"/>
            </w:tcBorders>
            <w:shd w:val="clear" w:color="auto" w:fill="auto"/>
            <w:noWrap/>
            <w:vAlign w:val="center"/>
            <w:hideMark/>
          </w:tcPr>
          <w:p w14:paraId="126D8B5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16.9</w:t>
            </w:r>
          </w:p>
        </w:tc>
      </w:tr>
      <w:tr w:rsidR="00C93842" w:rsidRPr="00F975F0" w14:paraId="03DA7773"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08D4C1"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1975</w:t>
            </w:r>
          </w:p>
        </w:tc>
        <w:tc>
          <w:tcPr>
            <w:tcW w:w="1840" w:type="dxa"/>
            <w:tcBorders>
              <w:top w:val="nil"/>
              <w:left w:val="nil"/>
              <w:bottom w:val="single" w:sz="4" w:space="0" w:color="auto"/>
              <w:right w:val="single" w:sz="4" w:space="0" w:color="auto"/>
            </w:tcBorders>
            <w:shd w:val="clear" w:color="auto" w:fill="auto"/>
            <w:noWrap/>
            <w:vAlign w:val="center"/>
            <w:hideMark/>
          </w:tcPr>
          <w:p w14:paraId="56D6F84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177</w:t>
            </w:r>
          </w:p>
        </w:tc>
        <w:tc>
          <w:tcPr>
            <w:tcW w:w="1641" w:type="dxa"/>
            <w:tcBorders>
              <w:top w:val="nil"/>
              <w:left w:val="nil"/>
              <w:bottom w:val="single" w:sz="4" w:space="0" w:color="auto"/>
              <w:right w:val="single" w:sz="4" w:space="0" w:color="auto"/>
            </w:tcBorders>
            <w:shd w:val="clear" w:color="auto" w:fill="auto"/>
            <w:noWrap/>
            <w:vAlign w:val="center"/>
            <w:hideMark/>
          </w:tcPr>
          <w:p w14:paraId="0FFED77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45</w:t>
            </w:r>
          </w:p>
        </w:tc>
        <w:tc>
          <w:tcPr>
            <w:tcW w:w="1479" w:type="dxa"/>
            <w:tcBorders>
              <w:top w:val="nil"/>
              <w:left w:val="nil"/>
              <w:bottom w:val="single" w:sz="4" w:space="0" w:color="auto"/>
              <w:right w:val="single" w:sz="4" w:space="0" w:color="auto"/>
            </w:tcBorders>
            <w:shd w:val="clear" w:color="auto" w:fill="auto"/>
            <w:noWrap/>
            <w:vAlign w:val="center"/>
            <w:hideMark/>
          </w:tcPr>
          <w:p w14:paraId="3E9CC1C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11.0</w:t>
            </w:r>
          </w:p>
        </w:tc>
        <w:tc>
          <w:tcPr>
            <w:tcW w:w="1604" w:type="dxa"/>
            <w:tcBorders>
              <w:top w:val="nil"/>
              <w:left w:val="nil"/>
              <w:bottom w:val="single" w:sz="4" w:space="0" w:color="auto"/>
              <w:right w:val="single" w:sz="4" w:space="0" w:color="auto"/>
            </w:tcBorders>
            <w:shd w:val="clear" w:color="auto" w:fill="auto"/>
            <w:noWrap/>
            <w:vAlign w:val="center"/>
            <w:hideMark/>
          </w:tcPr>
          <w:p w14:paraId="1EC1D49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55</w:t>
            </w:r>
          </w:p>
        </w:tc>
        <w:tc>
          <w:tcPr>
            <w:tcW w:w="1396" w:type="dxa"/>
            <w:tcBorders>
              <w:top w:val="nil"/>
              <w:left w:val="nil"/>
              <w:bottom w:val="single" w:sz="4" w:space="0" w:color="auto"/>
              <w:right w:val="single" w:sz="4" w:space="0" w:color="auto"/>
            </w:tcBorders>
            <w:shd w:val="clear" w:color="auto" w:fill="auto"/>
            <w:noWrap/>
            <w:vAlign w:val="center"/>
            <w:hideMark/>
          </w:tcPr>
          <w:p w14:paraId="0D049525"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17.0</w:t>
            </w:r>
          </w:p>
        </w:tc>
      </w:tr>
      <w:tr w:rsidR="00C93842" w:rsidRPr="00F975F0" w14:paraId="421AD21C"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25236F"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1988</w:t>
            </w:r>
          </w:p>
        </w:tc>
        <w:tc>
          <w:tcPr>
            <w:tcW w:w="1840" w:type="dxa"/>
            <w:tcBorders>
              <w:top w:val="nil"/>
              <w:left w:val="nil"/>
              <w:bottom w:val="single" w:sz="4" w:space="0" w:color="auto"/>
              <w:right w:val="single" w:sz="4" w:space="0" w:color="auto"/>
            </w:tcBorders>
            <w:shd w:val="clear" w:color="auto" w:fill="auto"/>
            <w:noWrap/>
            <w:vAlign w:val="center"/>
            <w:hideMark/>
          </w:tcPr>
          <w:p w14:paraId="7ECD3D0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c>
          <w:tcPr>
            <w:tcW w:w="1641" w:type="dxa"/>
            <w:tcBorders>
              <w:top w:val="nil"/>
              <w:left w:val="nil"/>
              <w:bottom w:val="single" w:sz="4" w:space="0" w:color="auto"/>
              <w:right w:val="single" w:sz="4" w:space="0" w:color="auto"/>
            </w:tcBorders>
            <w:shd w:val="clear" w:color="auto" w:fill="auto"/>
            <w:noWrap/>
            <w:vAlign w:val="center"/>
            <w:hideMark/>
          </w:tcPr>
          <w:p w14:paraId="22AC12F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c>
          <w:tcPr>
            <w:tcW w:w="1479" w:type="dxa"/>
            <w:tcBorders>
              <w:top w:val="nil"/>
              <w:left w:val="nil"/>
              <w:bottom w:val="single" w:sz="4" w:space="0" w:color="auto"/>
              <w:right w:val="single" w:sz="4" w:space="0" w:color="auto"/>
            </w:tcBorders>
            <w:shd w:val="clear" w:color="auto" w:fill="auto"/>
            <w:noWrap/>
            <w:vAlign w:val="center"/>
            <w:hideMark/>
          </w:tcPr>
          <w:p w14:paraId="3E5F345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8.3</w:t>
            </w:r>
          </w:p>
        </w:tc>
        <w:tc>
          <w:tcPr>
            <w:tcW w:w="1604" w:type="dxa"/>
            <w:tcBorders>
              <w:top w:val="nil"/>
              <w:left w:val="nil"/>
              <w:bottom w:val="single" w:sz="4" w:space="0" w:color="auto"/>
              <w:right w:val="single" w:sz="4" w:space="0" w:color="auto"/>
            </w:tcBorders>
            <w:shd w:val="clear" w:color="auto" w:fill="auto"/>
            <w:noWrap/>
            <w:vAlign w:val="center"/>
            <w:hideMark/>
          </w:tcPr>
          <w:p w14:paraId="6568AFF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c>
          <w:tcPr>
            <w:tcW w:w="1396" w:type="dxa"/>
            <w:tcBorders>
              <w:top w:val="nil"/>
              <w:left w:val="nil"/>
              <w:bottom w:val="single" w:sz="4" w:space="0" w:color="auto"/>
              <w:right w:val="single" w:sz="4" w:space="0" w:color="auto"/>
            </w:tcBorders>
            <w:shd w:val="clear" w:color="auto" w:fill="auto"/>
            <w:noWrap/>
            <w:vAlign w:val="center"/>
            <w:hideMark/>
          </w:tcPr>
          <w:p w14:paraId="7C32C0C9"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16.4</w:t>
            </w:r>
          </w:p>
        </w:tc>
      </w:tr>
      <w:tr w:rsidR="00C93842" w:rsidRPr="00F975F0" w14:paraId="7ECFDE89"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FB5603"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1993</w:t>
            </w:r>
          </w:p>
        </w:tc>
        <w:tc>
          <w:tcPr>
            <w:tcW w:w="1840" w:type="dxa"/>
            <w:tcBorders>
              <w:top w:val="nil"/>
              <w:left w:val="nil"/>
              <w:bottom w:val="single" w:sz="4" w:space="0" w:color="auto"/>
              <w:right w:val="single" w:sz="4" w:space="0" w:color="auto"/>
            </w:tcBorders>
            <w:shd w:val="clear" w:color="auto" w:fill="auto"/>
            <w:noWrap/>
            <w:vAlign w:val="center"/>
            <w:hideMark/>
          </w:tcPr>
          <w:p w14:paraId="5A1F82C3"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185</w:t>
            </w:r>
          </w:p>
        </w:tc>
        <w:tc>
          <w:tcPr>
            <w:tcW w:w="1641" w:type="dxa"/>
            <w:tcBorders>
              <w:top w:val="nil"/>
              <w:left w:val="nil"/>
              <w:bottom w:val="single" w:sz="4" w:space="0" w:color="auto"/>
              <w:right w:val="single" w:sz="4" w:space="0" w:color="auto"/>
            </w:tcBorders>
            <w:shd w:val="clear" w:color="auto" w:fill="auto"/>
            <w:noWrap/>
            <w:vAlign w:val="center"/>
            <w:hideMark/>
          </w:tcPr>
          <w:p w14:paraId="05E84C3C"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51</w:t>
            </w:r>
          </w:p>
        </w:tc>
        <w:tc>
          <w:tcPr>
            <w:tcW w:w="1479" w:type="dxa"/>
            <w:tcBorders>
              <w:top w:val="nil"/>
              <w:left w:val="nil"/>
              <w:bottom w:val="single" w:sz="4" w:space="0" w:color="auto"/>
              <w:right w:val="single" w:sz="4" w:space="0" w:color="auto"/>
            </w:tcBorders>
            <w:shd w:val="clear" w:color="auto" w:fill="auto"/>
            <w:noWrap/>
            <w:vAlign w:val="center"/>
            <w:hideMark/>
          </w:tcPr>
          <w:p w14:paraId="3BC141A9"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c>
          <w:tcPr>
            <w:tcW w:w="1604" w:type="dxa"/>
            <w:tcBorders>
              <w:top w:val="nil"/>
              <w:left w:val="nil"/>
              <w:bottom w:val="single" w:sz="4" w:space="0" w:color="auto"/>
              <w:right w:val="single" w:sz="4" w:space="0" w:color="auto"/>
            </w:tcBorders>
            <w:shd w:val="clear" w:color="auto" w:fill="auto"/>
            <w:noWrap/>
            <w:vAlign w:val="center"/>
            <w:hideMark/>
          </w:tcPr>
          <w:p w14:paraId="0000BC27"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49</w:t>
            </w:r>
          </w:p>
        </w:tc>
        <w:tc>
          <w:tcPr>
            <w:tcW w:w="1396" w:type="dxa"/>
            <w:tcBorders>
              <w:top w:val="nil"/>
              <w:left w:val="nil"/>
              <w:bottom w:val="single" w:sz="4" w:space="0" w:color="auto"/>
              <w:right w:val="single" w:sz="4" w:space="0" w:color="auto"/>
            </w:tcBorders>
            <w:shd w:val="clear" w:color="auto" w:fill="auto"/>
            <w:noWrap/>
            <w:vAlign w:val="center"/>
            <w:hideMark/>
          </w:tcPr>
          <w:p w14:paraId="373EC9C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r>
      <w:tr w:rsidR="00C93842" w:rsidRPr="00F975F0" w14:paraId="01A8A718"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93671"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2006</w:t>
            </w:r>
          </w:p>
        </w:tc>
        <w:tc>
          <w:tcPr>
            <w:tcW w:w="1840" w:type="dxa"/>
            <w:tcBorders>
              <w:top w:val="nil"/>
              <w:left w:val="nil"/>
              <w:bottom w:val="single" w:sz="4" w:space="0" w:color="auto"/>
              <w:right w:val="single" w:sz="4" w:space="0" w:color="auto"/>
            </w:tcBorders>
            <w:shd w:val="clear" w:color="auto" w:fill="auto"/>
            <w:noWrap/>
            <w:vAlign w:val="center"/>
            <w:hideMark/>
          </w:tcPr>
          <w:p w14:paraId="1BCA4C85"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192</w:t>
            </w:r>
          </w:p>
        </w:tc>
        <w:tc>
          <w:tcPr>
            <w:tcW w:w="1641" w:type="dxa"/>
            <w:tcBorders>
              <w:top w:val="nil"/>
              <w:left w:val="nil"/>
              <w:bottom w:val="single" w:sz="4" w:space="0" w:color="auto"/>
              <w:right w:val="single" w:sz="4" w:space="0" w:color="auto"/>
            </w:tcBorders>
            <w:shd w:val="clear" w:color="auto" w:fill="auto"/>
            <w:noWrap/>
            <w:vAlign w:val="center"/>
            <w:hideMark/>
          </w:tcPr>
          <w:p w14:paraId="3AE6380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63</w:t>
            </w:r>
          </w:p>
        </w:tc>
        <w:tc>
          <w:tcPr>
            <w:tcW w:w="1479" w:type="dxa"/>
            <w:tcBorders>
              <w:top w:val="nil"/>
              <w:left w:val="nil"/>
              <w:bottom w:val="single" w:sz="4" w:space="0" w:color="auto"/>
              <w:right w:val="single" w:sz="4" w:space="0" w:color="auto"/>
            </w:tcBorders>
            <w:shd w:val="clear" w:color="auto" w:fill="auto"/>
            <w:noWrap/>
            <w:vAlign w:val="center"/>
            <w:hideMark/>
          </w:tcPr>
          <w:p w14:paraId="2D00106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5.4</w:t>
            </w:r>
          </w:p>
        </w:tc>
        <w:tc>
          <w:tcPr>
            <w:tcW w:w="1604" w:type="dxa"/>
            <w:tcBorders>
              <w:top w:val="nil"/>
              <w:left w:val="nil"/>
              <w:bottom w:val="single" w:sz="4" w:space="0" w:color="auto"/>
              <w:right w:val="single" w:sz="4" w:space="0" w:color="auto"/>
            </w:tcBorders>
            <w:shd w:val="clear" w:color="auto" w:fill="auto"/>
            <w:noWrap/>
            <w:vAlign w:val="center"/>
            <w:hideMark/>
          </w:tcPr>
          <w:p w14:paraId="768116AD"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37</w:t>
            </w:r>
          </w:p>
        </w:tc>
        <w:tc>
          <w:tcPr>
            <w:tcW w:w="1396" w:type="dxa"/>
            <w:tcBorders>
              <w:top w:val="nil"/>
              <w:left w:val="nil"/>
              <w:bottom w:val="single" w:sz="4" w:space="0" w:color="auto"/>
              <w:right w:val="single" w:sz="4" w:space="0" w:color="auto"/>
            </w:tcBorders>
            <w:shd w:val="clear" w:color="auto" w:fill="auto"/>
            <w:noWrap/>
            <w:vAlign w:val="center"/>
            <w:hideMark/>
          </w:tcPr>
          <w:p w14:paraId="514FE8F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12.1</w:t>
            </w:r>
          </w:p>
        </w:tc>
      </w:tr>
      <w:tr w:rsidR="00C93842" w:rsidRPr="00F975F0" w14:paraId="612CE8A4"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1EFE03"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2011</w:t>
            </w:r>
          </w:p>
        </w:tc>
        <w:tc>
          <w:tcPr>
            <w:tcW w:w="1840" w:type="dxa"/>
            <w:tcBorders>
              <w:top w:val="nil"/>
              <w:left w:val="nil"/>
              <w:bottom w:val="single" w:sz="4" w:space="0" w:color="auto"/>
              <w:right w:val="single" w:sz="4" w:space="0" w:color="auto"/>
            </w:tcBorders>
            <w:shd w:val="clear" w:color="auto" w:fill="auto"/>
            <w:noWrap/>
            <w:vAlign w:val="center"/>
            <w:hideMark/>
          </w:tcPr>
          <w:p w14:paraId="46039F12"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190</w:t>
            </w:r>
          </w:p>
        </w:tc>
        <w:tc>
          <w:tcPr>
            <w:tcW w:w="1641" w:type="dxa"/>
            <w:tcBorders>
              <w:top w:val="nil"/>
              <w:left w:val="nil"/>
              <w:bottom w:val="single" w:sz="4" w:space="0" w:color="auto"/>
              <w:right w:val="single" w:sz="4" w:space="0" w:color="auto"/>
            </w:tcBorders>
            <w:shd w:val="clear" w:color="auto" w:fill="auto"/>
            <w:noWrap/>
            <w:vAlign w:val="center"/>
            <w:hideMark/>
          </w:tcPr>
          <w:p w14:paraId="13FA3CA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64</w:t>
            </w:r>
          </w:p>
        </w:tc>
        <w:tc>
          <w:tcPr>
            <w:tcW w:w="1479" w:type="dxa"/>
            <w:tcBorders>
              <w:top w:val="nil"/>
              <w:left w:val="nil"/>
              <w:bottom w:val="single" w:sz="4" w:space="0" w:color="auto"/>
              <w:right w:val="single" w:sz="4" w:space="0" w:color="auto"/>
            </w:tcBorders>
            <w:shd w:val="clear" w:color="auto" w:fill="auto"/>
            <w:noWrap/>
            <w:vAlign w:val="center"/>
            <w:hideMark/>
          </w:tcPr>
          <w:p w14:paraId="01F56E3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c>
          <w:tcPr>
            <w:tcW w:w="1604" w:type="dxa"/>
            <w:tcBorders>
              <w:top w:val="nil"/>
              <w:left w:val="nil"/>
              <w:bottom w:val="single" w:sz="4" w:space="0" w:color="auto"/>
              <w:right w:val="single" w:sz="4" w:space="0" w:color="auto"/>
            </w:tcBorders>
            <w:shd w:val="clear" w:color="auto" w:fill="auto"/>
            <w:noWrap/>
            <w:vAlign w:val="center"/>
            <w:hideMark/>
          </w:tcPr>
          <w:p w14:paraId="3F93145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36</w:t>
            </w:r>
          </w:p>
        </w:tc>
        <w:tc>
          <w:tcPr>
            <w:tcW w:w="1396" w:type="dxa"/>
            <w:tcBorders>
              <w:top w:val="nil"/>
              <w:left w:val="nil"/>
              <w:bottom w:val="single" w:sz="4" w:space="0" w:color="auto"/>
              <w:right w:val="single" w:sz="4" w:space="0" w:color="auto"/>
            </w:tcBorders>
            <w:shd w:val="clear" w:color="auto" w:fill="auto"/>
            <w:noWrap/>
            <w:vAlign w:val="center"/>
            <w:hideMark/>
          </w:tcPr>
          <w:p w14:paraId="08813DCF"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N/A</w:t>
            </w:r>
          </w:p>
        </w:tc>
      </w:tr>
      <w:tr w:rsidR="00C93842" w:rsidRPr="00F975F0" w14:paraId="7C74E571" w14:textId="77777777" w:rsidTr="004751BD">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E5CF7F"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2015</w:t>
            </w:r>
          </w:p>
        </w:tc>
        <w:tc>
          <w:tcPr>
            <w:tcW w:w="1840" w:type="dxa"/>
            <w:tcBorders>
              <w:top w:val="nil"/>
              <w:left w:val="nil"/>
              <w:bottom w:val="single" w:sz="4" w:space="0" w:color="auto"/>
              <w:right w:val="single" w:sz="4" w:space="0" w:color="auto"/>
            </w:tcBorders>
            <w:shd w:val="clear" w:color="auto" w:fill="auto"/>
            <w:noWrap/>
            <w:vAlign w:val="center"/>
            <w:hideMark/>
          </w:tcPr>
          <w:p w14:paraId="1555EE8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189</w:t>
            </w:r>
          </w:p>
        </w:tc>
        <w:tc>
          <w:tcPr>
            <w:tcW w:w="1641" w:type="dxa"/>
            <w:tcBorders>
              <w:top w:val="nil"/>
              <w:left w:val="nil"/>
              <w:bottom w:val="single" w:sz="4" w:space="0" w:color="auto"/>
              <w:right w:val="single" w:sz="4" w:space="0" w:color="auto"/>
            </w:tcBorders>
            <w:shd w:val="clear" w:color="auto" w:fill="auto"/>
            <w:noWrap/>
            <w:vAlign w:val="center"/>
            <w:hideMark/>
          </w:tcPr>
          <w:p w14:paraId="1CACEED7"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63</w:t>
            </w:r>
          </w:p>
        </w:tc>
        <w:tc>
          <w:tcPr>
            <w:tcW w:w="1479" w:type="dxa"/>
            <w:tcBorders>
              <w:top w:val="nil"/>
              <w:left w:val="nil"/>
              <w:bottom w:val="single" w:sz="4" w:space="0" w:color="auto"/>
              <w:right w:val="single" w:sz="4" w:space="0" w:color="auto"/>
            </w:tcBorders>
            <w:shd w:val="clear" w:color="auto" w:fill="auto"/>
            <w:noWrap/>
            <w:vAlign w:val="center"/>
            <w:hideMark/>
          </w:tcPr>
          <w:p w14:paraId="31536541"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7.9</w:t>
            </w:r>
          </w:p>
        </w:tc>
        <w:tc>
          <w:tcPr>
            <w:tcW w:w="1604" w:type="dxa"/>
            <w:tcBorders>
              <w:top w:val="nil"/>
              <w:left w:val="nil"/>
              <w:bottom w:val="single" w:sz="4" w:space="0" w:color="auto"/>
              <w:right w:val="single" w:sz="4" w:space="0" w:color="auto"/>
            </w:tcBorders>
            <w:shd w:val="clear" w:color="auto" w:fill="auto"/>
            <w:noWrap/>
            <w:vAlign w:val="center"/>
            <w:hideMark/>
          </w:tcPr>
          <w:p w14:paraId="67603C7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37</w:t>
            </w:r>
          </w:p>
        </w:tc>
        <w:tc>
          <w:tcPr>
            <w:tcW w:w="1396" w:type="dxa"/>
            <w:tcBorders>
              <w:top w:val="nil"/>
              <w:left w:val="nil"/>
              <w:bottom w:val="single" w:sz="4" w:space="0" w:color="auto"/>
              <w:right w:val="single" w:sz="4" w:space="0" w:color="auto"/>
            </w:tcBorders>
            <w:shd w:val="clear" w:color="auto" w:fill="auto"/>
            <w:noWrap/>
            <w:vAlign w:val="center"/>
            <w:hideMark/>
          </w:tcPr>
          <w:p w14:paraId="71FC708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15.0</w:t>
            </w:r>
          </w:p>
        </w:tc>
      </w:tr>
    </w:tbl>
    <w:p w14:paraId="2B932580" w14:textId="77777777" w:rsidR="00C93842" w:rsidRPr="00F975F0" w:rsidRDefault="00C93842" w:rsidP="00C93842">
      <w:pPr>
        <w:spacing w:before="120"/>
        <w:rPr>
          <w:rFonts w:ascii="Times" w:hAnsi="Times"/>
          <w:color w:val="000000" w:themeColor="text1"/>
          <w:sz w:val="20"/>
          <w:szCs w:val="20"/>
        </w:rPr>
      </w:pPr>
    </w:p>
    <w:p w14:paraId="4712664F" w14:textId="6509B503" w:rsidR="00C93842" w:rsidRPr="00F975F0" w:rsidRDefault="00C93842" w:rsidP="00C93842">
      <w:pPr>
        <w:spacing w:before="120"/>
        <w:rPr>
          <w:rFonts w:ascii="Times" w:eastAsia="Times New Roman" w:hAnsi="Times" w:cs="Times New Roman"/>
          <w:color w:val="000000" w:themeColor="text1"/>
          <w:sz w:val="20"/>
          <w:szCs w:val="20"/>
          <w:shd w:val="clear" w:color="auto" w:fill="FFFFFF"/>
        </w:rPr>
      </w:pPr>
      <w:r w:rsidRPr="00F975F0">
        <w:rPr>
          <w:rFonts w:ascii="Times" w:eastAsia="Times New Roman" w:hAnsi="Times" w:cs="Times New Roman"/>
          <w:b/>
          <w:color w:val="000000" w:themeColor="text1"/>
          <w:sz w:val="20"/>
          <w:szCs w:val="20"/>
          <w:shd w:val="clear" w:color="auto" w:fill="FFFFFF"/>
        </w:rPr>
        <w:t>Table SI</w:t>
      </w:r>
      <w:r w:rsidR="004439BA">
        <w:rPr>
          <w:rFonts w:ascii="Times" w:eastAsia="Times New Roman" w:hAnsi="Times" w:cs="Times New Roman"/>
          <w:b/>
          <w:color w:val="000000" w:themeColor="text1"/>
          <w:sz w:val="20"/>
          <w:szCs w:val="20"/>
          <w:shd w:val="clear" w:color="auto" w:fill="FFFFFF"/>
        </w:rPr>
        <w:t>7</w:t>
      </w:r>
      <w:r w:rsidRPr="00F975F0">
        <w:rPr>
          <w:rFonts w:ascii="Times" w:eastAsia="Times New Roman" w:hAnsi="Times" w:cs="Times New Roman"/>
          <w:color w:val="000000" w:themeColor="text1"/>
          <w:sz w:val="20"/>
          <w:szCs w:val="20"/>
          <w:shd w:val="clear" w:color="auto" w:fill="FFFFFF"/>
        </w:rPr>
        <w:t xml:space="preserve"> Shoreline change rates from 1928 to 1975 and from 1975 to 2015 by geomorphic region.</w:t>
      </w:r>
      <w:r w:rsidR="00BB1CE2">
        <w:rPr>
          <w:rFonts w:ascii="Times" w:eastAsia="Times New Roman" w:hAnsi="Times" w:cs="Times New Roman"/>
          <w:color w:val="000000" w:themeColor="text1"/>
          <w:sz w:val="20"/>
          <w:szCs w:val="20"/>
          <w:shd w:val="clear" w:color="auto" w:fill="FFFFFF"/>
        </w:rPr>
        <w:t xml:space="preserve"> </w:t>
      </w:r>
    </w:p>
    <w:tbl>
      <w:tblPr>
        <w:tblW w:w="0" w:type="auto"/>
        <w:tblInd w:w="18" w:type="dxa"/>
        <w:tblLayout w:type="fixed"/>
        <w:tblLook w:val="04A0" w:firstRow="1" w:lastRow="0" w:firstColumn="1" w:lastColumn="0" w:noHBand="0" w:noVBand="1"/>
      </w:tblPr>
      <w:tblGrid>
        <w:gridCol w:w="2700"/>
        <w:gridCol w:w="2250"/>
        <w:gridCol w:w="2160"/>
      </w:tblGrid>
      <w:tr w:rsidR="00C93842" w:rsidRPr="00F975F0" w14:paraId="7952FECB" w14:textId="77777777" w:rsidTr="004751BD">
        <w:trPr>
          <w:trHeight w:val="20"/>
        </w:trPr>
        <w:tc>
          <w:tcPr>
            <w:tcW w:w="2700" w:type="dxa"/>
            <w:vMerge w:val="restart"/>
            <w:tcBorders>
              <w:top w:val="single" w:sz="4" w:space="0" w:color="auto"/>
              <w:left w:val="single" w:sz="4" w:space="0" w:color="auto"/>
              <w:right w:val="single" w:sz="4" w:space="0" w:color="auto"/>
            </w:tcBorders>
            <w:shd w:val="clear" w:color="auto" w:fill="auto"/>
            <w:noWrap/>
            <w:vAlign w:val="center"/>
          </w:tcPr>
          <w:p w14:paraId="27EBB121" w14:textId="77777777" w:rsidR="00C93842" w:rsidRPr="00F975F0" w:rsidRDefault="00C93842" w:rsidP="004751BD">
            <w:pPr>
              <w:spacing w:before="120"/>
              <w:rPr>
                <w:rFonts w:ascii="Times" w:eastAsia="Times New Roman" w:hAnsi="Times" w:cs="Times New Roman"/>
                <w:b/>
                <w:bCs/>
                <w:caps/>
                <w:color w:val="000000" w:themeColor="text1"/>
                <w:sz w:val="20"/>
                <w:szCs w:val="20"/>
              </w:rPr>
            </w:pPr>
          </w:p>
        </w:tc>
        <w:tc>
          <w:tcPr>
            <w:tcW w:w="4410" w:type="dxa"/>
            <w:gridSpan w:val="2"/>
            <w:tcBorders>
              <w:top w:val="single" w:sz="4" w:space="0" w:color="auto"/>
              <w:left w:val="nil"/>
              <w:bottom w:val="single" w:sz="4" w:space="0" w:color="auto"/>
              <w:right w:val="single" w:sz="4" w:space="0" w:color="auto"/>
            </w:tcBorders>
            <w:shd w:val="clear" w:color="auto" w:fill="auto"/>
            <w:noWrap/>
            <w:vAlign w:val="center"/>
          </w:tcPr>
          <w:p w14:paraId="17F6FCF5"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Shoreline change rates (m/yr)</w:t>
            </w:r>
          </w:p>
        </w:tc>
      </w:tr>
      <w:tr w:rsidR="00C93842" w:rsidRPr="00F975F0" w14:paraId="711EDFE6" w14:textId="77777777" w:rsidTr="004751BD">
        <w:trPr>
          <w:trHeight w:val="20"/>
        </w:trPr>
        <w:tc>
          <w:tcPr>
            <w:tcW w:w="2700" w:type="dxa"/>
            <w:vMerge/>
            <w:tcBorders>
              <w:left w:val="single" w:sz="4" w:space="0" w:color="auto"/>
              <w:bottom w:val="single" w:sz="4" w:space="0" w:color="auto"/>
              <w:right w:val="single" w:sz="4" w:space="0" w:color="auto"/>
            </w:tcBorders>
            <w:shd w:val="clear" w:color="auto" w:fill="auto"/>
            <w:noWrap/>
            <w:vAlign w:val="center"/>
            <w:hideMark/>
          </w:tcPr>
          <w:p w14:paraId="0005B001" w14:textId="77777777" w:rsidR="00C93842" w:rsidRPr="00F975F0" w:rsidRDefault="00C93842" w:rsidP="004751BD">
            <w:pPr>
              <w:spacing w:before="120"/>
              <w:rPr>
                <w:rFonts w:ascii="Times" w:eastAsia="Times New Roman" w:hAnsi="Times" w:cs="Times New Roman"/>
                <w:b/>
                <w:bCs/>
                <w:caps/>
                <w:color w:val="000000" w:themeColor="text1"/>
                <w:sz w:val="20"/>
                <w:szCs w:val="20"/>
              </w:rPr>
            </w:pP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14:paraId="753DCC62"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1928 to 1975</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5ED6CA61"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1975-2015</w:t>
            </w:r>
          </w:p>
        </w:tc>
      </w:tr>
      <w:tr w:rsidR="00C93842" w:rsidRPr="00F975F0" w14:paraId="2D2B6E21" w14:textId="77777777" w:rsidTr="004751BD">
        <w:trPr>
          <w:trHeight w:val="2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88073A3"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Headland</w:t>
            </w:r>
          </w:p>
        </w:tc>
        <w:tc>
          <w:tcPr>
            <w:tcW w:w="2250" w:type="dxa"/>
            <w:tcBorders>
              <w:top w:val="nil"/>
              <w:left w:val="nil"/>
              <w:bottom w:val="single" w:sz="4" w:space="0" w:color="auto"/>
              <w:right w:val="single" w:sz="4" w:space="0" w:color="auto"/>
            </w:tcBorders>
            <w:shd w:val="clear" w:color="auto" w:fill="auto"/>
            <w:noWrap/>
            <w:vAlign w:val="center"/>
            <w:hideMark/>
          </w:tcPr>
          <w:p w14:paraId="02E12270"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-0.07 ± 0.1</w:t>
            </w:r>
          </w:p>
        </w:tc>
        <w:tc>
          <w:tcPr>
            <w:tcW w:w="2160" w:type="dxa"/>
            <w:tcBorders>
              <w:top w:val="nil"/>
              <w:left w:val="nil"/>
              <w:bottom w:val="single" w:sz="4" w:space="0" w:color="auto"/>
              <w:right w:val="single" w:sz="4" w:space="0" w:color="auto"/>
            </w:tcBorders>
            <w:shd w:val="clear" w:color="auto" w:fill="auto"/>
            <w:noWrap/>
            <w:vAlign w:val="center"/>
            <w:hideMark/>
          </w:tcPr>
          <w:p w14:paraId="11F2DD96"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-0.09 ±0.09</w:t>
            </w:r>
          </w:p>
        </w:tc>
      </w:tr>
      <w:tr w:rsidR="00C93842" w:rsidRPr="00F975F0" w14:paraId="7F14DF9D" w14:textId="77777777" w:rsidTr="004751BD">
        <w:trPr>
          <w:trHeight w:val="2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762CC007"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Transitional</w:t>
            </w:r>
          </w:p>
        </w:tc>
        <w:tc>
          <w:tcPr>
            <w:tcW w:w="2250" w:type="dxa"/>
            <w:tcBorders>
              <w:top w:val="nil"/>
              <w:left w:val="nil"/>
              <w:bottom w:val="single" w:sz="4" w:space="0" w:color="auto"/>
              <w:right w:val="single" w:sz="4" w:space="0" w:color="auto"/>
            </w:tcBorders>
            <w:shd w:val="clear" w:color="auto" w:fill="auto"/>
            <w:noWrap/>
            <w:vAlign w:val="center"/>
            <w:hideMark/>
          </w:tcPr>
          <w:p w14:paraId="2DCFB6CB"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0.11 ± 0.03</w:t>
            </w:r>
          </w:p>
        </w:tc>
        <w:tc>
          <w:tcPr>
            <w:tcW w:w="2160" w:type="dxa"/>
            <w:tcBorders>
              <w:top w:val="nil"/>
              <w:left w:val="nil"/>
              <w:bottom w:val="single" w:sz="4" w:space="0" w:color="auto"/>
              <w:right w:val="single" w:sz="4" w:space="0" w:color="auto"/>
            </w:tcBorders>
            <w:shd w:val="clear" w:color="auto" w:fill="auto"/>
            <w:noWrap/>
            <w:vAlign w:val="center"/>
            <w:hideMark/>
          </w:tcPr>
          <w:p w14:paraId="14A4531B"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-0.18 ± 0.06</w:t>
            </w:r>
          </w:p>
        </w:tc>
      </w:tr>
      <w:tr w:rsidR="00C93842" w:rsidRPr="00F975F0" w14:paraId="2F073959" w14:textId="77777777" w:rsidTr="004751BD">
        <w:trPr>
          <w:trHeight w:val="2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ED37BB3"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embayed</w:t>
            </w:r>
          </w:p>
        </w:tc>
        <w:tc>
          <w:tcPr>
            <w:tcW w:w="2250" w:type="dxa"/>
            <w:tcBorders>
              <w:top w:val="nil"/>
              <w:left w:val="nil"/>
              <w:bottom w:val="single" w:sz="4" w:space="0" w:color="auto"/>
              <w:right w:val="single" w:sz="4" w:space="0" w:color="auto"/>
            </w:tcBorders>
            <w:shd w:val="clear" w:color="auto" w:fill="auto"/>
            <w:noWrap/>
            <w:vAlign w:val="center"/>
            <w:hideMark/>
          </w:tcPr>
          <w:p w14:paraId="723D70FE"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0.11 ± 0.08</w:t>
            </w:r>
          </w:p>
        </w:tc>
        <w:tc>
          <w:tcPr>
            <w:tcW w:w="2160" w:type="dxa"/>
            <w:tcBorders>
              <w:top w:val="nil"/>
              <w:left w:val="nil"/>
              <w:bottom w:val="single" w:sz="4" w:space="0" w:color="auto"/>
              <w:right w:val="single" w:sz="4" w:space="0" w:color="auto"/>
            </w:tcBorders>
            <w:shd w:val="clear" w:color="auto" w:fill="auto"/>
            <w:noWrap/>
            <w:vAlign w:val="center"/>
            <w:hideMark/>
          </w:tcPr>
          <w:p w14:paraId="3A24C0D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-0.18 ± 0.09</w:t>
            </w:r>
          </w:p>
        </w:tc>
      </w:tr>
      <w:tr w:rsidR="00C93842" w:rsidRPr="00F975F0" w14:paraId="65A70C7B" w14:textId="77777777" w:rsidTr="004751BD">
        <w:trPr>
          <w:trHeight w:val="12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32FD01E" w14:textId="77777777" w:rsidR="00C93842" w:rsidRPr="00F975F0" w:rsidRDefault="00C93842" w:rsidP="004751BD">
            <w:pPr>
              <w:spacing w:before="120"/>
              <w:rPr>
                <w:rFonts w:ascii="Times" w:eastAsia="Times New Roman" w:hAnsi="Times" w:cs="Times New Roman"/>
                <w:b/>
                <w:bCs/>
                <w:caps/>
                <w:color w:val="000000" w:themeColor="text1"/>
                <w:sz w:val="20"/>
                <w:szCs w:val="20"/>
              </w:rPr>
            </w:pPr>
          </w:p>
        </w:tc>
        <w:tc>
          <w:tcPr>
            <w:tcW w:w="2250" w:type="dxa"/>
            <w:tcBorders>
              <w:top w:val="nil"/>
              <w:left w:val="nil"/>
              <w:bottom w:val="single" w:sz="4" w:space="0" w:color="auto"/>
              <w:right w:val="single" w:sz="4" w:space="0" w:color="auto"/>
            </w:tcBorders>
            <w:shd w:val="clear" w:color="auto" w:fill="auto"/>
            <w:noWrap/>
            <w:vAlign w:val="center"/>
            <w:hideMark/>
          </w:tcPr>
          <w:p w14:paraId="1C4FDF00" w14:textId="77777777" w:rsidR="00C93842" w:rsidRPr="00F975F0" w:rsidRDefault="00C93842" w:rsidP="004751BD">
            <w:pPr>
              <w:spacing w:before="120"/>
              <w:rPr>
                <w:rFonts w:ascii="Times" w:eastAsia="Times New Roman" w:hAnsi="Times" w:cs="Times New Roman"/>
                <w:caps/>
                <w:color w:val="000000" w:themeColor="text1"/>
                <w:sz w:val="20"/>
                <w:szCs w:val="20"/>
              </w:rPr>
            </w:pPr>
          </w:p>
        </w:tc>
        <w:tc>
          <w:tcPr>
            <w:tcW w:w="2160" w:type="dxa"/>
            <w:tcBorders>
              <w:top w:val="nil"/>
              <w:left w:val="nil"/>
              <w:bottom w:val="single" w:sz="4" w:space="0" w:color="auto"/>
              <w:right w:val="single" w:sz="4" w:space="0" w:color="auto"/>
            </w:tcBorders>
            <w:shd w:val="clear" w:color="auto" w:fill="auto"/>
            <w:noWrap/>
            <w:vAlign w:val="center"/>
            <w:hideMark/>
          </w:tcPr>
          <w:p w14:paraId="3F2ABD25" w14:textId="77777777" w:rsidR="00C93842" w:rsidRPr="00F975F0" w:rsidRDefault="00C93842" w:rsidP="004751BD">
            <w:pPr>
              <w:spacing w:before="120"/>
              <w:rPr>
                <w:rFonts w:ascii="Times" w:eastAsia="Times New Roman" w:hAnsi="Times" w:cs="Times New Roman"/>
                <w:caps/>
                <w:color w:val="000000" w:themeColor="text1"/>
                <w:sz w:val="20"/>
                <w:szCs w:val="20"/>
              </w:rPr>
            </w:pPr>
          </w:p>
        </w:tc>
      </w:tr>
      <w:tr w:rsidR="00C93842" w:rsidRPr="00F975F0" w14:paraId="6261BE9F" w14:textId="77777777" w:rsidTr="004751BD">
        <w:trPr>
          <w:trHeight w:val="2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496B4EE"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Reef-fronted</w:t>
            </w:r>
          </w:p>
        </w:tc>
        <w:tc>
          <w:tcPr>
            <w:tcW w:w="2250" w:type="dxa"/>
            <w:tcBorders>
              <w:top w:val="nil"/>
              <w:left w:val="nil"/>
              <w:bottom w:val="single" w:sz="4" w:space="0" w:color="auto"/>
              <w:right w:val="single" w:sz="4" w:space="0" w:color="auto"/>
            </w:tcBorders>
            <w:shd w:val="clear" w:color="auto" w:fill="auto"/>
            <w:noWrap/>
            <w:vAlign w:val="center"/>
            <w:hideMark/>
          </w:tcPr>
          <w:p w14:paraId="34A7FE0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0.02 ± 0.07</w:t>
            </w:r>
          </w:p>
        </w:tc>
        <w:tc>
          <w:tcPr>
            <w:tcW w:w="2160" w:type="dxa"/>
            <w:tcBorders>
              <w:top w:val="nil"/>
              <w:left w:val="nil"/>
              <w:bottom w:val="single" w:sz="4" w:space="0" w:color="auto"/>
              <w:right w:val="single" w:sz="4" w:space="0" w:color="auto"/>
            </w:tcBorders>
            <w:shd w:val="clear" w:color="auto" w:fill="auto"/>
            <w:noWrap/>
            <w:vAlign w:val="center"/>
            <w:hideMark/>
          </w:tcPr>
          <w:p w14:paraId="2BC93E24"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-0.13 ± 0.05</w:t>
            </w:r>
          </w:p>
        </w:tc>
      </w:tr>
      <w:tr w:rsidR="00C93842" w:rsidRPr="00F975F0" w14:paraId="3679F48F" w14:textId="77777777" w:rsidTr="004751BD">
        <w:trPr>
          <w:trHeight w:val="296"/>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5ADAC7E8"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sand Channel</w:t>
            </w:r>
          </w:p>
        </w:tc>
        <w:tc>
          <w:tcPr>
            <w:tcW w:w="2250" w:type="dxa"/>
            <w:tcBorders>
              <w:top w:val="nil"/>
              <w:left w:val="nil"/>
              <w:bottom w:val="single" w:sz="4" w:space="0" w:color="auto"/>
              <w:right w:val="single" w:sz="4" w:space="0" w:color="auto"/>
            </w:tcBorders>
            <w:shd w:val="clear" w:color="auto" w:fill="auto"/>
            <w:noWrap/>
            <w:vAlign w:val="center"/>
            <w:hideMark/>
          </w:tcPr>
          <w:p w14:paraId="1633E993"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0.04 ±0.05</w:t>
            </w:r>
          </w:p>
        </w:tc>
        <w:tc>
          <w:tcPr>
            <w:tcW w:w="2160" w:type="dxa"/>
            <w:tcBorders>
              <w:top w:val="nil"/>
              <w:left w:val="nil"/>
              <w:bottom w:val="single" w:sz="4" w:space="0" w:color="auto"/>
              <w:right w:val="single" w:sz="4" w:space="0" w:color="auto"/>
            </w:tcBorders>
            <w:shd w:val="clear" w:color="auto" w:fill="auto"/>
            <w:noWrap/>
            <w:vAlign w:val="center"/>
            <w:hideMark/>
          </w:tcPr>
          <w:p w14:paraId="60945B2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-0.17 ± 0.07</w:t>
            </w:r>
          </w:p>
        </w:tc>
      </w:tr>
      <w:tr w:rsidR="00C93842" w:rsidRPr="00F975F0" w14:paraId="37E85D12" w14:textId="77777777" w:rsidTr="004751BD">
        <w:trPr>
          <w:trHeight w:val="107"/>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7FA7E26B" w14:textId="77777777" w:rsidR="00C93842" w:rsidRPr="00F975F0" w:rsidRDefault="00C93842" w:rsidP="004751BD">
            <w:pPr>
              <w:spacing w:before="120"/>
              <w:rPr>
                <w:rFonts w:ascii="Times" w:eastAsia="Times New Roman" w:hAnsi="Times" w:cs="Times New Roman"/>
                <w:b/>
                <w:bCs/>
                <w:caps/>
                <w:color w:val="000000" w:themeColor="text1"/>
                <w:sz w:val="20"/>
                <w:szCs w:val="20"/>
              </w:rPr>
            </w:pPr>
          </w:p>
        </w:tc>
        <w:tc>
          <w:tcPr>
            <w:tcW w:w="2250" w:type="dxa"/>
            <w:tcBorders>
              <w:top w:val="nil"/>
              <w:left w:val="nil"/>
              <w:bottom w:val="single" w:sz="4" w:space="0" w:color="auto"/>
              <w:right w:val="single" w:sz="4" w:space="0" w:color="auto"/>
            </w:tcBorders>
            <w:shd w:val="clear" w:color="auto" w:fill="auto"/>
            <w:noWrap/>
            <w:vAlign w:val="center"/>
            <w:hideMark/>
          </w:tcPr>
          <w:p w14:paraId="66A62638" w14:textId="77777777" w:rsidR="00C93842" w:rsidRPr="00F975F0" w:rsidRDefault="00C93842" w:rsidP="004751BD">
            <w:pPr>
              <w:spacing w:before="120"/>
              <w:rPr>
                <w:rFonts w:ascii="Times" w:eastAsia="Times New Roman" w:hAnsi="Times" w:cs="Times New Roman"/>
                <w:caps/>
                <w:color w:val="000000" w:themeColor="text1"/>
                <w:sz w:val="20"/>
                <w:szCs w:val="20"/>
              </w:rPr>
            </w:pPr>
          </w:p>
        </w:tc>
        <w:tc>
          <w:tcPr>
            <w:tcW w:w="2160" w:type="dxa"/>
            <w:tcBorders>
              <w:top w:val="nil"/>
              <w:left w:val="nil"/>
              <w:bottom w:val="single" w:sz="4" w:space="0" w:color="auto"/>
              <w:right w:val="single" w:sz="4" w:space="0" w:color="auto"/>
            </w:tcBorders>
            <w:shd w:val="clear" w:color="auto" w:fill="auto"/>
            <w:noWrap/>
            <w:vAlign w:val="center"/>
            <w:hideMark/>
          </w:tcPr>
          <w:p w14:paraId="0F151C39" w14:textId="77777777" w:rsidR="00C93842" w:rsidRPr="00F975F0" w:rsidRDefault="00C93842" w:rsidP="004751BD">
            <w:pPr>
              <w:spacing w:before="120"/>
              <w:rPr>
                <w:rFonts w:ascii="Times" w:eastAsia="Times New Roman" w:hAnsi="Times" w:cs="Times New Roman"/>
                <w:caps/>
                <w:color w:val="000000" w:themeColor="text1"/>
                <w:sz w:val="20"/>
                <w:szCs w:val="20"/>
              </w:rPr>
            </w:pPr>
          </w:p>
        </w:tc>
      </w:tr>
      <w:tr w:rsidR="00C93842" w:rsidRPr="00F975F0" w14:paraId="0538AE80" w14:textId="77777777" w:rsidTr="004751BD">
        <w:trPr>
          <w:trHeight w:val="2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68475560" w14:textId="77777777" w:rsidR="00C93842" w:rsidRPr="00F975F0" w:rsidRDefault="00C93842" w:rsidP="004751BD">
            <w:pPr>
              <w:spacing w:before="120"/>
              <w:rPr>
                <w:rFonts w:ascii="Times" w:eastAsia="Times New Roman" w:hAnsi="Times" w:cs="Times New Roman"/>
                <w:b/>
                <w:bCs/>
                <w:caps/>
                <w:color w:val="000000" w:themeColor="text1"/>
                <w:sz w:val="20"/>
                <w:szCs w:val="20"/>
              </w:rPr>
            </w:pPr>
            <w:r w:rsidRPr="00F975F0">
              <w:rPr>
                <w:rFonts w:ascii="Times" w:eastAsia="Times New Roman" w:hAnsi="Times" w:cs="Times New Roman"/>
                <w:b/>
                <w:bCs/>
                <w:caps/>
                <w:color w:val="000000" w:themeColor="text1"/>
                <w:sz w:val="20"/>
                <w:szCs w:val="20"/>
              </w:rPr>
              <w:t>ALL</w:t>
            </w:r>
          </w:p>
        </w:tc>
        <w:tc>
          <w:tcPr>
            <w:tcW w:w="2250" w:type="dxa"/>
            <w:tcBorders>
              <w:top w:val="nil"/>
              <w:left w:val="nil"/>
              <w:bottom w:val="single" w:sz="4" w:space="0" w:color="auto"/>
              <w:right w:val="single" w:sz="4" w:space="0" w:color="auto"/>
            </w:tcBorders>
            <w:shd w:val="clear" w:color="auto" w:fill="auto"/>
            <w:noWrap/>
            <w:vAlign w:val="center"/>
            <w:hideMark/>
          </w:tcPr>
          <w:p w14:paraId="13A33BEA"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0.03 ± 0.07</w:t>
            </w:r>
          </w:p>
        </w:tc>
        <w:tc>
          <w:tcPr>
            <w:tcW w:w="2160" w:type="dxa"/>
            <w:tcBorders>
              <w:top w:val="nil"/>
              <w:left w:val="nil"/>
              <w:bottom w:val="single" w:sz="4" w:space="0" w:color="auto"/>
              <w:right w:val="single" w:sz="4" w:space="0" w:color="auto"/>
            </w:tcBorders>
            <w:shd w:val="clear" w:color="auto" w:fill="auto"/>
            <w:noWrap/>
            <w:vAlign w:val="center"/>
            <w:hideMark/>
          </w:tcPr>
          <w:p w14:paraId="783E3308" w14:textId="77777777" w:rsidR="00C93842" w:rsidRPr="00F975F0" w:rsidRDefault="00C93842" w:rsidP="004751BD">
            <w:pPr>
              <w:spacing w:before="120"/>
              <w:rPr>
                <w:rFonts w:ascii="Times" w:eastAsia="Times New Roman" w:hAnsi="Times" w:cs="Times New Roman"/>
                <w:caps/>
                <w:color w:val="000000" w:themeColor="text1"/>
                <w:sz w:val="20"/>
                <w:szCs w:val="20"/>
              </w:rPr>
            </w:pPr>
            <w:r w:rsidRPr="00F975F0">
              <w:rPr>
                <w:rFonts w:ascii="Times" w:eastAsia="Times New Roman" w:hAnsi="Times" w:cs="Times New Roman"/>
                <w:caps/>
                <w:color w:val="000000" w:themeColor="text1"/>
                <w:sz w:val="20"/>
                <w:szCs w:val="20"/>
              </w:rPr>
              <w:t>-0.14 ± 0.06</w:t>
            </w:r>
          </w:p>
        </w:tc>
      </w:tr>
    </w:tbl>
    <w:p w14:paraId="6A8B09E3" w14:textId="45DCCDAF" w:rsidR="00C93842" w:rsidRPr="00F975F0" w:rsidRDefault="006F255C" w:rsidP="00C93842">
      <w:pPr>
        <w:spacing w:before="120"/>
        <w:rPr>
          <w:rFonts w:ascii="Times" w:hAnsi="Times" w:cs="Times New Roman"/>
          <w:b/>
          <w:color w:val="000000" w:themeColor="text1"/>
          <w:sz w:val="20"/>
          <w:szCs w:val="20"/>
        </w:rPr>
      </w:pPr>
      <w:r w:rsidRPr="00744EDE">
        <w:rPr>
          <w:rFonts w:ascii="Times" w:hAnsi="Times" w:cs="Times New Roman"/>
          <w:color w:val="000000" w:themeColor="text1"/>
          <w:sz w:val="20"/>
          <w:szCs w:val="20"/>
        </w:rPr>
        <w:t xml:space="preserve">Comparing shoreline rates from 1928 to 1975 and 1975 to 2015 the shoreline rate changed from -0.07 ± 0.1 meters per year (erosion) to -0.09 ± 0.09 meters per year (erosion) in headland regions, from 0.11 ± 0.08 meters per year (accretion) to -0.18 ± 0.09 meters per year (erosion) in embayed regions, and from 0.11 ± 0.03 meters per year </w:t>
      </w:r>
      <w:r w:rsidRPr="00744EDE">
        <w:rPr>
          <w:rFonts w:ascii="Times" w:hAnsi="Times" w:cs="Times New Roman"/>
          <w:color w:val="000000" w:themeColor="text1"/>
          <w:sz w:val="20"/>
          <w:szCs w:val="20"/>
        </w:rPr>
        <w:lastRenderedPageBreak/>
        <w:t>(accretion) to -0.18 ± 0.06 meters per year (erosion) in transition regions.  A two-tailed test at the 95 percent confidence interval revealed that headland regions do not show a significant change when comparing the rates from 1928-1975 and 1975-2015.  However, shoreline change rates from 1928-1975 and 1975-2015 in transition and embayment regions show a statistically significant difference</w:t>
      </w:r>
      <w:r w:rsidRPr="006F255C">
        <w:rPr>
          <w:rFonts w:ascii="Times" w:hAnsi="Times" w:cs="Times New Roman"/>
          <w:b/>
          <w:color w:val="000000" w:themeColor="text1"/>
          <w:sz w:val="20"/>
          <w:szCs w:val="20"/>
        </w:rPr>
        <w:t xml:space="preserve">.  </w:t>
      </w:r>
    </w:p>
    <w:p w14:paraId="18E4C63B" w14:textId="77777777" w:rsidR="00C93842" w:rsidRPr="00F975F0" w:rsidRDefault="00C93842" w:rsidP="00C93842">
      <w:pPr>
        <w:spacing w:before="120"/>
        <w:jc w:val="both"/>
        <w:rPr>
          <w:rFonts w:ascii="Times" w:hAnsi="Times" w:cs="Times New Roman"/>
          <w:b/>
          <w:sz w:val="20"/>
          <w:szCs w:val="20"/>
        </w:rPr>
      </w:pPr>
    </w:p>
    <w:p w14:paraId="5A248FBA" w14:textId="2D671C2F" w:rsidR="0084203B" w:rsidRPr="0084203B" w:rsidRDefault="0084203B" w:rsidP="0084203B">
      <w:pPr>
        <w:spacing w:before="120"/>
        <w:rPr>
          <w:rFonts w:ascii="Times" w:hAnsi="Times" w:cs="Times New Roman"/>
          <w:i/>
          <w:color w:val="000000" w:themeColor="text1"/>
          <w:sz w:val="20"/>
          <w:szCs w:val="20"/>
        </w:rPr>
      </w:pPr>
      <w:r w:rsidRPr="0084203B">
        <w:rPr>
          <w:rFonts w:ascii="Times" w:hAnsi="Times" w:cs="Times New Roman"/>
          <w:b/>
          <w:bCs/>
          <w:i/>
          <w:color w:val="000000" w:themeColor="text1"/>
          <w:sz w:val="20"/>
          <w:szCs w:val="20"/>
        </w:rPr>
        <w:t>Public Lands</w:t>
      </w:r>
      <w:r w:rsidRPr="0084203B">
        <w:rPr>
          <w:rFonts w:ascii="Times" w:hAnsi="Times" w:cs="Times New Roman"/>
          <w:b/>
          <w:bCs/>
          <w:i/>
          <w:iCs/>
          <w:color w:val="000000" w:themeColor="text1"/>
          <w:sz w:val="20"/>
          <w:szCs w:val="20"/>
        </w:rPr>
        <w:t xml:space="preserve"> </w:t>
      </w:r>
    </w:p>
    <w:p w14:paraId="47AAAB5C" w14:textId="77777777" w:rsidR="0084203B" w:rsidRPr="0084203B" w:rsidRDefault="0084203B" w:rsidP="0084203B">
      <w:pPr>
        <w:spacing w:before="120"/>
        <w:rPr>
          <w:rFonts w:ascii="Times" w:hAnsi="Times" w:cs="Times New Roman"/>
          <w:b/>
          <w:bCs/>
          <w:i/>
          <w:iCs/>
          <w:color w:val="000000" w:themeColor="text1"/>
          <w:sz w:val="20"/>
          <w:szCs w:val="20"/>
        </w:rPr>
      </w:pPr>
      <w:r w:rsidRPr="0084203B">
        <w:rPr>
          <w:rFonts w:ascii="Times" w:hAnsi="Times" w:cs="Times New Roman"/>
          <w:color w:val="000000" w:themeColor="text1"/>
          <w:sz w:val="20"/>
          <w:szCs w:val="20"/>
        </w:rPr>
        <w:t xml:space="preserve">Public beach parks in the study area were examined to gain an understanding of shoreline patterns in undeveloped areas. Hau’ula and Punalu’u parks, both with public restrooms, a pavilion, showers, and picnic tables, are popular recreational sites among local residents and often crowded with families on weekends and holidays. These are times when beaches allow local children to learn how to safely use the ocean. </w:t>
      </w:r>
    </w:p>
    <w:p w14:paraId="797CCBA0" w14:textId="77777777" w:rsidR="0084203B" w:rsidRPr="0084203B" w:rsidRDefault="0084203B" w:rsidP="0084203B">
      <w:pPr>
        <w:spacing w:before="120"/>
        <w:rPr>
          <w:rFonts w:ascii="Times" w:hAnsi="Times"/>
          <w:color w:val="000000" w:themeColor="text1"/>
          <w:sz w:val="20"/>
          <w:szCs w:val="20"/>
        </w:rPr>
      </w:pPr>
      <w:r w:rsidRPr="0084203B">
        <w:rPr>
          <w:rFonts w:ascii="Times" w:hAnsi="Times" w:cs="Times New Roman"/>
          <w:color w:val="000000" w:themeColor="text1"/>
          <w:sz w:val="20"/>
          <w:szCs w:val="20"/>
        </w:rPr>
        <w:t xml:space="preserve">Both parks have experienced a decrease in shoreline stability due to flanking from adjacent hardening on private lots. </w:t>
      </w:r>
      <w:r w:rsidRPr="0084203B">
        <w:rPr>
          <w:rFonts w:ascii="Times" w:hAnsi="Times"/>
          <w:color w:val="000000" w:themeColor="text1"/>
          <w:sz w:val="20"/>
          <w:szCs w:val="20"/>
        </w:rPr>
        <w:t>From 1928 to 1975, Punalu’u Beach Park was strongly accreting at a rate of 0.49 ± 0.07 meters per year.  However, following 1975, the beach has been rapidly eroding at a rate of -0.36 ± 0.12 meters per year.  The southeast portion of the park is experiencing the strongest erosion due to flanking by hardened shoreline on neighboring private property.</w:t>
      </w:r>
    </w:p>
    <w:p w14:paraId="439CA5D9" w14:textId="77777777" w:rsidR="0084203B" w:rsidRPr="0084203B" w:rsidRDefault="0084203B" w:rsidP="0084203B">
      <w:pPr>
        <w:spacing w:before="120"/>
        <w:rPr>
          <w:rFonts w:ascii="Times" w:hAnsi="Times"/>
          <w:color w:val="000000" w:themeColor="text1"/>
          <w:sz w:val="20"/>
          <w:szCs w:val="20"/>
        </w:rPr>
      </w:pPr>
      <w:r w:rsidRPr="0084203B">
        <w:rPr>
          <w:rFonts w:ascii="Times" w:hAnsi="Times" w:cs="Times New Roman"/>
          <w:color w:val="000000" w:themeColor="text1"/>
          <w:sz w:val="20"/>
          <w:szCs w:val="20"/>
        </w:rPr>
        <w:t xml:space="preserve">Hau’ula Beach Park is also eroding at a long-term average of -0.13 </w:t>
      </w:r>
      <w:r w:rsidRPr="0084203B">
        <w:rPr>
          <w:rFonts w:ascii="Times" w:hAnsi="Times"/>
          <w:color w:val="000000" w:themeColor="text1"/>
          <w:sz w:val="20"/>
          <w:szCs w:val="20"/>
        </w:rPr>
        <w:t>± 0.03 meter per year.  Until 1975, the park was only slightly erosive with an average shoreline change rate of -0.07 ± 0.03 meters per year.  But following 1975, the shoreline experienced severe recession at a rate of -0.2 ± 0.05 meters per year.  Flanking from seawalls built in the 2000’s directly adjacent to the northwest end of the park is responsible for this accelerated erosion rate.</w:t>
      </w:r>
    </w:p>
    <w:p w14:paraId="18E85866" w14:textId="77777777" w:rsidR="0084203B" w:rsidRPr="0084203B" w:rsidRDefault="0084203B" w:rsidP="00C93842">
      <w:pPr>
        <w:spacing w:before="120"/>
        <w:rPr>
          <w:rFonts w:ascii="Times" w:hAnsi="Times" w:cs="Times New Roman"/>
          <w:b/>
          <w:i/>
          <w:iCs/>
          <w:color w:val="000000" w:themeColor="text1"/>
          <w:sz w:val="20"/>
          <w:szCs w:val="20"/>
        </w:rPr>
      </w:pPr>
    </w:p>
    <w:p w14:paraId="1B957BE9" w14:textId="77777777" w:rsidR="00C93842" w:rsidRPr="0084203B" w:rsidRDefault="00C93842" w:rsidP="00C93842">
      <w:pPr>
        <w:spacing w:before="120"/>
        <w:rPr>
          <w:rFonts w:ascii="Times" w:hAnsi="Times" w:cs="Times New Roman"/>
          <w:b/>
          <w:i/>
          <w:iCs/>
          <w:color w:val="000000" w:themeColor="text1"/>
          <w:sz w:val="20"/>
          <w:szCs w:val="20"/>
        </w:rPr>
      </w:pPr>
      <w:r w:rsidRPr="0084203B">
        <w:rPr>
          <w:rFonts w:ascii="Times" w:hAnsi="Times" w:cs="Times New Roman"/>
          <w:b/>
          <w:i/>
          <w:iCs/>
          <w:color w:val="000000" w:themeColor="text1"/>
          <w:sz w:val="20"/>
          <w:szCs w:val="20"/>
        </w:rPr>
        <w:t>Policy Recommendations</w:t>
      </w:r>
    </w:p>
    <w:p w14:paraId="50BF4F25" w14:textId="77777777" w:rsidR="00C93842" w:rsidRPr="0084203B" w:rsidRDefault="00C93842" w:rsidP="00C93842">
      <w:pPr>
        <w:spacing w:before="120"/>
        <w:rPr>
          <w:rFonts w:ascii="Times" w:hAnsi="Times" w:cs="Times New Roman"/>
          <w:color w:val="000000" w:themeColor="text1"/>
          <w:sz w:val="20"/>
          <w:szCs w:val="20"/>
        </w:rPr>
      </w:pPr>
      <w:r w:rsidRPr="0084203B">
        <w:rPr>
          <w:rFonts w:ascii="Times" w:hAnsi="Times" w:cs="Times New Roman"/>
          <w:color w:val="000000" w:themeColor="text1"/>
          <w:sz w:val="20"/>
          <w:szCs w:val="20"/>
        </w:rPr>
        <w:t xml:space="preserve">While Hawai’i remains a visitor destination for its beautiful beaches, a majority of the State’s beaches are threatened by chronic erosion (Fletcher </w:t>
      </w:r>
      <w:r w:rsidRPr="0084203B">
        <w:rPr>
          <w:rFonts w:ascii="Times" w:hAnsi="Times" w:cs="Times New Roman"/>
          <w:i/>
          <w:iCs/>
          <w:color w:val="000000" w:themeColor="text1"/>
          <w:sz w:val="20"/>
          <w:szCs w:val="20"/>
        </w:rPr>
        <w:t>et al.</w:t>
      </w:r>
      <w:r w:rsidRPr="0084203B">
        <w:rPr>
          <w:rFonts w:ascii="Times" w:hAnsi="Times" w:cs="Times New Roman"/>
          <w:color w:val="000000" w:themeColor="text1"/>
          <w:sz w:val="20"/>
          <w:szCs w:val="20"/>
        </w:rPr>
        <w:t xml:space="preserve">, 2012) that is exacerbated by seasonal wave impacts, coastal hardening (Romine and Fletcher, 2012a), sea level rise (Romine </w:t>
      </w:r>
      <w:r w:rsidRPr="0084203B">
        <w:rPr>
          <w:rFonts w:ascii="Times" w:hAnsi="Times" w:cs="Times New Roman"/>
          <w:i/>
          <w:color w:val="000000" w:themeColor="text1"/>
          <w:sz w:val="20"/>
          <w:szCs w:val="20"/>
        </w:rPr>
        <w:t>et al</w:t>
      </w:r>
      <w:r w:rsidRPr="0084203B">
        <w:rPr>
          <w:rFonts w:ascii="Times" w:hAnsi="Times" w:cs="Times New Roman"/>
          <w:color w:val="000000" w:themeColor="text1"/>
          <w:sz w:val="20"/>
          <w:szCs w:val="20"/>
        </w:rPr>
        <w:t xml:space="preserve">., 2016), and management policies that are unsuccessful in achieving conservation goals.  The State’s political leaders and CZM managers should use the information in this study as a warning that existing policy is insufficient to protect remaining beach assets. </w:t>
      </w:r>
    </w:p>
    <w:p w14:paraId="564C0C71" w14:textId="77777777" w:rsidR="00C93842" w:rsidRPr="0084203B" w:rsidRDefault="00C93842" w:rsidP="00C93842">
      <w:pPr>
        <w:spacing w:before="120"/>
        <w:rPr>
          <w:rFonts w:ascii="Times" w:eastAsia="Times New Roman" w:hAnsi="Times" w:cs="Times New Roman"/>
          <w:color w:val="000000" w:themeColor="text1"/>
          <w:sz w:val="20"/>
          <w:szCs w:val="20"/>
        </w:rPr>
      </w:pPr>
      <w:r w:rsidRPr="0084203B">
        <w:rPr>
          <w:rFonts w:ascii="Times" w:hAnsi="Times" w:cs="Times New Roman"/>
          <w:color w:val="000000" w:themeColor="text1"/>
          <w:sz w:val="20"/>
          <w:szCs w:val="20"/>
        </w:rPr>
        <w:t xml:space="preserve">The HCZMP should be reviewed and revised to specifically address accelerated coastal erosion rates anticipated to accompany future sea level rise (Romine et al., 2013). </w:t>
      </w:r>
      <w:r w:rsidRPr="0084203B">
        <w:rPr>
          <w:rFonts w:ascii="Times" w:hAnsi="Times" w:cs="Times New Roman"/>
          <w:bCs/>
          <w:color w:val="000000" w:themeColor="text1"/>
          <w:sz w:val="20"/>
          <w:szCs w:val="20"/>
          <w:shd w:val="clear" w:color="auto" w:fill="FFFFFF"/>
        </w:rPr>
        <w:t>Tide gauge and satellite altimeter data reveal that global mean sea level is already rising at three times the rate of the 20</w:t>
      </w:r>
      <w:r w:rsidRPr="0084203B">
        <w:rPr>
          <w:rFonts w:ascii="Times" w:hAnsi="Times" w:cs="Times New Roman"/>
          <w:bCs/>
          <w:color w:val="000000" w:themeColor="text1"/>
          <w:sz w:val="20"/>
          <w:szCs w:val="20"/>
          <w:shd w:val="clear" w:color="auto" w:fill="FFFFFF"/>
          <w:vertAlign w:val="superscript"/>
        </w:rPr>
        <w:t>th</w:t>
      </w:r>
      <w:r w:rsidRPr="0084203B">
        <w:rPr>
          <w:rFonts w:ascii="Times" w:hAnsi="Times" w:cs="Times New Roman"/>
          <w:bCs/>
          <w:color w:val="000000" w:themeColor="text1"/>
          <w:sz w:val="20"/>
          <w:szCs w:val="20"/>
          <w:shd w:val="clear" w:color="auto" w:fill="FFFFFF"/>
        </w:rPr>
        <w:t xml:space="preserve"> century (Chen, </w:t>
      </w:r>
      <w:r w:rsidRPr="0084203B">
        <w:rPr>
          <w:rFonts w:ascii="Times" w:hAnsi="Times" w:cs="Times New Roman"/>
          <w:bCs/>
          <w:i/>
          <w:iCs/>
          <w:color w:val="000000" w:themeColor="text1"/>
          <w:sz w:val="20"/>
          <w:szCs w:val="20"/>
          <w:shd w:val="clear" w:color="auto" w:fill="FFFFFF"/>
        </w:rPr>
        <w:t>et al.</w:t>
      </w:r>
      <w:r w:rsidRPr="0084203B">
        <w:rPr>
          <w:rFonts w:ascii="Times" w:hAnsi="Times" w:cs="Times New Roman"/>
          <w:bCs/>
          <w:color w:val="000000" w:themeColor="text1"/>
          <w:sz w:val="20"/>
          <w:szCs w:val="20"/>
          <w:shd w:val="clear" w:color="auto" w:fill="FFFFFF"/>
        </w:rPr>
        <w:t xml:space="preserve">, 2017). Depending on the melting behavior of the Greenland and Antarctic ice sheets, sea level may reach approximately 0.30 meters by mid-century and 1.0 to 2.5 meters by the end of the century (Sweet </w:t>
      </w:r>
      <w:r w:rsidRPr="0084203B">
        <w:rPr>
          <w:rFonts w:ascii="Times" w:hAnsi="Times" w:cs="Times New Roman"/>
          <w:bCs/>
          <w:i/>
          <w:iCs/>
          <w:color w:val="000000" w:themeColor="text1"/>
          <w:sz w:val="20"/>
          <w:szCs w:val="20"/>
          <w:shd w:val="clear" w:color="auto" w:fill="FFFFFF"/>
        </w:rPr>
        <w:t>et al</w:t>
      </w:r>
      <w:r w:rsidRPr="0084203B">
        <w:rPr>
          <w:rFonts w:ascii="Times" w:hAnsi="Times" w:cs="Times New Roman"/>
          <w:bCs/>
          <w:color w:val="000000" w:themeColor="text1"/>
          <w:sz w:val="20"/>
          <w:szCs w:val="20"/>
          <w:shd w:val="clear" w:color="auto" w:fill="FFFFFF"/>
        </w:rPr>
        <w:t xml:space="preserve">., 2017). </w:t>
      </w:r>
      <w:r w:rsidRPr="0084203B">
        <w:rPr>
          <w:rFonts w:ascii="Times" w:hAnsi="Times" w:cs="Times New Roman"/>
          <w:color w:val="000000" w:themeColor="text1"/>
          <w:sz w:val="20"/>
          <w:szCs w:val="20"/>
        </w:rPr>
        <w:t>Because of global gravity anomalies,</w:t>
      </w:r>
      <w:r w:rsidRPr="0084203B">
        <w:rPr>
          <w:rFonts w:ascii="Times" w:hAnsi="Times" w:cs="Times New Roman"/>
          <w:bCs/>
          <w:color w:val="000000" w:themeColor="text1"/>
          <w:sz w:val="20"/>
          <w:szCs w:val="20"/>
          <w:shd w:val="clear" w:color="auto" w:fill="FFFFFF"/>
          <w:lang w:val="haw-US"/>
        </w:rPr>
        <w:t xml:space="preserve"> future </w:t>
      </w:r>
      <w:r w:rsidRPr="0084203B">
        <w:rPr>
          <w:rFonts w:ascii="Times" w:hAnsi="Times" w:cs="Times New Roman"/>
          <w:bCs/>
          <w:color w:val="000000" w:themeColor="text1"/>
          <w:sz w:val="20"/>
          <w:szCs w:val="20"/>
          <w:shd w:val="clear" w:color="auto" w:fill="FFFFFF"/>
        </w:rPr>
        <w:t xml:space="preserve">sea level in Hawaiʻi and other locations in the Pacific is projected to rise approximately 20 percent higher than the global average (Sweet </w:t>
      </w:r>
      <w:r w:rsidRPr="0084203B">
        <w:rPr>
          <w:rFonts w:ascii="Times" w:hAnsi="Times" w:cs="Times New Roman"/>
          <w:bCs/>
          <w:i/>
          <w:iCs/>
          <w:color w:val="000000" w:themeColor="text1"/>
          <w:sz w:val="20"/>
          <w:szCs w:val="20"/>
          <w:shd w:val="clear" w:color="auto" w:fill="FFFFFF"/>
        </w:rPr>
        <w:t>et al.</w:t>
      </w:r>
      <w:r w:rsidRPr="0084203B">
        <w:rPr>
          <w:rFonts w:ascii="Times" w:hAnsi="Times" w:cs="Times New Roman"/>
          <w:bCs/>
          <w:color w:val="000000" w:themeColor="text1"/>
          <w:sz w:val="20"/>
          <w:szCs w:val="20"/>
          <w:shd w:val="clear" w:color="auto" w:fill="FFFFFF"/>
        </w:rPr>
        <w:t xml:space="preserve">, 2017). If we hope to have beaches in our future, careful planning is needed to address the threat that sea level rise poses to coastal environments.  </w:t>
      </w:r>
    </w:p>
    <w:p w14:paraId="3E862843" w14:textId="77777777" w:rsidR="00C93842" w:rsidRPr="00F975F0" w:rsidRDefault="00C93842" w:rsidP="00C93842">
      <w:pPr>
        <w:spacing w:before="120"/>
        <w:rPr>
          <w:rFonts w:ascii="Times" w:eastAsia="Times New Roman" w:hAnsi="Times" w:cs="Times New Roman"/>
          <w:color w:val="000000" w:themeColor="text1"/>
          <w:sz w:val="20"/>
          <w:szCs w:val="20"/>
          <w:shd w:val="clear" w:color="auto" w:fill="FFFFFF"/>
        </w:rPr>
      </w:pPr>
      <w:r w:rsidRPr="00F975F0">
        <w:rPr>
          <w:rFonts w:ascii="Times" w:eastAsia="Times New Roman" w:hAnsi="Times" w:cs="Times New Roman"/>
          <w:color w:val="000000" w:themeColor="text1"/>
          <w:sz w:val="20"/>
          <w:szCs w:val="20"/>
          <w:shd w:val="clear" w:color="auto" w:fill="FFFFFF"/>
        </w:rPr>
        <w:t>To be more effective in reaching stated goals, the HCZMP needs to not only regulate housing size, style, and footprint, but also to completely forbid shoreline hardening on sandy beaches. This will require articulation of an exit strategy for buildings threatened by erosion rather than allowing for the proliferation of seawalls.</w:t>
      </w:r>
    </w:p>
    <w:p w14:paraId="3BC36AAE" w14:textId="77777777" w:rsidR="00C93842" w:rsidRPr="00F975F0" w:rsidRDefault="00C93842" w:rsidP="00C93842">
      <w:pPr>
        <w:spacing w:before="120"/>
        <w:rPr>
          <w:rFonts w:ascii="Times" w:eastAsia="Times New Roman" w:hAnsi="Times" w:cs="Times New Roman"/>
          <w:color w:val="000000" w:themeColor="text1"/>
          <w:sz w:val="20"/>
          <w:szCs w:val="20"/>
          <w:shd w:val="clear" w:color="auto" w:fill="FFFFFF"/>
        </w:rPr>
      </w:pPr>
      <w:r w:rsidRPr="00F975F0">
        <w:rPr>
          <w:rFonts w:ascii="Times" w:eastAsia="Times New Roman" w:hAnsi="Times" w:cs="Times New Roman"/>
          <w:color w:val="000000" w:themeColor="text1"/>
          <w:sz w:val="20"/>
          <w:szCs w:val="20"/>
          <w:shd w:val="clear" w:color="auto" w:fill="FFFFFF"/>
        </w:rPr>
        <w:t>Generally, coastal development is prohibited within the shoreline setback, with a few notable exceptions.  One exception is a “nonconforming structure” which is a structure which was “previously lawful but which is located within the shoreline setback as a result of subsequent beach erosion, or as a result of changes in the law relating to the shoreline setback” (</w:t>
      </w:r>
      <w:r w:rsidRPr="00F975F0">
        <w:rPr>
          <w:rFonts w:ascii="Times" w:eastAsia="Times New Roman" w:hAnsi="Times" w:cs="Times New Roman"/>
          <w:color w:val="000000" w:themeColor="text1"/>
          <w:sz w:val="20"/>
          <w:szCs w:val="20"/>
        </w:rPr>
        <w:t>ROH § 23-1.2 to 1.7</w:t>
      </w:r>
      <w:r w:rsidRPr="00F975F0">
        <w:rPr>
          <w:rFonts w:ascii="Times" w:hAnsi="Times" w:cs="Times New Roman"/>
          <w:color w:val="000000" w:themeColor="text1"/>
          <w:sz w:val="20"/>
          <w:szCs w:val="20"/>
        </w:rPr>
        <w:t xml:space="preserve">).  </w:t>
      </w:r>
      <w:r w:rsidRPr="00F975F0">
        <w:rPr>
          <w:rFonts w:ascii="Times" w:eastAsia="Times New Roman" w:hAnsi="Times" w:cs="Times New Roman"/>
          <w:color w:val="000000" w:themeColor="text1"/>
          <w:sz w:val="20"/>
          <w:szCs w:val="20"/>
          <w:shd w:val="clear" w:color="auto" w:fill="FFFFFF"/>
        </w:rPr>
        <w:t>Any building within the shoreline setback that was legally constructed, but does not comply with newly adopted regulation is considered a nonconforming structure. Roughly 93 percent of the buildings in the study area are nonconforming structures.  Nonconforming structures may be legally maintained and expanded provided that such maintenance and expansion does not result in an increase of the non-conformity. These buildings, and their allowance to be maintained and expanded, violates the spirit and intent of both the SMA and the set-back</w:t>
      </w:r>
    </w:p>
    <w:p w14:paraId="52E074F8" w14:textId="77777777" w:rsidR="00C93842" w:rsidRPr="00F975F0" w:rsidRDefault="00C93842" w:rsidP="00C93842">
      <w:pPr>
        <w:pStyle w:val="NormalWeb"/>
        <w:spacing w:before="120" w:beforeAutospacing="0" w:after="0" w:afterAutospacing="0"/>
        <w:rPr>
          <w:color w:val="000000" w:themeColor="text1"/>
        </w:rPr>
      </w:pPr>
      <w:r w:rsidRPr="00F975F0">
        <w:rPr>
          <w:color w:val="000000" w:themeColor="text1"/>
        </w:rPr>
        <w:t xml:space="preserve">One policy revision to be considered includes a more effective shoreline setback for the State of Hawaiʻi and the C&amp;C of Honolulu. Subscribing to a data-based policy on shoreline setbacks would significantly reduce the frequency of future development occurring in areas threatened by erosion. This would avoid conflicts between the </w:t>
      </w:r>
      <w:r w:rsidRPr="00F975F0">
        <w:rPr>
          <w:color w:val="000000" w:themeColor="text1"/>
        </w:rPr>
        <w:lastRenderedPageBreak/>
        <w:t>public’s interest in beach access, wide beaches, and open space, and landowner interests in protecting private property. In the long run, effective data-based shoreline setbacks could protect all parties from the harmful effects of shoreline erosion and beach loss.</w:t>
      </w:r>
    </w:p>
    <w:p w14:paraId="07F42D2E" w14:textId="77777777" w:rsidR="00C93842" w:rsidRPr="00F975F0" w:rsidRDefault="00C93842" w:rsidP="00C93842">
      <w:pPr>
        <w:pStyle w:val="NormalWeb"/>
        <w:spacing w:before="120" w:beforeAutospacing="0" w:after="0" w:afterAutospacing="0"/>
        <w:rPr>
          <w:color w:val="000000" w:themeColor="text1"/>
        </w:rPr>
      </w:pPr>
      <w:r w:rsidRPr="00F975F0">
        <w:rPr>
          <w:color w:val="000000" w:themeColor="text1"/>
        </w:rPr>
        <w:t>In order to develop an effective setback, researchers must provide new estimates that evaluate the current impacts of erosion and project future erosion stemming from accelerated sea level rise. Hawai’i County and C&amp;C both use a fixed distance of 20-60 feet as a shoreline setback whereas Maui and Kauaʻi counties have adopted rate-based setbacks (</w:t>
      </w:r>
      <w:r w:rsidRPr="00F975F0">
        <w:rPr>
          <w:b/>
          <w:color w:val="000000" w:themeColor="text1"/>
        </w:rPr>
        <w:t>Table SI8</w:t>
      </w:r>
      <w:r w:rsidRPr="00F975F0">
        <w:rPr>
          <w:color w:val="000000" w:themeColor="text1"/>
        </w:rPr>
        <w:t>).</w:t>
      </w:r>
    </w:p>
    <w:p w14:paraId="3D760472" w14:textId="77777777" w:rsidR="00C93842" w:rsidRPr="00F975F0" w:rsidRDefault="00C93842" w:rsidP="00C93842">
      <w:pPr>
        <w:pStyle w:val="NormalWeb"/>
        <w:spacing w:before="120" w:beforeAutospacing="0" w:after="0" w:afterAutospacing="0"/>
        <w:ind w:firstLine="720"/>
        <w:rPr>
          <w:color w:val="000000" w:themeColor="text1"/>
        </w:rPr>
      </w:pPr>
    </w:p>
    <w:p w14:paraId="73954EDF" w14:textId="77777777" w:rsidR="00C93842" w:rsidRPr="00F975F0" w:rsidRDefault="00C93842" w:rsidP="00C93842">
      <w:pPr>
        <w:pStyle w:val="NormalWeb"/>
        <w:spacing w:before="120" w:beforeAutospacing="0" w:after="0" w:afterAutospacing="0"/>
        <w:jc w:val="both"/>
        <w:rPr>
          <w:rFonts w:eastAsia="Times New Roman"/>
          <w:color w:val="000000"/>
        </w:rPr>
      </w:pPr>
      <w:r w:rsidRPr="00F975F0">
        <w:rPr>
          <w:b/>
        </w:rPr>
        <w:t>Table SI8</w:t>
      </w:r>
      <w:r w:rsidRPr="00F975F0">
        <w:t xml:space="preserve"> </w:t>
      </w:r>
      <w:r w:rsidRPr="00F975F0">
        <w:rPr>
          <w:rFonts w:eastAsia="Times New Roman"/>
          <w:color w:val="000000"/>
        </w:rPr>
        <w:t>A comparison of the C&amp;C of Honolulu, Maui, and Kauaʻi shoreline setback regulations.</w:t>
      </w:r>
    </w:p>
    <w:tbl>
      <w:tblPr>
        <w:tblStyle w:val="GridTable1Light-Accent1"/>
        <w:tblW w:w="9360" w:type="dxa"/>
        <w:tblLook w:val="04A0" w:firstRow="1" w:lastRow="0" w:firstColumn="1" w:lastColumn="0" w:noHBand="0" w:noVBand="1"/>
      </w:tblPr>
      <w:tblGrid>
        <w:gridCol w:w="1801"/>
        <w:gridCol w:w="2091"/>
        <w:gridCol w:w="2336"/>
        <w:gridCol w:w="1458"/>
        <w:gridCol w:w="1674"/>
      </w:tblGrid>
      <w:tr w:rsidR="00C93842" w:rsidRPr="00F975F0" w14:paraId="0814F5CD" w14:textId="77777777" w:rsidTr="00475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5"/>
            <w:vAlign w:val="center"/>
            <w:hideMark/>
          </w:tcPr>
          <w:p w14:paraId="41FFA976" w14:textId="77777777" w:rsidR="00C93842" w:rsidRPr="00F975F0" w:rsidRDefault="00C93842" w:rsidP="004751BD">
            <w:pPr>
              <w:spacing w:before="120"/>
              <w:jc w:val="center"/>
              <w:rPr>
                <w:rFonts w:ascii="Times" w:eastAsia="Times New Roman" w:hAnsi="Times" w:cs="Times New Roman"/>
                <w:bCs w:val="0"/>
                <w:color w:val="000000"/>
                <w:sz w:val="20"/>
                <w:szCs w:val="20"/>
              </w:rPr>
            </w:pPr>
            <w:r w:rsidRPr="00F975F0">
              <w:rPr>
                <w:rFonts w:ascii="Times" w:eastAsia="Times New Roman" w:hAnsi="Times" w:cs="Times New Roman"/>
                <w:bCs w:val="0"/>
                <w:color w:val="000000"/>
                <w:sz w:val="20"/>
                <w:szCs w:val="20"/>
              </w:rPr>
              <w:t>COMPARISON OF SHORELINE SETBACKS ON O’AHU, MAUI AND KAUA’I ISLANDS</w:t>
            </w:r>
          </w:p>
        </w:tc>
      </w:tr>
      <w:tr w:rsidR="00C93842" w:rsidRPr="00F975F0" w14:paraId="7A090E51" w14:textId="77777777" w:rsidTr="004751BD">
        <w:tc>
          <w:tcPr>
            <w:cnfStyle w:val="001000000000" w:firstRow="0" w:lastRow="0" w:firstColumn="1" w:lastColumn="0" w:oddVBand="0" w:evenVBand="0" w:oddHBand="0" w:evenHBand="0" w:firstRowFirstColumn="0" w:firstRowLastColumn="0" w:lastRowFirstColumn="0" w:lastRowLastColumn="0"/>
            <w:tcW w:w="1801" w:type="dxa"/>
            <w:vAlign w:val="center"/>
            <w:hideMark/>
          </w:tcPr>
          <w:p w14:paraId="27267C76" w14:textId="77777777" w:rsidR="00C93842" w:rsidRPr="00F975F0" w:rsidRDefault="00C93842" w:rsidP="004751BD">
            <w:pPr>
              <w:spacing w:before="120"/>
              <w:jc w:val="center"/>
              <w:rPr>
                <w:rFonts w:ascii="Times" w:eastAsia="Times New Roman" w:hAnsi="Times" w:cs="Times New Roman"/>
                <w:bCs w:val="0"/>
                <w:sz w:val="20"/>
                <w:szCs w:val="20"/>
              </w:rPr>
            </w:pPr>
          </w:p>
        </w:tc>
        <w:tc>
          <w:tcPr>
            <w:tcW w:w="4427" w:type="dxa"/>
            <w:gridSpan w:val="2"/>
            <w:vAlign w:val="center"/>
            <w:hideMark/>
          </w:tcPr>
          <w:p w14:paraId="0A817D2F"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b/>
                <w:color w:val="000000"/>
                <w:sz w:val="20"/>
                <w:szCs w:val="20"/>
              </w:rPr>
            </w:pPr>
            <w:r w:rsidRPr="00F975F0">
              <w:rPr>
                <w:rFonts w:ascii="Times" w:eastAsia="Times New Roman" w:hAnsi="Times" w:cs="Times New Roman"/>
                <w:b/>
                <w:color w:val="000000"/>
                <w:sz w:val="20"/>
                <w:szCs w:val="20"/>
              </w:rPr>
              <w:t>METHOD 1</w:t>
            </w:r>
          </w:p>
        </w:tc>
        <w:tc>
          <w:tcPr>
            <w:tcW w:w="3132" w:type="dxa"/>
            <w:gridSpan w:val="2"/>
            <w:vAlign w:val="center"/>
            <w:hideMark/>
          </w:tcPr>
          <w:p w14:paraId="24AC1E09"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b/>
                <w:color w:val="000000"/>
                <w:sz w:val="20"/>
                <w:szCs w:val="20"/>
              </w:rPr>
            </w:pPr>
            <w:r w:rsidRPr="00F975F0">
              <w:rPr>
                <w:rFonts w:ascii="Times" w:eastAsia="Times New Roman" w:hAnsi="Times" w:cs="Times New Roman"/>
                <w:b/>
                <w:color w:val="000000"/>
                <w:sz w:val="20"/>
                <w:szCs w:val="20"/>
              </w:rPr>
              <w:t>METHOD 2</w:t>
            </w:r>
          </w:p>
        </w:tc>
      </w:tr>
      <w:tr w:rsidR="00C93842" w:rsidRPr="00F975F0" w14:paraId="0053C1E2" w14:textId="77777777" w:rsidTr="004751BD">
        <w:tc>
          <w:tcPr>
            <w:cnfStyle w:val="001000000000" w:firstRow="0" w:lastRow="0" w:firstColumn="1" w:lastColumn="0" w:oddVBand="0" w:evenVBand="0" w:oddHBand="0" w:evenHBand="0" w:firstRowFirstColumn="0" w:firstRowLastColumn="0" w:lastRowFirstColumn="0" w:lastRowLastColumn="0"/>
            <w:tcW w:w="1801" w:type="dxa"/>
            <w:vAlign w:val="center"/>
            <w:hideMark/>
          </w:tcPr>
          <w:p w14:paraId="48772B77"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1ECB5FC1"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Based on Lot Depth</w:t>
            </w:r>
          </w:p>
        </w:tc>
        <w:tc>
          <w:tcPr>
            <w:tcW w:w="2336" w:type="dxa"/>
            <w:vAlign w:val="center"/>
            <w:hideMark/>
          </w:tcPr>
          <w:p w14:paraId="7B253BB0"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Minimum Setback (ft)</w:t>
            </w:r>
          </w:p>
        </w:tc>
        <w:tc>
          <w:tcPr>
            <w:tcW w:w="3132" w:type="dxa"/>
            <w:gridSpan w:val="2"/>
            <w:vAlign w:val="center"/>
            <w:hideMark/>
          </w:tcPr>
          <w:p w14:paraId="5E6FC134"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Based on Coastal Erosion Study</w:t>
            </w:r>
          </w:p>
        </w:tc>
      </w:tr>
      <w:tr w:rsidR="00C93842" w:rsidRPr="00F975F0" w14:paraId="1AE753B1"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restart"/>
            <w:vAlign w:val="center"/>
            <w:hideMark/>
          </w:tcPr>
          <w:p w14:paraId="2841B459" w14:textId="77777777" w:rsidR="00C93842" w:rsidRPr="00F975F0" w:rsidRDefault="00C93842" w:rsidP="004751BD">
            <w:pPr>
              <w:spacing w:before="120"/>
              <w:jc w:val="center"/>
              <w:rPr>
                <w:rFonts w:ascii="Times" w:eastAsia="Times New Roman" w:hAnsi="Times" w:cs="Times New Roman"/>
                <w:bCs w:val="0"/>
                <w:color w:val="000000"/>
                <w:sz w:val="20"/>
                <w:szCs w:val="20"/>
              </w:rPr>
            </w:pPr>
            <w:r w:rsidRPr="00F975F0">
              <w:rPr>
                <w:rFonts w:ascii="Times" w:eastAsia="Times New Roman" w:hAnsi="Times" w:cs="Times New Roman"/>
                <w:bCs w:val="0"/>
                <w:color w:val="000000"/>
                <w:sz w:val="20"/>
                <w:szCs w:val="20"/>
              </w:rPr>
              <w:t>C&amp;C of Honolulu</w:t>
            </w:r>
          </w:p>
        </w:tc>
        <w:tc>
          <w:tcPr>
            <w:tcW w:w="2091" w:type="dxa"/>
            <w:vAlign w:val="center"/>
            <w:hideMark/>
          </w:tcPr>
          <w:p w14:paraId="7BB08B7A"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Less than 30 ft:</w:t>
            </w:r>
          </w:p>
        </w:tc>
        <w:tc>
          <w:tcPr>
            <w:tcW w:w="2336" w:type="dxa"/>
            <w:vAlign w:val="center"/>
            <w:hideMark/>
          </w:tcPr>
          <w:p w14:paraId="3EE3CB0B"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20</w:t>
            </w:r>
          </w:p>
        </w:tc>
        <w:tc>
          <w:tcPr>
            <w:tcW w:w="3132" w:type="dxa"/>
            <w:gridSpan w:val="2"/>
            <w:vMerge w:val="restart"/>
            <w:vAlign w:val="center"/>
            <w:hideMark/>
          </w:tcPr>
          <w:p w14:paraId="43F14B6C"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N/A</w:t>
            </w:r>
          </w:p>
        </w:tc>
      </w:tr>
      <w:tr w:rsidR="00C93842" w:rsidRPr="00F975F0" w14:paraId="443C2518"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37825E88" w14:textId="77777777" w:rsidR="00C93842" w:rsidRPr="00F975F0" w:rsidRDefault="00C93842" w:rsidP="004751BD">
            <w:pPr>
              <w:spacing w:before="120"/>
              <w:jc w:val="center"/>
              <w:rPr>
                <w:rFonts w:ascii="Times" w:eastAsia="Times New Roman" w:hAnsi="Times" w:cs="Times New Roman"/>
                <w:bCs w:val="0"/>
                <w:color w:val="000000"/>
                <w:sz w:val="20"/>
                <w:szCs w:val="20"/>
              </w:rPr>
            </w:pPr>
          </w:p>
        </w:tc>
        <w:tc>
          <w:tcPr>
            <w:tcW w:w="2091" w:type="dxa"/>
            <w:vAlign w:val="center"/>
            <w:hideMark/>
          </w:tcPr>
          <w:p w14:paraId="1F7147D9"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30 ft or more:</w:t>
            </w:r>
          </w:p>
        </w:tc>
        <w:tc>
          <w:tcPr>
            <w:tcW w:w="2336" w:type="dxa"/>
            <w:vAlign w:val="center"/>
            <w:hideMark/>
          </w:tcPr>
          <w:p w14:paraId="57DE0B66"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40</w:t>
            </w:r>
          </w:p>
        </w:tc>
        <w:tc>
          <w:tcPr>
            <w:tcW w:w="3132" w:type="dxa"/>
            <w:gridSpan w:val="2"/>
            <w:vMerge/>
            <w:vAlign w:val="center"/>
            <w:hideMark/>
          </w:tcPr>
          <w:p w14:paraId="7C683167"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11EC7ED3"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5267DA1E" w14:textId="77777777" w:rsidR="00C93842" w:rsidRPr="00F975F0" w:rsidRDefault="00C93842" w:rsidP="004751BD">
            <w:pPr>
              <w:spacing w:before="120"/>
              <w:jc w:val="center"/>
              <w:rPr>
                <w:rFonts w:ascii="Times" w:eastAsia="Times New Roman" w:hAnsi="Times" w:cs="Times New Roman"/>
                <w:bCs w:val="0"/>
                <w:color w:val="000000"/>
                <w:sz w:val="20"/>
                <w:szCs w:val="20"/>
              </w:rPr>
            </w:pPr>
          </w:p>
        </w:tc>
        <w:tc>
          <w:tcPr>
            <w:tcW w:w="2091" w:type="dxa"/>
            <w:vAlign w:val="center"/>
            <w:hideMark/>
          </w:tcPr>
          <w:p w14:paraId="752786EA"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New subdivisions:</w:t>
            </w:r>
          </w:p>
        </w:tc>
        <w:tc>
          <w:tcPr>
            <w:tcW w:w="2336" w:type="dxa"/>
            <w:vAlign w:val="center"/>
            <w:hideMark/>
          </w:tcPr>
          <w:p w14:paraId="086FACEE"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60</w:t>
            </w:r>
          </w:p>
        </w:tc>
        <w:tc>
          <w:tcPr>
            <w:tcW w:w="3132" w:type="dxa"/>
            <w:gridSpan w:val="2"/>
            <w:vMerge/>
            <w:vAlign w:val="center"/>
            <w:hideMark/>
          </w:tcPr>
          <w:p w14:paraId="3F49EBEB"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384075E7"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restart"/>
            <w:vAlign w:val="center"/>
            <w:hideMark/>
          </w:tcPr>
          <w:p w14:paraId="38CA2012" w14:textId="77777777" w:rsidR="00C93842" w:rsidRPr="00F975F0" w:rsidRDefault="00C93842" w:rsidP="004751BD">
            <w:pPr>
              <w:spacing w:before="120"/>
              <w:jc w:val="center"/>
              <w:rPr>
                <w:rFonts w:ascii="Times" w:eastAsia="Times New Roman" w:hAnsi="Times" w:cs="Times New Roman"/>
                <w:bCs w:val="0"/>
                <w:color w:val="000000"/>
                <w:sz w:val="20"/>
                <w:szCs w:val="20"/>
              </w:rPr>
            </w:pPr>
            <w:r w:rsidRPr="00F975F0">
              <w:rPr>
                <w:rFonts w:ascii="Times" w:eastAsia="Times New Roman" w:hAnsi="Times" w:cs="Times New Roman"/>
                <w:bCs w:val="0"/>
                <w:color w:val="000000"/>
                <w:sz w:val="20"/>
                <w:szCs w:val="20"/>
              </w:rPr>
              <w:t>Maui County</w:t>
            </w:r>
          </w:p>
        </w:tc>
        <w:tc>
          <w:tcPr>
            <w:tcW w:w="2091" w:type="dxa"/>
            <w:vAlign w:val="center"/>
            <w:hideMark/>
          </w:tcPr>
          <w:p w14:paraId="3D3D2DF4"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100 ft or less:</w:t>
            </w:r>
          </w:p>
        </w:tc>
        <w:tc>
          <w:tcPr>
            <w:tcW w:w="2336" w:type="dxa"/>
            <w:vAlign w:val="center"/>
            <w:hideMark/>
          </w:tcPr>
          <w:p w14:paraId="6F18B431"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25</w:t>
            </w:r>
          </w:p>
        </w:tc>
        <w:tc>
          <w:tcPr>
            <w:tcW w:w="3132" w:type="dxa"/>
            <w:gridSpan w:val="2"/>
            <w:vMerge w:val="restart"/>
            <w:vAlign w:val="center"/>
            <w:hideMark/>
          </w:tcPr>
          <w:p w14:paraId="21C5B1BD"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25 feet plus 50 times the annual rate of coastal erosion</w:t>
            </w:r>
          </w:p>
        </w:tc>
      </w:tr>
      <w:tr w:rsidR="00C93842" w:rsidRPr="00F975F0" w14:paraId="4C19E4FF"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1BF7FB62" w14:textId="77777777" w:rsidR="00C93842" w:rsidRPr="00F975F0" w:rsidRDefault="00C93842" w:rsidP="004751BD">
            <w:pPr>
              <w:spacing w:before="120"/>
              <w:jc w:val="center"/>
              <w:rPr>
                <w:rFonts w:ascii="Times" w:eastAsia="Times New Roman" w:hAnsi="Times" w:cs="Times New Roman"/>
                <w:bCs w:val="0"/>
                <w:color w:val="000000"/>
                <w:sz w:val="20"/>
                <w:szCs w:val="20"/>
              </w:rPr>
            </w:pPr>
          </w:p>
        </w:tc>
        <w:tc>
          <w:tcPr>
            <w:tcW w:w="2091" w:type="dxa"/>
            <w:vAlign w:val="center"/>
            <w:hideMark/>
          </w:tcPr>
          <w:p w14:paraId="137397A0"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100 ft-160 ft:</w:t>
            </w:r>
          </w:p>
        </w:tc>
        <w:tc>
          <w:tcPr>
            <w:tcW w:w="2336" w:type="dxa"/>
            <w:vAlign w:val="center"/>
            <w:hideMark/>
          </w:tcPr>
          <w:p w14:paraId="548C915E"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40</w:t>
            </w:r>
          </w:p>
        </w:tc>
        <w:tc>
          <w:tcPr>
            <w:tcW w:w="3132" w:type="dxa"/>
            <w:gridSpan w:val="2"/>
            <w:vMerge/>
            <w:vAlign w:val="center"/>
            <w:hideMark/>
          </w:tcPr>
          <w:p w14:paraId="2FB19E7D"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6CC8F00A"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1872DE56" w14:textId="77777777" w:rsidR="00C93842" w:rsidRPr="00F975F0" w:rsidRDefault="00C93842" w:rsidP="004751BD">
            <w:pPr>
              <w:spacing w:before="120"/>
              <w:jc w:val="center"/>
              <w:rPr>
                <w:rFonts w:ascii="Times" w:eastAsia="Times New Roman" w:hAnsi="Times" w:cs="Times New Roman"/>
                <w:bCs w:val="0"/>
                <w:color w:val="000000"/>
                <w:sz w:val="20"/>
                <w:szCs w:val="20"/>
              </w:rPr>
            </w:pPr>
          </w:p>
        </w:tc>
        <w:tc>
          <w:tcPr>
            <w:tcW w:w="2091" w:type="dxa"/>
            <w:vAlign w:val="center"/>
            <w:hideMark/>
          </w:tcPr>
          <w:p w14:paraId="09C8389A"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160 feet or more:</w:t>
            </w:r>
          </w:p>
        </w:tc>
        <w:tc>
          <w:tcPr>
            <w:tcW w:w="2336" w:type="dxa"/>
            <w:vAlign w:val="center"/>
            <w:hideMark/>
          </w:tcPr>
          <w:p w14:paraId="613017A0"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25% of average lot depth, but not more than 150 ft</w:t>
            </w:r>
          </w:p>
        </w:tc>
        <w:tc>
          <w:tcPr>
            <w:tcW w:w="3132" w:type="dxa"/>
            <w:gridSpan w:val="2"/>
            <w:vMerge/>
            <w:vAlign w:val="center"/>
            <w:hideMark/>
          </w:tcPr>
          <w:p w14:paraId="0D07515C"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45EC9C93"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restart"/>
            <w:vAlign w:val="center"/>
            <w:hideMark/>
          </w:tcPr>
          <w:p w14:paraId="73ADA39E" w14:textId="77777777" w:rsidR="00C93842" w:rsidRPr="00F975F0" w:rsidRDefault="00C93842" w:rsidP="004751BD">
            <w:pPr>
              <w:spacing w:before="120"/>
              <w:jc w:val="center"/>
              <w:rPr>
                <w:rFonts w:ascii="Times" w:eastAsia="Times New Roman" w:hAnsi="Times" w:cs="Times New Roman"/>
                <w:bCs w:val="0"/>
                <w:color w:val="000000"/>
                <w:sz w:val="20"/>
                <w:szCs w:val="20"/>
              </w:rPr>
            </w:pPr>
            <w:r w:rsidRPr="00F975F0">
              <w:rPr>
                <w:rFonts w:ascii="Times" w:eastAsia="Times New Roman" w:hAnsi="Times" w:cs="Times New Roman"/>
                <w:bCs w:val="0"/>
                <w:color w:val="000000"/>
                <w:sz w:val="20"/>
                <w:szCs w:val="20"/>
              </w:rPr>
              <w:t>Kauai County</w:t>
            </w:r>
          </w:p>
        </w:tc>
        <w:tc>
          <w:tcPr>
            <w:tcW w:w="2091" w:type="dxa"/>
            <w:vAlign w:val="center"/>
            <w:hideMark/>
          </w:tcPr>
          <w:p w14:paraId="676AEB7E"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100 ft or less:</w:t>
            </w:r>
          </w:p>
        </w:tc>
        <w:tc>
          <w:tcPr>
            <w:tcW w:w="2336" w:type="dxa"/>
            <w:vAlign w:val="center"/>
            <w:hideMark/>
          </w:tcPr>
          <w:p w14:paraId="0BD92DCC"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40</w:t>
            </w:r>
          </w:p>
        </w:tc>
        <w:tc>
          <w:tcPr>
            <w:tcW w:w="1458" w:type="dxa"/>
            <w:vMerge w:val="restart"/>
            <w:vAlign w:val="center"/>
            <w:hideMark/>
          </w:tcPr>
          <w:p w14:paraId="25BEA99A"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Structures 5,000 ft</w:t>
            </w:r>
            <w:r w:rsidRPr="00F975F0">
              <w:rPr>
                <w:rFonts w:ascii="Times" w:eastAsia="Times New Roman" w:hAnsi="Times" w:cs="Times New Roman"/>
                <w:color w:val="000000"/>
                <w:sz w:val="20"/>
                <w:szCs w:val="20"/>
                <w:vertAlign w:val="superscript"/>
              </w:rPr>
              <w:t xml:space="preserve">2 </w:t>
            </w:r>
            <w:r w:rsidRPr="00F975F0">
              <w:rPr>
                <w:rFonts w:ascii="Times" w:eastAsia="Times New Roman" w:hAnsi="Times" w:cs="Times New Roman"/>
                <w:color w:val="000000"/>
                <w:sz w:val="20"/>
                <w:szCs w:val="20"/>
              </w:rPr>
              <w:t>or less:</w:t>
            </w:r>
          </w:p>
        </w:tc>
        <w:tc>
          <w:tcPr>
            <w:tcW w:w="1674" w:type="dxa"/>
            <w:vMerge w:val="restart"/>
            <w:vAlign w:val="center"/>
            <w:hideMark/>
          </w:tcPr>
          <w:p w14:paraId="1E7D3F28"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40 ft plus 70 times the annual coastal erosion rate</w:t>
            </w:r>
          </w:p>
        </w:tc>
      </w:tr>
      <w:tr w:rsidR="00C93842" w:rsidRPr="00F975F0" w14:paraId="4A39050A"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213F9257"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1EDDCC67"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101 to 120 ft:</w:t>
            </w:r>
          </w:p>
        </w:tc>
        <w:tc>
          <w:tcPr>
            <w:tcW w:w="2336" w:type="dxa"/>
            <w:vAlign w:val="center"/>
            <w:hideMark/>
          </w:tcPr>
          <w:p w14:paraId="3DF7591E"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50</w:t>
            </w:r>
          </w:p>
        </w:tc>
        <w:tc>
          <w:tcPr>
            <w:tcW w:w="1458" w:type="dxa"/>
            <w:vMerge/>
            <w:vAlign w:val="center"/>
            <w:hideMark/>
          </w:tcPr>
          <w:p w14:paraId="5522BB99"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c>
          <w:tcPr>
            <w:tcW w:w="1674" w:type="dxa"/>
            <w:vMerge/>
            <w:vAlign w:val="center"/>
            <w:hideMark/>
          </w:tcPr>
          <w:p w14:paraId="3083C568"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204890F7"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08833DCF"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2DE6D444"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121 to 140 ft:</w:t>
            </w:r>
          </w:p>
        </w:tc>
        <w:tc>
          <w:tcPr>
            <w:tcW w:w="2336" w:type="dxa"/>
            <w:vAlign w:val="center"/>
            <w:hideMark/>
          </w:tcPr>
          <w:p w14:paraId="0B69F2AC"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60</w:t>
            </w:r>
          </w:p>
        </w:tc>
        <w:tc>
          <w:tcPr>
            <w:tcW w:w="1458" w:type="dxa"/>
            <w:vMerge/>
            <w:vAlign w:val="center"/>
            <w:hideMark/>
          </w:tcPr>
          <w:p w14:paraId="7A8F6C46"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c>
          <w:tcPr>
            <w:tcW w:w="1674" w:type="dxa"/>
            <w:vMerge/>
            <w:vAlign w:val="center"/>
            <w:hideMark/>
          </w:tcPr>
          <w:p w14:paraId="6B39B7AE"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5CD8D8C1"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1AEE05DC"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38639041"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141 to 160 ft:</w:t>
            </w:r>
          </w:p>
        </w:tc>
        <w:tc>
          <w:tcPr>
            <w:tcW w:w="2336" w:type="dxa"/>
            <w:vAlign w:val="center"/>
            <w:hideMark/>
          </w:tcPr>
          <w:p w14:paraId="5EA1E474"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70</w:t>
            </w:r>
          </w:p>
        </w:tc>
        <w:tc>
          <w:tcPr>
            <w:tcW w:w="1458" w:type="dxa"/>
            <w:vMerge w:val="restart"/>
            <w:vAlign w:val="center"/>
            <w:hideMark/>
          </w:tcPr>
          <w:p w14:paraId="03C623FD"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Structures more than 5,000 ft</w:t>
            </w:r>
            <w:r w:rsidRPr="00F975F0">
              <w:rPr>
                <w:rFonts w:ascii="Times" w:eastAsia="Times New Roman" w:hAnsi="Times" w:cs="Times New Roman"/>
                <w:color w:val="000000"/>
                <w:sz w:val="20"/>
                <w:szCs w:val="20"/>
                <w:vertAlign w:val="superscript"/>
              </w:rPr>
              <w:t>2</w:t>
            </w:r>
            <w:r w:rsidRPr="00F975F0">
              <w:rPr>
                <w:rFonts w:ascii="Times" w:eastAsia="Times New Roman" w:hAnsi="Times" w:cs="Times New Roman"/>
                <w:color w:val="000000"/>
                <w:sz w:val="20"/>
                <w:szCs w:val="20"/>
              </w:rPr>
              <w:t>:</w:t>
            </w:r>
          </w:p>
        </w:tc>
        <w:tc>
          <w:tcPr>
            <w:tcW w:w="1674" w:type="dxa"/>
            <w:vMerge w:val="restart"/>
            <w:vAlign w:val="center"/>
            <w:hideMark/>
          </w:tcPr>
          <w:p w14:paraId="635F5F53"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40 feet plus 100 times the annual coastal erosion rate</w:t>
            </w:r>
          </w:p>
        </w:tc>
      </w:tr>
      <w:tr w:rsidR="00C93842" w:rsidRPr="00F975F0" w14:paraId="473D454D"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060049A5"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5415F723"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161 to 180 ft:</w:t>
            </w:r>
          </w:p>
        </w:tc>
        <w:tc>
          <w:tcPr>
            <w:tcW w:w="2336" w:type="dxa"/>
            <w:vAlign w:val="center"/>
            <w:hideMark/>
          </w:tcPr>
          <w:p w14:paraId="69B6DC65"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80</w:t>
            </w:r>
          </w:p>
        </w:tc>
        <w:tc>
          <w:tcPr>
            <w:tcW w:w="1458" w:type="dxa"/>
            <w:vMerge/>
            <w:vAlign w:val="center"/>
            <w:hideMark/>
          </w:tcPr>
          <w:p w14:paraId="2731F100"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c>
          <w:tcPr>
            <w:tcW w:w="1674" w:type="dxa"/>
            <w:vMerge/>
            <w:vAlign w:val="center"/>
            <w:hideMark/>
          </w:tcPr>
          <w:p w14:paraId="41F74C77"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40EA311C"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14986D2C"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36A0EE6D"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181 to 200 ft:</w:t>
            </w:r>
          </w:p>
        </w:tc>
        <w:tc>
          <w:tcPr>
            <w:tcW w:w="2336" w:type="dxa"/>
            <w:vAlign w:val="center"/>
            <w:hideMark/>
          </w:tcPr>
          <w:p w14:paraId="56E7A356"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90</w:t>
            </w:r>
          </w:p>
        </w:tc>
        <w:tc>
          <w:tcPr>
            <w:tcW w:w="1458" w:type="dxa"/>
            <w:vMerge/>
            <w:vAlign w:val="center"/>
            <w:hideMark/>
          </w:tcPr>
          <w:p w14:paraId="0F720EFC"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c>
          <w:tcPr>
            <w:tcW w:w="1674" w:type="dxa"/>
            <w:vMerge/>
            <w:vAlign w:val="center"/>
            <w:hideMark/>
          </w:tcPr>
          <w:p w14:paraId="25B58CE0"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r w:rsidR="00C93842" w:rsidRPr="00F975F0" w14:paraId="61D2DF75" w14:textId="77777777" w:rsidTr="004751BD">
        <w:tc>
          <w:tcPr>
            <w:cnfStyle w:val="001000000000" w:firstRow="0" w:lastRow="0" w:firstColumn="1" w:lastColumn="0" w:oddVBand="0" w:evenVBand="0" w:oddHBand="0" w:evenHBand="0" w:firstRowFirstColumn="0" w:firstRowLastColumn="0" w:lastRowFirstColumn="0" w:lastRowLastColumn="0"/>
            <w:tcW w:w="1801" w:type="dxa"/>
            <w:vMerge/>
            <w:vAlign w:val="center"/>
            <w:hideMark/>
          </w:tcPr>
          <w:p w14:paraId="736AE0CD" w14:textId="77777777" w:rsidR="00C93842" w:rsidRPr="00F975F0" w:rsidRDefault="00C93842" w:rsidP="004751BD">
            <w:pPr>
              <w:spacing w:before="120"/>
              <w:jc w:val="center"/>
              <w:rPr>
                <w:rFonts w:ascii="Times" w:eastAsia="Times New Roman" w:hAnsi="Times" w:cs="Times New Roman"/>
                <w:b w:val="0"/>
                <w:color w:val="000000"/>
                <w:sz w:val="20"/>
                <w:szCs w:val="20"/>
              </w:rPr>
            </w:pPr>
          </w:p>
        </w:tc>
        <w:tc>
          <w:tcPr>
            <w:tcW w:w="2091" w:type="dxa"/>
            <w:vAlign w:val="center"/>
            <w:hideMark/>
          </w:tcPr>
          <w:p w14:paraId="663F0C4F"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More than 200 ft:</w:t>
            </w:r>
          </w:p>
        </w:tc>
        <w:tc>
          <w:tcPr>
            <w:tcW w:w="2336" w:type="dxa"/>
            <w:vAlign w:val="center"/>
            <w:hideMark/>
          </w:tcPr>
          <w:p w14:paraId="1BC82C03"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r w:rsidRPr="00F975F0">
              <w:rPr>
                <w:rFonts w:ascii="Times" w:eastAsia="Times New Roman" w:hAnsi="Times" w:cs="Times New Roman"/>
                <w:color w:val="000000"/>
                <w:sz w:val="20"/>
                <w:szCs w:val="20"/>
              </w:rPr>
              <w:t>100</w:t>
            </w:r>
          </w:p>
        </w:tc>
        <w:tc>
          <w:tcPr>
            <w:tcW w:w="1458" w:type="dxa"/>
            <w:vMerge/>
            <w:vAlign w:val="center"/>
            <w:hideMark/>
          </w:tcPr>
          <w:p w14:paraId="694D257C"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c>
          <w:tcPr>
            <w:tcW w:w="1674" w:type="dxa"/>
            <w:vMerge/>
            <w:vAlign w:val="center"/>
            <w:hideMark/>
          </w:tcPr>
          <w:p w14:paraId="4FA4014E" w14:textId="77777777" w:rsidR="00C93842" w:rsidRPr="00F975F0" w:rsidRDefault="00C93842" w:rsidP="004751BD">
            <w:pPr>
              <w:spacing w:before="120"/>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sz w:val="20"/>
                <w:szCs w:val="20"/>
              </w:rPr>
            </w:pPr>
          </w:p>
        </w:tc>
      </w:tr>
    </w:tbl>
    <w:p w14:paraId="71D36856" w14:textId="77777777" w:rsidR="00C93842" w:rsidRPr="00F975F0" w:rsidRDefault="00C93842" w:rsidP="00C93842">
      <w:pPr>
        <w:pStyle w:val="NormalWeb"/>
        <w:spacing w:before="120" w:beforeAutospacing="0" w:after="0" w:afterAutospacing="0"/>
        <w:ind w:firstLine="720"/>
        <w:jc w:val="both"/>
        <w:rPr>
          <w:rFonts w:eastAsia="Times New Roman"/>
          <w:color w:val="000000"/>
        </w:rPr>
      </w:pPr>
    </w:p>
    <w:p w14:paraId="5656AD77" w14:textId="77777777" w:rsidR="00C93842" w:rsidRPr="00F975F0" w:rsidRDefault="00C93842" w:rsidP="00C93842">
      <w:pPr>
        <w:pStyle w:val="NormalWeb"/>
        <w:spacing w:before="120" w:beforeAutospacing="0" w:after="0" w:afterAutospacing="0"/>
        <w:rPr>
          <w:rFonts w:eastAsia="Times New Roman"/>
          <w:color w:val="000000" w:themeColor="text1"/>
        </w:rPr>
      </w:pPr>
      <w:r w:rsidRPr="00F975F0">
        <w:rPr>
          <w:rFonts w:eastAsia="Times New Roman"/>
          <w:color w:val="000000" w:themeColor="text1"/>
        </w:rPr>
        <w:t>Shoreline setback distances in Maui and Kauaʻi counties are established using a combination of criteria: the rate of historical shoreline change, or the average depth of the lot.  On the island of Maui, the construction setback is calculated as either 50 times the annual rate of erosion plus 25 feet (Method 2, Table 5), or is based on the average lot depth (Method 1, Table 5).  Whichever method gives a greater distance from the shoreline, or an overlay of such distances, is designated as the shoreline setback.  For lots with greater depth, the setback is set wider, taking advantage of the available land to shift development as far landward as possible. For instance, a lot with an average depth of 100 feet or less is assigned a setback that is 25 feet from the shoreline; whereas a lot with an average depth between 100 feet and 160 feet is assigned a setback of 40 feet from the shoreline. The setback progressively widens with the depth of the lot.</w:t>
      </w:r>
    </w:p>
    <w:p w14:paraId="5649A2BE" w14:textId="77777777" w:rsidR="00C93842" w:rsidRPr="00F975F0" w:rsidRDefault="00C93842" w:rsidP="00C93842">
      <w:pPr>
        <w:spacing w:before="1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 xml:space="preserve">On the island of Kauaʻi, the shoreline setback is more conservative than Maui County. For lots with an average depth of 160 feet or less, the applicant can decide whether the setback distance shall be based on the average depth of the lot or on the rate of shoreline change. Under the first option, the minimum shoreline setback is 40 feet, and expands with greater lot depth until a lot depth greater than 200 feet is assigned a setback of 100 feet.  The setback can also be determined by a coastal erosion study.  For structures with a building footprint that is less than or equal to 5,000 square feet, the setback from the shoreline is a distance equal to 40 feet plus 70 times the annual coastal </w:t>
      </w:r>
      <w:r w:rsidRPr="00F975F0">
        <w:rPr>
          <w:rFonts w:ascii="Times" w:eastAsia="Times New Roman" w:hAnsi="Times" w:cs="Times New Roman"/>
          <w:color w:val="000000" w:themeColor="text1"/>
          <w:sz w:val="20"/>
          <w:szCs w:val="20"/>
        </w:rPr>
        <w:lastRenderedPageBreak/>
        <w:t>erosion rate.  For structures with a building footprint greater than 5,000 square feet the setback from the shoreline is 40 feet plus 100 times the annual coastal erosion rate.</w:t>
      </w:r>
    </w:p>
    <w:p w14:paraId="61F53E2B" w14:textId="77777777" w:rsidR="00C93842" w:rsidRPr="00F975F0" w:rsidRDefault="00C93842" w:rsidP="00C93842">
      <w:pPr>
        <w:autoSpaceDE w:val="0"/>
        <w:autoSpaceDN w:val="0"/>
        <w:adjustRightInd w:val="0"/>
        <w:spacing w:before="120"/>
        <w:rPr>
          <w:rFonts w:ascii="Times" w:hAnsi="Times" w:cs="Times New Roman"/>
          <w:color w:val="000000" w:themeColor="text1"/>
          <w:sz w:val="20"/>
          <w:szCs w:val="20"/>
        </w:rPr>
      </w:pPr>
      <w:r w:rsidRPr="00F975F0">
        <w:rPr>
          <w:rFonts w:ascii="Times" w:hAnsi="Times" w:cs="Times New Roman"/>
          <w:color w:val="000000" w:themeColor="text1"/>
          <w:sz w:val="20"/>
          <w:szCs w:val="20"/>
        </w:rPr>
        <w:t xml:space="preserve">Hawaiʻi County and the C&amp;C of Honolulu should consider following the example set by Maui and Kauaʻi counties and implement shoreline setback policies that accommodate historical erosion trends, combined with a setback component scaled to future sea level rise. Erosion rate-based setbacks can complement additional policies as well. For instance: </w:t>
      </w:r>
    </w:p>
    <w:p w14:paraId="185EEE16" w14:textId="77777777" w:rsidR="00C93842" w:rsidRPr="00F975F0" w:rsidRDefault="00C93842" w:rsidP="00C93842">
      <w:pPr>
        <w:pStyle w:val="ListParagraph"/>
        <w:numPr>
          <w:ilvl w:val="0"/>
          <w:numId w:val="1"/>
        </w:num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sz w:val="20"/>
          <w:szCs w:val="20"/>
        </w:rPr>
        <w:t xml:space="preserve">Prevent the granting of new land use entitlements for future development in coastal areas that are subject to shoreline erosion and other coastal hazards; </w:t>
      </w:r>
    </w:p>
    <w:p w14:paraId="0CE07C24" w14:textId="77777777" w:rsidR="00C93842" w:rsidRPr="00F975F0" w:rsidRDefault="00C93842" w:rsidP="00C93842">
      <w:pPr>
        <w:pStyle w:val="ListParagraph"/>
        <w:numPr>
          <w:ilvl w:val="0"/>
          <w:numId w:val="1"/>
        </w:num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sz w:val="20"/>
          <w:szCs w:val="20"/>
        </w:rPr>
        <w:t xml:space="preserve">Relocate (retreat) future development inland of future erosion hazard zones; </w:t>
      </w:r>
    </w:p>
    <w:p w14:paraId="1B0722C2" w14:textId="77777777" w:rsidR="00C93842" w:rsidRPr="00F975F0" w:rsidRDefault="00C93842" w:rsidP="00C93842">
      <w:pPr>
        <w:pStyle w:val="ListParagraph"/>
        <w:numPr>
          <w:ilvl w:val="0"/>
          <w:numId w:val="1"/>
        </w:num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sz w:val="20"/>
          <w:szCs w:val="20"/>
        </w:rPr>
        <w:t xml:space="preserve">Prevent landowners from implementing actions that will produce negative impacts on adjacent lands (e.g., flanking); </w:t>
      </w:r>
    </w:p>
    <w:p w14:paraId="7BCD305C" w14:textId="77777777" w:rsidR="00C93842" w:rsidRPr="00F975F0" w:rsidRDefault="00C93842" w:rsidP="00C93842">
      <w:pPr>
        <w:pStyle w:val="ListParagraph"/>
        <w:numPr>
          <w:ilvl w:val="0"/>
          <w:numId w:val="1"/>
        </w:num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sz w:val="20"/>
          <w:szCs w:val="20"/>
        </w:rPr>
        <w:t xml:space="preserve">Enact sand conservation steps that prevent any action that may reduce beach sand volume, beach width, or beach length; and </w:t>
      </w:r>
    </w:p>
    <w:p w14:paraId="09C528FE" w14:textId="77777777" w:rsidR="00C93842" w:rsidRPr="00F975F0" w:rsidRDefault="00C93842" w:rsidP="00C93842">
      <w:pPr>
        <w:pStyle w:val="ListParagraph"/>
        <w:numPr>
          <w:ilvl w:val="0"/>
          <w:numId w:val="1"/>
        </w:num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sz w:val="20"/>
          <w:szCs w:val="20"/>
        </w:rPr>
        <w:t>Develop incentives that encourage existing beachfront owners to retreat from the shoreline (e.g., land swaps, buy-outs, transferable development rights, living estates, permits for activities that are otherwise disallowed, reverse mortgages, conservation easements, incrementally rising restrictions to codes and standards, and others).</w:t>
      </w:r>
      <w:r w:rsidRPr="00F975F0">
        <w:rPr>
          <w:rFonts w:ascii="Times" w:hAnsi="Times" w:cs="Times New Roman"/>
          <w:color w:val="000000" w:themeColor="text1"/>
          <w:kern w:val="1"/>
          <w:sz w:val="20"/>
          <w:szCs w:val="20"/>
        </w:rPr>
        <w:t xml:space="preserve"> </w:t>
      </w:r>
    </w:p>
    <w:p w14:paraId="6BC25D94" w14:textId="77777777" w:rsidR="00C93842" w:rsidRPr="00F975F0" w:rsidRDefault="00C93842" w:rsidP="00C93842">
      <w:pPr>
        <w:autoSpaceDE w:val="0"/>
        <w:autoSpaceDN w:val="0"/>
        <w:adjustRightInd w:val="0"/>
        <w:spacing w:before="120"/>
        <w:ind w:firstLine="720"/>
        <w:rPr>
          <w:rFonts w:ascii="Times" w:hAnsi="Times" w:cs="Times New Roman"/>
          <w:color w:val="000000" w:themeColor="text1"/>
          <w:kern w:val="1"/>
          <w:sz w:val="20"/>
          <w:szCs w:val="20"/>
        </w:rPr>
      </w:pPr>
    </w:p>
    <w:p w14:paraId="1A8CF7A5" w14:textId="77777777" w:rsidR="00C93842" w:rsidRPr="00F975F0" w:rsidRDefault="00C93842" w:rsidP="00C93842">
      <w:p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kern w:val="1"/>
          <w:sz w:val="20"/>
          <w:szCs w:val="20"/>
        </w:rPr>
        <w:t xml:space="preserve">The published body of research literature (e.g., Sweet </w:t>
      </w:r>
      <w:r w:rsidRPr="00F975F0">
        <w:rPr>
          <w:rFonts w:ascii="Times" w:hAnsi="Times" w:cs="Times New Roman"/>
          <w:i/>
          <w:iCs/>
          <w:color w:val="000000" w:themeColor="text1"/>
          <w:kern w:val="1"/>
          <w:sz w:val="20"/>
          <w:szCs w:val="20"/>
        </w:rPr>
        <w:t>et al.,</w:t>
      </w:r>
      <w:r w:rsidRPr="00F975F0">
        <w:rPr>
          <w:rFonts w:ascii="Times" w:hAnsi="Times" w:cs="Times New Roman"/>
          <w:color w:val="000000" w:themeColor="text1"/>
          <w:kern w:val="1"/>
          <w:sz w:val="20"/>
          <w:szCs w:val="20"/>
        </w:rPr>
        <w:t xml:space="preserve"> 2017) now considers sea level rise and erosion to be inevitable and it is better to take early action to protect beaches, open space, and public access than to wait until rising sea level is rapidly accelerating when there is less flexibility in land use and the pressures of urgency interfere with envisioning thoughtful options.  </w:t>
      </w:r>
    </w:p>
    <w:p w14:paraId="2D05389A" w14:textId="77777777" w:rsidR="00C93842" w:rsidRPr="00F975F0" w:rsidRDefault="00C93842" w:rsidP="00C93842">
      <w:p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kern w:val="1"/>
          <w:sz w:val="20"/>
          <w:szCs w:val="20"/>
        </w:rPr>
        <w:t>To conserve beaches in a future of rising sea level, authorities will need to be proactive and identify specific locations where there is a high probability of future coastal erosion that would result in the loss of beaches that are deemed of high value for preservation. Coastlines identified as “high value” could be based on multiple factors such as assessing the impact of beach loss on culture, ecology, critical habitat, recreation, tourism, public access to and along the shoreline, childhood ocean safety learning experiences, infrastructure and private property, and abundant sand supply, and other attributes. These beaches would be deemed as essential assets and no action allowed that could potentially harm them.</w:t>
      </w:r>
    </w:p>
    <w:p w14:paraId="3C59469C" w14:textId="77777777" w:rsidR="00C93842" w:rsidRPr="00F975F0" w:rsidRDefault="00C93842" w:rsidP="00C93842">
      <w:p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kern w:val="1"/>
          <w:sz w:val="20"/>
          <w:szCs w:val="20"/>
        </w:rPr>
        <w:t>To avoid future conflicts, each county could prohibit the granting of new land use entitlements for future shoreline development. The state and counties could develop a program to purchase homes that are currently or likely to become threatened by erosion.  Such a program could be financed through a conveyance tax on the sale of high-end homes, a barrel or fuel tax tied to carbon emissions, or through special tax districts within the SMA (i.e., improvement districts). The program could employ life estate planning to acquire lands. An incremental, but persistent application of this adaptation strategy could see significant positive returns in the near term in the form of protection of public safety, preservation of open space, enhanced public access, and beach preservation – fulfilling the goals of long-standing CZM policy.  Similarly, the counties could develop a land swap and/or transfer of development rights program whereby property threatened by erosion would be identified for conservation and property owners would be compensated with land or development rights in an area that is appropriate for development.  There is a widespread problem with illegal vacation rentals on beachfront properties which could provide leverage for long-term acquisition.</w:t>
      </w:r>
    </w:p>
    <w:p w14:paraId="47F6A045" w14:textId="77777777" w:rsidR="00C93842" w:rsidRPr="00F975F0" w:rsidRDefault="00C93842" w:rsidP="00C93842">
      <w:pPr>
        <w:autoSpaceDE w:val="0"/>
        <w:autoSpaceDN w:val="0"/>
        <w:adjustRightInd w:val="0"/>
        <w:spacing w:before="120"/>
        <w:rPr>
          <w:rFonts w:ascii="Times" w:hAnsi="Times" w:cs="Times New Roman"/>
          <w:color w:val="000000" w:themeColor="text1"/>
          <w:kern w:val="1"/>
          <w:sz w:val="20"/>
          <w:szCs w:val="20"/>
        </w:rPr>
      </w:pPr>
      <w:r w:rsidRPr="00F975F0">
        <w:rPr>
          <w:rFonts w:ascii="Times" w:hAnsi="Times" w:cs="Times New Roman"/>
          <w:color w:val="000000" w:themeColor="text1"/>
          <w:kern w:val="1"/>
          <w:sz w:val="20"/>
          <w:szCs w:val="20"/>
        </w:rPr>
        <w:t xml:space="preserve">Specialized land assessment could also be developed to recognize differences in the value of property that is currently not threatened by erosion, and property that is or will be. In addition, coastal erosion management should be ongoing throughout this process to mitigate the rate of erosion.  This includes techniques to reduce sediment losses by preserving sand dunes using fencing and native habitat restoration, and mitigating the flanking impacts of hardening. Beach restoration, typically an expensive endeavor, is largely confined to projects with high benefit: cost projections. </w:t>
      </w:r>
      <w:r w:rsidRPr="00F975F0">
        <w:rPr>
          <w:rFonts w:ascii="Times" w:hAnsi="Times" w:cs="Times New Roman"/>
          <w:color w:val="000000" w:themeColor="text1"/>
          <w:sz w:val="20"/>
          <w:szCs w:val="20"/>
        </w:rPr>
        <w:t xml:space="preserve">This solution temporarily mitigates chronic erosion, and must be implemented in subsequent years if the cause of erosion is not addressed. Further, precaution must be taken to ensure this option doesn’t degrade coastal water quality, promote increased development, or damage coastal marine ecosystems.  </w:t>
      </w:r>
      <w:r w:rsidRPr="00F975F0">
        <w:rPr>
          <w:rFonts w:ascii="Times" w:hAnsi="Times" w:cs="Times New Roman"/>
          <w:color w:val="000000" w:themeColor="text1"/>
          <w:kern w:val="1"/>
          <w:sz w:val="20"/>
          <w:szCs w:val="20"/>
        </w:rPr>
        <w:t xml:space="preserve">However, in areas where the benefit of having a healthy beach significantly exceeds the cost of beach restoration, then beach restoration should take place.  </w:t>
      </w:r>
    </w:p>
    <w:p w14:paraId="5B6F497C" w14:textId="77777777" w:rsidR="00C93842" w:rsidRPr="00F975F0" w:rsidRDefault="00C93842" w:rsidP="00C93842">
      <w:pPr>
        <w:spacing w:before="120"/>
        <w:ind w:firstLine="720"/>
        <w:rPr>
          <w:rFonts w:ascii="Times" w:hAnsi="Times" w:cs="Times New Roman"/>
          <w:b/>
          <w:color w:val="000000" w:themeColor="text1"/>
          <w:sz w:val="20"/>
          <w:szCs w:val="20"/>
        </w:rPr>
      </w:pPr>
    </w:p>
    <w:p w14:paraId="576312C1" w14:textId="77777777" w:rsidR="00C93842" w:rsidRPr="00F975F0" w:rsidRDefault="00C93842" w:rsidP="00C93842">
      <w:pPr>
        <w:spacing w:before="120"/>
        <w:outlineLvl w:val="0"/>
        <w:rPr>
          <w:rFonts w:ascii="Times" w:hAnsi="Times" w:cs="Times New Roman"/>
          <w:b/>
          <w:i/>
          <w:iCs/>
          <w:color w:val="000000" w:themeColor="text1"/>
          <w:sz w:val="20"/>
          <w:szCs w:val="20"/>
        </w:rPr>
      </w:pPr>
      <w:r w:rsidRPr="00F975F0">
        <w:rPr>
          <w:rFonts w:ascii="Times" w:hAnsi="Times" w:cs="Times New Roman"/>
          <w:b/>
          <w:i/>
          <w:iCs/>
          <w:color w:val="000000" w:themeColor="text1"/>
          <w:sz w:val="20"/>
          <w:szCs w:val="20"/>
        </w:rPr>
        <w:t>Literature Cited</w:t>
      </w:r>
    </w:p>
    <w:p w14:paraId="0ED367DC"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rPr>
      </w:pPr>
      <w:r w:rsidRPr="00F975F0">
        <w:rPr>
          <w:rFonts w:ascii="Times" w:hAnsi="Times" w:cs="Times New Roman"/>
          <w:color w:val="000000" w:themeColor="text1"/>
          <w:sz w:val="20"/>
          <w:szCs w:val="20"/>
        </w:rPr>
        <w:t xml:space="preserve">Chen, X., et al., 2017, The increasing rate of global mean sea level rise during 1993-2014. Nature Climate Change, v. 7, p. 492-495, </w:t>
      </w:r>
      <w:r w:rsidRPr="00F975F0">
        <w:rPr>
          <w:rFonts w:ascii="Times" w:eastAsia="Times New Roman" w:hAnsi="Times" w:cs="Times New Roman"/>
          <w:color w:val="000000" w:themeColor="text1"/>
          <w:sz w:val="20"/>
          <w:szCs w:val="20"/>
        </w:rPr>
        <w:t>doi:10.1038/nclimate3325</w:t>
      </w:r>
    </w:p>
    <w:p w14:paraId="5F440C0E"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 xml:space="preserve">Fletcher, C.H., Romine, B.M., Genz, A.S., Barbee, M.M., Dyer, M., Anderson, T.R., Lim, S.C., Vitousek, S., Bochicchio, C. and Richmond, B.M. (2012) National Assessment of Shoreline Change: Historical Shoreline Changes in the Hawaiian Islands. U.S. Geological Survey Open-File Report 2011-1051. </w:t>
      </w:r>
    </w:p>
    <w:p w14:paraId="508F6A93"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Fletcher CH, Rooney JJB, Barbee M, Lim S-C, Richmond BM (2003) Mapping shoreline change using digital orthophotogrammetry on Maui, HI. J Coast Res (Special Issue 38):106–124</w:t>
      </w:r>
    </w:p>
    <w:p w14:paraId="28F85C0D"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Romine BM, Fletcher CH, Frazer LN, Genz AS, Barbee MM, Lim S-C (2009) Historical shoreline change, Southeast Oahu, Hawaii: applying polynomial models to calculate shoreline change rates. J Coast Res 25(6):1236–1253</w:t>
      </w:r>
    </w:p>
    <w:p w14:paraId="5AF01F9C"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 xml:space="preserve">Romine, B.M., Fletcher, C.H., Barbee, M.M., Anderson, T.R. and Frazer, L.N. (2013) </w:t>
      </w:r>
      <w:r w:rsidRPr="00F975F0">
        <w:rPr>
          <w:rFonts w:ascii="Times" w:eastAsia="Times New Roman" w:hAnsi="Times" w:cs="Times New Roman"/>
          <w:i/>
          <w:color w:val="000000" w:themeColor="text1"/>
          <w:sz w:val="20"/>
          <w:szCs w:val="20"/>
        </w:rPr>
        <w:t>Are beach erosion rates and sea level rise related in Hawaii?</w:t>
      </w:r>
      <w:r w:rsidRPr="00F975F0">
        <w:rPr>
          <w:rFonts w:ascii="Times" w:eastAsia="Times New Roman" w:hAnsi="Times" w:cs="Times New Roman"/>
          <w:color w:val="000000" w:themeColor="text1"/>
          <w:sz w:val="20"/>
          <w:szCs w:val="20"/>
        </w:rPr>
        <w:t xml:space="preserve"> Global Planet. Change, 108, 149–157</w:t>
      </w:r>
    </w:p>
    <w:p w14:paraId="48F9890D"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Romine, B.M. and Fletcher, C.H. (2012a) Hardening on Eroding Coasts Leads to Beach Narrowing and Loss on Oahu, Hawaii, </w:t>
      </w:r>
      <w:r w:rsidRPr="00F975F0">
        <w:rPr>
          <w:rStyle w:val="Emphasis"/>
          <w:rFonts w:ascii="Times" w:eastAsia="Times New Roman" w:hAnsi="Times" w:cs="Times New Roman"/>
          <w:color w:val="000000" w:themeColor="text1"/>
          <w:sz w:val="20"/>
          <w:szCs w:val="20"/>
          <w:u w:val="single"/>
        </w:rPr>
        <w:t>in Pitfalls of Shoreline Stabilization: Selected Case Studies</w:t>
      </w:r>
      <w:r w:rsidRPr="00F975F0">
        <w:rPr>
          <w:rFonts w:ascii="Times" w:eastAsia="Times New Roman" w:hAnsi="Times" w:cs="Times New Roman"/>
          <w:color w:val="000000" w:themeColor="text1"/>
          <w:sz w:val="20"/>
          <w:szCs w:val="20"/>
        </w:rPr>
        <w:t xml:space="preserve">, J.A.G. Cooper, G. Andrew and O.H. </w:t>
      </w:r>
      <w:proofErr w:type="spellStart"/>
      <w:r w:rsidRPr="00F975F0">
        <w:rPr>
          <w:rFonts w:ascii="Times" w:eastAsia="Times New Roman" w:hAnsi="Times" w:cs="Times New Roman"/>
          <w:color w:val="000000" w:themeColor="text1"/>
          <w:sz w:val="20"/>
          <w:szCs w:val="20"/>
        </w:rPr>
        <w:t>Pilkey</w:t>
      </w:r>
      <w:proofErr w:type="spellEnd"/>
      <w:r w:rsidRPr="00F975F0">
        <w:rPr>
          <w:rFonts w:ascii="Times" w:eastAsia="Times New Roman" w:hAnsi="Times" w:cs="Times New Roman"/>
          <w:color w:val="000000" w:themeColor="text1"/>
          <w:sz w:val="20"/>
          <w:szCs w:val="20"/>
        </w:rPr>
        <w:t xml:space="preserve"> (eds.), Coastal Research Library 3, DOI 10.1007/978-94-007-4123-2_10, Springer Science and Business Media, Dordrecht, Netherlands.</w:t>
      </w:r>
    </w:p>
    <w:p w14:paraId="280B8859"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shd w:val="clear" w:color="auto" w:fill="FFFFFF"/>
        </w:rPr>
      </w:pPr>
      <w:r w:rsidRPr="00F975F0">
        <w:rPr>
          <w:rFonts w:ascii="Times" w:eastAsia="Times New Roman" w:hAnsi="Times" w:cs="Times New Roman"/>
          <w:color w:val="000000" w:themeColor="text1"/>
          <w:sz w:val="20"/>
          <w:szCs w:val="20"/>
        </w:rPr>
        <w:t xml:space="preserve">Romine, B.M., Fletcher, C.H., Frazer, L.N., Anderson, T.R. (2016). Beach erosion under rising sea level modulated by coastal geomorphology and sediment availability on carbonate reef-fringed island coasts. </w:t>
      </w:r>
      <w:r w:rsidRPr="00F975F0">
        <w:rPr>
          <w:rFonts w:ascii="Times" w:eastAsia="Times New Roman" w:hAnsi="Times" w:cs="Times New Roman"/>
          <w:i/>
          <w:color w:val="000000" w:themeColor="text1"/>
          <w:sz w:val="20"/>
          <w:szCs w:val="20"/>
        </w:rPr>
        <w:t>Sedimentology</w:t>
      </w:r>
      <w:r w:rsidRPr="00F975F0">
        <w:rPr>
          <w:rFonts w:ascii="Times" w:eastAsia="Times New Roman" w:hAnsi="Times" w:cs="Times New Roman"/>
          <w:color w:val="000000" w:themeColor="text1"/>
          <w:sz w:val="20"/>
          <w:szCs w:val="20"/>
        </w:rPr>
        <w:t>. 63 (5): 1321-1332.</w:t>
      </w:r>
    </w:p>
    <w:p w14:paraId="5D7A82E4" w14:textId="77777777" w:rsidR="00C93842" w:rsidRPr="00F975F0" w:rsidRDefault="00C93842" w:rsidP="00C93842">
      <w:pPr>
        <w:spacing w:before="120"/>
        <w:ind w:left="720" w:hanging="720"/>
        <w:rPr>
          <w:rFonts w:ascii="Times" w:eastAsia="Times New Roman" w:hAnsi="Times" w:cs="Times New Roman"/>
          <w:color w:val="000000" w:themeColor="text1"/>
          <w:sz w:val="20"/>
          <w:szCs w:val="20"/>
          <w:shd w:val="clear" w:color="auto" w:fill="FFFFFF"/>
        </w:rPr>
      </w:pPr>
      <w:r w:rsidRPr="00F975F0">
        <w:rPr>
          <w:rFonts w:ascii="Times" w:eastAsia="Times New Roman" w:hAnsi="Times" w:cs="Times New Roman"/>
          <w:color w:val="000000" w:themeColor="text1"/>
          <w:sz w:val="20"/>
          <w:szCs w:val="20"/>
          <w:shd w:val="clear" w:color="auto" w:fill="FFFFFF"/>
        </w:rPr>
        <w:t xml:space="preserve">Sweet, W.V., Kopp, R.E., Weaver, C.P., </w:t>
      </w:r>
      <w:proofErr w:type="spellStart"/>
      <w:r w:rsidRPr="00F975F0">
        <w:rPr>
          <w:rFonts w:ascii="Times" w:eastAsia="Times New Roman" w:hAnsi="Times" w:cs="Times New Roman"/>
          <w:color w:val="000000" w:themeColor="text1"/>
          <w:sz w:val="20"/>
          <w:szCs w:val="20"/>
          <w:shd w:val="clear" w:color="auto" w:fill="FFFFFF"/>
        </w:rPr>
        <w:t>Obeysekera</w:t>
      </w:r>
      <w:proofErr w:type="spellEnd"/>
      <w:r w:rsidRPr="00F975F0">
        <w:rPr>
          <w:rFonts w:ascii="Times" w:eastAsia="Times New Roman" w:hAnsi="Times" w:cs="Times New Roman"/>
          <w:color w:val="000000" w:themeColor="text1"/>
          <w:sz w:val="20"/>
          <w:szCs w:val="20"/>
          <w:shd w:val="clear" w:color="auto" w:fill="FFFFFF"/>
        </w:rPr>
        <w:t xml:space="preserve">, J., Horton., R.M., Thieler, R. E., </w:t>
      </w:r>
      <w:proofErr w:type="spellStart"/>
      <w:r w:rsidRPr="00F975F0">
        <w:rPr>
          <w:rFonts w:ascii="Times" w:eastAsia="Times New Roman" w:hAnsi="Times" w:cs="Times New Roman"/>
          <w:color w:val="000000" w:themeColor="text1"/>
          <w:sz w:val="20"/>
          <w:szCs w:val="20"/>
          <w:shd w:val="clear" w:color="auto" w:fill="FFFFFF"/>
        </w:rPr>
        <w:t>Zervas</w:t>
      </w:r>
      <w:proofErr w:type="spellEnd"/>
      <w:r w:rsidRPr="00F975F0">
        <w:rPr>
          <w:rFonts w:ascii="Times" w:eastAsia="Times New Roman" w:hAnsi="Times" w:cs="Times New Roman"/>
          <w:color w:val="000000" w:themeColor="text1"/>
          <w:sz w:val="20"/>
          <w:szCs w:val="20"/>
          <w:shd w:val="clear" w:color="auto" w:fill="FFFFFF"/>
        </w:rPr>
        <w:t>, C. 2017. NOAA Technical Report NOS CO -OPS 083: Global and Regional Sea Level Rise Scenarios for the United States. Silver Spring, Maryland.</w:t>
      </w:r>
    </w:p>
    <w:p w14:paraId="3FFC4663" w14:textId="77777777" w:rsidR="00C93842" w:rsidRPr="00F975F0" w:rsidRDefault="00C93842" w:rsidP="00C93842">
      <w:pPr>
        <w:spacing w:before="120"/>
        <w:ind w:left="720" w:hanging="720"/>
        <w:jc w:val="both"/>
        <w:rPr>
          <w:rFonts w:ascii="Times" w:eastAsia="Times New Roman" w:hAnsi="Times" w:cs="Times New Roman"/>
          <w:color w:val="000000" w:themeColor="text1"/>
          <w:sz w:val="20"/>
          <w:szCs w:val="20"/>
        </w:rPr>
      </w:pPr>
      <w:r w:rsidRPr="00F975F0">
        <w:rPr>
          <w:rFonts w:ascii="Times" w:eastAsia="Times New Roman" w:hAnsi="Times" w:cs="Times New Roman"/>
          <w:color w:val="000000" w:themeColor="text1"/>
          <w:sz w:val="20"/>
          <w:szCs w:val="20"/>
        </w:rPr>
        <w:t>Wright, L &amp; Short, Andrew. (1984). Morphodynamic variability of beaches and surf zones, a synthesis. Marine Geology. 56. 92-118.</w:t>
      </w:r>
    </w:p>
    <w:p w14:paraId="25B551D4" w14:textId="77777777" w:rsidR="00C93842" w:rsidRPr="00F975F0" w:rsidRDefault="00C93842" w:rsidP="00744EDE">
      <w:pPr>
        <w:spacing w:before="120"/>
        <w:rPr>
          <w:rFonts w:ascii="Times" w:eastAsia="Times New Roman" w:hAnsi="Times" w:cs="Times New Roman"/>
          <w:b/>
          <w:bCs/>
          <w:i/>
          <w:iCs/>
          <w:color w:val="000000" w:themeColor="text1"/>
          <w:sz w:val="20"/>
          <w:szCs w:val="20"/>
        </w:rPr>
      </w:pPr>
      <w:bookmarkStart w:id="2" w:name="_GoBack"/>
      <w:bookmarkEnd w:id="2"/>
    </w:p>
    <w:p w14:paraId="3810EC50" w14:textId="77777777" w:rsidR="00C93842" w:rsidRPr="00F975F0" w:rsidRDefault="00C93842" w:rsidP="00C93842">
      <w:pPr>
        <w:spacing w:before="120"/>
        <w:ind w:left="720" w:hanging="720"/>
        <w:rPr>
          <w:rFonts w:ascii="Times" w:eastAsia="Times New Roman" w:hAnsi="Times" w:cs="Times New Roman"/>
          <w:b/>
          <w:bCs/>
          <w:i/>
          <w:iCs/>
          <w:color w:val="000000" w:themeColor="text1"/>
          <w:sz w:val="20"/>
          <w:szCs w:val="20"/>
        </w:rPr>
      </w:pPr>
    </w:p>
    <w:p w14:paraId="7C4678AC" w14:textId="77777777" w:rsidR="004751BD" w:rsidRPr="00F975F0" w:rsidRDefault="004751BD">
      <w:pPr>
        <w:rPr>
          <w:rFonts w:ascii="Times" w:hAnsi="Times"/>
          <w:sz w:val="20"/>
          <w:szCs w:val="20"/>
        </w:rPr>
      </w:pPr>
    </w:p>
    <w:sectPr w:rsidR="004751BD" w:rsidRPr="00F975F0" w:rsidSect="00C9384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931C4" w14:textId="77777777" w:rsidR="009913E4" w:rsidRDefault="009913E4">
      <w:r>
        <w:separator/>
      </w:r>
    </w:p>
  </w:endnote>
  <w:endnote w:type="continuationSeparator" w:id="0">
    <w:p w14:paraId="0FD52519" w14:textId="77777777" w:rsidR="009913E4" w:rsidRDefault="00991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0000000000000000000"/>
    <w:charset w:val="00"/>
    <w:family w:val="auto"/>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panose1 w:val="00000000000000000000"/>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816B3" w14:textId="77777777" w:rsidR="00BB1CE2" w:rsidRDefault="00BB1CE2" w:rsidP="004751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2B7260" w14:textId="77777777" w:rsidR="00BB1CE2" w:rsidRDefault="00BB1CE2" w:rsidP="004751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1C51E" w14:textId="77777777" w:rsidR="00BB1CE2" w:rsidRDefault="00BB1CE2" w:rsidP="004751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255C">
      <w:rPr>
        <w:rStyle w:val="PageNumber"/>
        <w:noProof/>
      </w:rPr>
      <w:t>8</w:t>
    </w:r>
    <w:r>
      <w:rPr>
        <w:rStyle w:val="PageNumber"/>
      </w:rPr>
      <w:fldChar w:fldCharType="end"/>
    </w:r>
  </w:p>
  <w:p w14:paraId="6074053C" w14:textId="77777777" w:rsidR="00BB1CE2" w:rsidRDefault="00BB1CE2" w:rsidP="004751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D770E" w14:textId="77777777" w:rsidR="009913E4" w:rsidRDefault="009913E4">
      <w:r>
        <w:separator/>
      </w:r>
    </w:p>
  </w:footnote>
  <w:footnote w:type="continuationSeparator" w:id="0">
    <w:p w14:paraId="58237F1F" w14:textId="77777777" w:rsidR="009913E4" w:rsidRDefault="00991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43797"/>
    <w:multiLevelType w:val="hybridMultilevel"/>
    <w:tmpl w:val="F754DED0"/>
    <w:lvl w:ilvl="0" w:tplc="2B165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842"/>
    <w:rsid w:val="00024FDF"/>
    <w:rsid w:val="002169F9"/>
    <w:rsid w:val="00306A81"/>
    <w:rsid w:val="00366D8D"/>
    <w:rsid w:val="00396EEB"/>
    <w:rsid w:val="004439BA"/>
    <w:rsid w:val="004751BD"/>
    <w:rsid w:val="004E606E"/>
    <w:rsid w:val="005136CD"/>
    <w:rsid w:val="006052E3"/>
    <w:rsid w:val="006C512D"/>
    <w:rsid w:val="006F255C"/>
    <w:rsid w:val="00744EDE"/>
    <w:rsid w:val="007F4BE3"/>
    <w:rsid w:val="00821C1F"/>
    <w:rsid w:val="0084203B"/>
    <w:rsid w:val="009913E4"/>
    <w:rsid w:val="009E626F"/>
    <w:rsid w:val="00BB1CE2"/>
    <w:rsid w:val="00BE5730"/>
    <w:rsid w:val="00C93842"/>
    <w:rsid w:val="00C9419B"/>
    <w:rsid w:val="00F975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8DD3"/>
  <w14:defaultImageDpi w14:val="32767"/>
  <w15:chartTrackingRefBased/>
  <w15:docId w15:val="{EC7D90E6-F31C-F240-A4F0-4CDCC946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Bidi" w:eastAsiaTheme="minorHAnsi" w:hAnsiTheme="minorBidi" w:cs="Times New Roman (Body CS)"/>
        <w:color w:val="000000" w:themeColor="text1"/>
        <w:sz w:val="24"/>
        <w:szCs w:val="22"/>
        <w:vertAlign w:val="superscript"/>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3842"/>
    <w:rPr>
      <w:rFonts w:ascii="Times New Roman" w:hAnsi="Times New Roman" w:cstheme="minorBidi"/>
      <w:color w:val="auto"/>
      <w:szCs w:val="24"/>
      <w:vertAlign w:val="baselin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306A81"/>
    <w:rPr>
      <w:sz w:val="20"/>
      <w:u w:val="none"/>
      <w:vertAlign w:val="superscript"/>
    </w:rPr>
  </w:style>
  <w:style w:type="paragraph" w:customStyle="1" w:styleId="Normal1">
    <w:name w:val="Normal1"/>
    <w:rsid w:val="00C93842"/>
    <w:pPr>
      <w:widowControl w:val="0"/>
    </w:pPr>
    <w:rPr>
      <w:rFonts w:ascii="Calibri" w:eastAsia="Calibri" w:hAnsi="Calibri" w:cs="Calibri"/>
      <w:color w:val="000000"/>
      <w:szCs w:val="24"/>
      <w:vertAlign w:val="baseline"/>
    </w:rPr>
  </w:style>
  <w:style w:type="paragraph" w:styleId="NormalWeb">
    <w:name w:val="Normal (Web)"/>
    <w:basedOn w:val="Normal"/>
    <w:uiPriority w:val="99"/>
    <w:unhideWhenUsed/>
    <w:rsid w:val="00C93842"/>
    <w:pPr>
      <w:spacing w:before="100" w:beforeAutospacing="1" w:after="100" w:afterAutospacing="1"/>
    </w:pPr>
    <w:rPr>
      <w:rFonts w:ascii="Times" w:eastAsiaTheme="minorEastAsia" w:hAnsi="Times" w:cs="Times New Roman"/>
      <w:sz w:val="20"/>
      <w:szCs w:val="20"/>
      <w:lang w:eastAsia="en-US"/>
    </w:rPr>
  </w:style>
  <w:style w:type="paragraph" w:styleId="ListParagraph">
    <w:name w:val="List Paragraph"/>
    <w:basedOn w:val="Normal"/>
    <w:uiPriority w:val="34"/>
    <w:qFormat/>
    <w:rsid w:val="00C93842"/>
    <w:pPr>
      <w:ind w:left="720"/>
      <w:contextualSpacing/>
    </w:pPr>
    <w:rPr>
      <w:rFonts w:asciiTheme="minorHAnsi" w:eastAsiaTheme="minorEastAsia" w:hAnsiTheme="minorHAnsi"/>
      <w:lang w:eastAsia="en-US"/>
    </w:rPr>
  </w:style>
  <w:style w:type="table" w:styleId="TableGrid">
    <w:name w:val="Table Grid"/>
    <w:basedOn w:val="TableNormal"/>
    <w:uiPriority w:val="59"/>
    <w:rsid w:val="00C93842"/>
    <w:rPr>
      <w:rFonts w:asciiTheme="minorHAnsi" w:eastAsiaTheme="minorEastAsia" w:hAnsiTheme="minorHAnsi" w:cstheme="minorBidi"/>
      <w:color w:val="auto"/>
      <w:szCs w:val="24"/>
      <w:vertAlign w:val="base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93842"/>
    <w:rPr>
      <w:i/>
      <w:iCs/>
    </w:rPr>
  </w:style>
  <w:style w:type="paragraph" w:styleId="Footer">
    <w:name w:val="footer"/>
    <w:basedOn w:val="Normal"/>
    <w:link w:val="FooterChar"/>
    <w:uiPriority w:val="99"/>
    <w:unhideWhenUsed/>
    <w:rsid w:val="00C93842"/>
    <w:pPr>
      <w:tabs>
        <w:tab w:val="center" w:pos="4680"/>
        <w:tab w:val="right" w:pos="9360"/>
      </w:tabs>
    </w:pPr>
    <w:rPr>
      <w:rFonts w:asciiTheme="minorHAnsi" w:eastAsiaTheme="minorEastAsia" w:hAnsiTheme="minorHAnsi"/>
      <w:lang w:eastAsia="en-US"/>
    </w:rPr>
  </w:style>
  <w:style w:type="character" w:customStyle="1" w:styleId="FooterChar">
    <w:name w:val="Footer Char"/>
    <w:basedOn w:val="DefaultParagraphFont"/>
    <w:link w:val="Footer"/>
    <w:uiPriority w:val="99"/>
    <w:rsid w:val="00C93842"/>
    <w:rPr>
      <w:rFonts w:asciiTheme="minorHAnsi" w:eastAsiaTheme="minorEastAsia" w:hAnsiTheme="minorHAnsi" w:cstheme="minorBidi"/>
      <w:color w:val="auto"/>
      <w:szCs w:val="24"/>
      <w:vertAlign w:val="baseline"/>
    </w:rPr>
  </w:style>
  <w:style w:type="character" w:styleId="PageNumber">
    <w:name w:val="page number"/>
    <w:basedOn w:val="DefaultParagraphFont"/>
    <w:uiPriority w:val="99"/>
    <w:semiHidden/>
    <w:unhideWhenUsed/>
    <w:rsid w:val="00C93842"/>
  </w:style>
  <w:style w:type="table" w:styleId="GridTable1Light-Accent1">
    <w:name w:val="Grid Table 1 Light Accent 1"/>
    <w:basedOn w:val="TableNormal"/>
    <w:uiPriority w:val="46"/>
    <w:rsid w:val="00C93842"/>
    <w:rPr>
      <w:rFonts w:asciiTheme="minorHAnsi" w:hAnsiTheme="minorHAnsi" w:cstheme="minorBidi"/>
      <w:color w:val="auto"/>
      <w:sz w:val="22"/>
      <w:vertAlign w:val="baseli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C9419B"/>
    <w:rPr>
      <w:rFonts w:cs="Times New Roman"/>
      <w:sz w:val="18"/>
      <w:szCs w:val="18"/>
    </w:rPr>
  </w:style>
  <w:style w:type="character" w:customStyle="1" w:styleId="BalloonTextChar">
    <w:name w:val="Balloon Text Char"/>
    <w:basedOn w:val="DefaultParagraphFont"/>
    <w:link w:val="BalloonText"/>
    <w:uiPriority w:val="99"/>
    <w:semiHidden/>
    <w:rsid w:val="00C9419B"/>
    <w:rPr>
      <w:rFonts w:ascii="Times New Roman" w:hAnsi="Times New Roman" w:cs="Times New Roman"/>
      <w:color w:val="auto"/>
      <w:sz w:val="18"/>
      <w:szCs w:val="18"/>
      <w:vertAlign w:val="baselin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8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pcigeomati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5294</Words>
  <Characters>30181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2018-09-10T01:49:00Z</dcterms:created>
  <dcterms:modified xsi:type="dcterms:W3CDTF">2018-09-10T01:49:00Z</dcterms:modified>
</cp:coreProperties>
</file>