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FE6EB" w14:textId="77777777" w:rsidR="003A7E13" w:rsidRPr="00140BB0" w:rsidRDefault="00140BB0" w:rsidP="003A7E13">
      <w:pPr>
        <w:pStyle w:val="Titel"/>
        <w:rPr>
          <w:rFonts w:asciiTheme="minorHAnsi" w:hAnsiTheme="minorHAnsi" w:cstheme="minorHAnsi"/>
        </w:rPr>
      </w:pPr>
      <w:r w:rsidRPr="00BE0264">
        <w:rPr>
          <w:rFonts w:asciiTheme="minorHAnsi" w:hAnsiTheme="minorHAnsi" w:cstheme="minorHAnsi"/>
        </w:rPr>
        <w:t>Negative emissions and international climate goals</w:t>
      </w:r>
      <w:r>
        <w:rPr>
          <w:rFonts w:asciiTheme="minorHAnsi" w:hAnsiTheme="minorHAnsi" w:cstheme="minorHAnsi"/>
        </w:rPr>
        <w:t xml:space="preserve"> - </w:t>
      </w:r>
      <w:r w:rsidRPr="00BE0264">
        <w:rPr>
          <w:rFonts w:asciiTheme="minorHAnsi" w:hAnsiTheme="minorHAnsi" w:cstheme="minorHAnsi"/>
        </w:rPr>
        <w:t>Learning from and about mitigation scenarios</w:t>
      </w:r>
      <w:r>
        <w:rPr>
          <w:rFonts w:asciiTheme="minorHAnsi" w:hAnsiTheme="minorHAnsi" w:cstheme="minorHAnsi"/>
        </w:rPr>
        <w:t xml:space="preserve"> (Supplementary Electronic Material)</w:t>
      </w:r>
    </w:p>
    <w:p w14:paraId="204A946C" w14:textId="77777777" w:rsidR="003A7E13" w:rsidRDefault="00140BB0" w:rsidP="003A7E13">
      <w:pPr>
        <w:pStyle w:val="Untertitel"/>
      </w:pPr>
      <w:r>
        <w:t xml:space="preserve">Coverage of </w:t>
      </w:r>
      <w:r w:rsidR="003A7E13">
        <w:t xml:space="preserve">NETs </w:t>
      </w:r>
      <w:r>
        <w:t>findings in the IPCC AR5 WGIII report</w:t>
      </w:r>
    </w:p>
    <w:p w14:paraId="682CBEE9" w14:textId="77777777" w:rsidR="00140BB0" w:rsidRPr="009F37F1" w:rsidRDefault="00140BB0" w:rsidP="00140BB0">
      <w:pPr>
        <w:rPr>
          <w:rFonts w:cstheme="minorHAnsi"/>
          <w:i/>
          <w:sz w:val="28"/>
        </w:rPr>
      </w:pPr>
      <w:r>
        <w:rPr>
          <w:rFonts w:cstheme="minorHAnsi"/>
          <w:i/>
          <w:sz w:val="28"/>
        </w:rPr>
        <w:t xml:space="preserve">Submitted to </w:t>
      </w:r>
      <w:r w:rsidRPr="009F37F1">
        <w:rPr>
          <w:rFonts w:cstheme="minorHAnsi"/>
          <w:i/>
          <w:sz w:val="28"/>
        </w:rPr>
        <w:t>Climatic Change</w:t>
      </w:r>
    </w:p>
    <w:p w14:paraId="17A4DC05" w14:textId="77777777" w:rsidR="00140BB0" w:rsidRDefault="00140BB0" w:rsidP="00140BB0">
      <w:pPr>
        <w:rPr>
          <w:rFonts w:cstheme="minorHAnsi"/>
          <w:i/>
        </w:rPr>
      </w:pPr>
    </w:p>
    <w:p w14:paraId="2A996A75" w14:textId="77777777" w:rsidR="00140BB0" w:rsidRPr="00A37C82" w:rsidRDefault="00140BB0" w:rsidP="00140BB0">
      <w:pPr>
        <w:rPr>
          <w:rFonts w:cstheme="minorHAnsi"/>
          <w:i/>
        </w:rPr>
      </w:pPr>
      <w:r>
        <w:rPr>
          <w:rFonts w:cstheme="minorHAnsi"/>
          <w:i/>
        </w:rPr>
        <w:t>Jérôme Hilaire</w:t>
      </w:r>
      <w:r w:rsidRPr="006F7779">
        <w:rPr>
          <w:rFonts w:cstheme="minorHAnsi"/>
          <w:i/>
          <w:vertAlign w:val="superscript"/>
        </w:rPr>
        <w:t>1,</w:t>
      </w:r>
      <w:r>
        <w:rPr>
          <w:rFonts w:cstheme="minorHAnsi"/>
          <w:i/>
          <w:vertAlign w:val="superscript"/>
        </w:rPr>
        <w:t>2</w:t>
      </w:r>
      <w:r>
        <w:rPr>
          <w:rFonts w:cstheme="minorHAnsi"/>
          <w:i/>
        </w:rPr>
        <w:t>, Jan Minx</w:t>
      </w:r>
      <w:r>
        <w:rPr>
          <w:rFonts w:cstheme="minorHAnsi"/>
          <w:i/>
          <w:vertAlign w:val="superscript"/>
        </w:rPr>
        <w:t>1,3</w:t>
      </w:r>
      <w:r>
        <w:rPr>
          <w:rFonts w:cstheme="minorHAnsi"/>
          <w:i/>
        </w:rPr>
        <w:t>, Max Callaghan</w:t>
      </w:r>
      <w:r w:rsidRPr="006F7779">
        <w:rPr>
          <w:rFonts w:cstheme="minorHAnsi"/>
          <w:i/>
          <w:vertAlign w:val="superscript"/>
        </w:rPr>
        <w:t>1</w:t>
      </w:r>
      <w:r>
        <w:rPr>
          <w:rFonts w:cstheme="minorHAnsi"/>
          <w:i/>
        </w:rPr>
        <w:t>, Jae Edmonds</w:t>
      </w:r>
      <w:r>
        <w:rPr>
          <w:rFonts w:cstheme="minorHAnsi"/>
          <w:i/>
          <w:vertAlign w:val="superscript"/>
        </w:rPr>
        <w:t>4</w:t>
      </w:r>
      <w:r>
        <w:rPr>
          <w:rFonts w:cstheme="minorHAnsi"/>
          <w:i/>
        </w:rPr>
        <w:t>, Gunnar Luderer</w:t>
      </w:r>
      <w:r w:rsidRPr="006F7779">
        <w:rPr>
          <w:rFonts w:cstheme="minorHAnsi"/>
          <w:i/>
          <w:vertAlign w:val="superscript"/>
        </w:rPr>
        <w:t>2</w:t>
      </w:r>
      <w:r>
        <w:rPr>
          <w:rFonts w:cstheme="minorHAnsi"/>
          <w:i/>
        </w:rPr>
        <w:t>, Gregory Nemet</w:t>
      </w:r>
      <w:r w:rsidRPr="005B5796">
        <w:rPr>
          <w:rFonts w:cstheme="minorHAnsi"/>
          <w:i/>
          <w:vertAlign w:val="superscript"/>
        </w:rPr>
        <w:t>5</w:t>
      </w:r>
      <w:r>
        <w:rPr>
          <w:rFonts w:cstheme="minorHAnsi"/>
          <w:i/>
        </w:rPr>
        <w:t>, Joeri Rogelj</w:t>
      </w:r>
      <w:r w:rsidRPr="006F7779">
        <w:rPr>
          <w:rFonts w:cstheme="minorHAnsi"/>
          <w:i/>
          <w:vertAlign w:val="superscript"/>
        </w:rPr>
        <w:t>6</w:t>
      </w:r>
      <w:r>
        <w:rPr>
          <w:rFonts w:cstheme="minorHAnsi"/>
          <w:i/>
          <w:vertAlign w:val="superscript"/>
        </w:rPr>
        <w:t>,7,8</w:t>
      </w:r>
      <w:r>
        <w:rPr>
          <w:rFonts w:cstheme="minorHAnsi"/>
          <w:i/>
        </w:rPr>
        <w:t>, Maria del Mar Zamora</w:t>
      </w:r>
      <w:r w:rsidRPr="006F7779">
        <w:rPr>
          <w:rFonts w:cstheme="minorHAnsi"/>
          <w:i/>
          <w:vertAlign w:val="superscript"/>
        </w:rPr>
        <w:t>1</w:t>
      </w:r>
    </w:p>
    <w:p w14:paraId="5A95DEA6" w14:textId="77777777" w:rsidR="00140BB0" w:rsidRPr="00BE0264" w:rsidRDefault="00140BB0" w:rsidP="00140BB0">
      <w:pPr>
        <w:rPr>
          <w:rFonts w:cstheme="minorHAnsi"/>
          <w:i/>
        </w:rPr>
      </w:pPr>
    </w:p>
    <w:p w14:paraId="428B5F78" w14:textId="77777777" w:rsidR="00140BB0" w:rsidRDefault="00140BB0" w:rsidP="00140BB0">
      <w:pPr>
        <w:rPr>
          <w:rFonts w:cstheme="minorHAnsi"/>
          <w:i/>
        </w:rPr>
      </w:pPr>
    </w:p>
    <w:p w14:paraId="77DA5E46" w14:textId="77777777" w:rsidR="00140BB0" w:rsidRPr="006F7779" w:rsidRDefault="00140BB0" w:rsidP="00140BB0">
      <w:pPr>
        <w:jc w:val="center"/>
        <w:rPr>
          <w:rFonts w:cstheme="minorHAnsi"/>
        </w:rPr>
      </w:pPr>
      <w:r w:rsidRPr="006F7779">
        <w:rPr>
          <w:rFonts w:cstheme="minorHAnsi"/>
          <w:vertAlign w:val="superscript"/>
        </w:rPr>
        <w:t xml:space="preserve">1 </w:t>
      </w:r>
      <w:r w:rsidRPr="006F7779">
        <w:rPr>
          <w:rFonts w:cstheme="minorHAnsi"/>
        </w:rPr>
        <w:t>Mercator Research Institute on Global Commons and Climate Change, Torgauer Stra</w:t>
      </w:r>
      <w:r w:rsidRPr="006F7779">
        <w:rPr>
          <w:rFonts w:cstheme="minorHAnsi"/>
          <w:lang w:val="en-GB"/>
        </w:rPr>
        <w:t>ße</w:t>
      </w:r>
      <w:r w:rsidRPr="006F7779">
        <w:rPr>
          <w:rFonts w:cstheme="minorHAnsi"/>
        </w:rPr>
        <w:t xml:space="preserve"> 12-15, EUREF Campus #19, 10829 Berlin, Germany</w:t>
      </w:r>
    </w:p>
    <w:p w14:paraId="0F5FA1E9" w14:textId="77777777" w:rsidR="00140BB0" w:rsidRDefault="00140BB0" w:rsidP="00140BB0">
      <w:pPr>
        <w:jc w:val="center"/>
        <w:rPr>
          <w:rFonts w:cstheme="minorHAnsi"/>
          <w:lang w:val="en-GB"/>
        </w:rPr>
      </w:pPr>
      <w:r w:rsidRPr="006F7779">
        <w:rPr>
          <w:rFonts w:cstheme="minorHAnsi"/>
          <w:vertAlign w:val="superscript"/>
        </w:rPr>
        <w:t xml:space="preserve">2 </w:t>
      </w:r>
      <w:r w:rsidRPr="006F7779">
        <w:rPr>
          <w:rFonts w:cstheme="minorHAnsi"/>
          <w:lang w:val="en-GB"/>
        </w:rPr>
        <w:t>Potsdam Institute for Climate Impact Research</w:t>
      </w:r>
      <w:r>
        <w:rPr>
          <w:rFonts w:cstheme="minorHAnsi"/>
          <w:lang w:val="en-GB"/>
        </w:rPr>
        <w:t xml:space="preserve"> (PIK)</w:t>
      </w:r>
      <w:r w:rsidRPr="006F7779">
        <w:rPr>
          <w:rFonts w:cstheme="minorHAnsi"/>
          <w:lang w:val="en-GB"/>
        </w:rPr>
        <w:t xml:space="preserve">, </w:t>
      </w:r>
      <w:r>
        <w:rPr>
          <w:rFonts w:cstheme="minorHAnsi"/>
          <w:lang w:val="en-GB"/>
        </w:rPr>
        <w:t xml:space="preserve">Member of the Leibniz Association, </w:t>
      </w:r>
      <w:r w:rsidRPr="006F7779">
        <w:rPr>
          <w:rFonts w:cstheme="minorHAnsi"/>
          <w:lang w:val="en-GB"/>
        </w:rPr>
        <w:t>Potsdam, Germany</w:t>
      </w:r>
    </w:p>
    <w:p w14:paraId="62D3327F" w14:textId="77777777" w:rsidR="00140BB0" w:rsidRPr="00BC5FD9" w:rsidRDefault="00140BB0" w:rsidP="00140BB0">
      <w:pPr>
        <w:jc w:val="center"/>
        <w:rPr>
          <w:rFonts w:cstheme="minorHAnsi"/>
        </w:rPr>
      </w:pPr>
      <w:r>
        <w:rPr>
          <w:rFonts w:cstheme="minorHAnsi"/>
          <w:vertAlign w:val="superscript"/>
        </w:rPr>
        <w:t>3</w:t>
      </w:r>
      <w:r w:rsidRPr="006F7779">
        <w:rPr>
          <w:rFonts w:cstheme="minorHAnsi"/>
          <w:vertAlign w:val="superscript"/>
        </w:rPr>
        <w:t xml:space="preserve"> </w:t>
      </w:r>
      <w:r w:rsidRPr="001D08AC">
        <w:rPr>
          <w:rFonts w:cstheme="minorHAnsi"/>
        </w:rPr>
        <w:t>School of Earth and Environment, University of Leeds, Leeds LS2 9JT, United Kingdom</w:t>
      </w:r>
    </w:p>
    <w:p w14:paraId="5B451D95" w14:textId="77777777" w:rsidR="00140BB0" w:rsidRDefault="00140BB0" w:rsidP="00140BB0">
      <w:pPr>
        <w:jc w:val="center"/>
        <w:rPr>
          <w:rFonts w:cstheme="minorHAnsi"/>
          <w:shd w:val="clear" w:color="auto" w:fill="FFFFFF"/>
        </w:rPr>
      </w:pPr>
      <w:r>
        <w:rPr>
          <w:rFonts w:cstheme="minorHAnsi"/>
          <w:shd w:val="clear" w:color="auto" w:fill="FFFFFF"/>
          <w:vertAlign w:val="superscript"/>
        </w:rPr>
        <w:t>4</w:t>
      </w:r>
      <w:r w:rsidRPr="006F7779">
        <w:rPr>
          <w:rFonts w:cstheme="minorHAnsi"/>
          <w:shd w:val="clear" w:color="auto" w:fill="FFFFFF"/>
        </w:rPr>
        <w:t xml:space="preserve"> Pacific Northwest National Laboratory – Joint Global Change Research Institute, 5825 University Research Court, College Park, MD, 20740, United States</w:t>
      </w:r>
    </w:p>
    <w:p w14:paraId="058CC91B" w14:textId="77777777" w:rsidR="00140BB0" w:rsidRPr="006F7779" w:rsidRDefault="00140BB0" w:rsidP="00140BB0">
      <w:pPr>
        <w:jc w:val="center"/>
        <w:rPr>
          <w:rFonts w:cstheme="minorHAnsi"/>
          <w:lang w:val="en-GB"/>
        </w:rPr>
      </w:pPr>
      <w:r w:rsidRPr="005B5796">
        <w:rPr>
          <w:rFonts w:cstheme="minorHAnsi"/>
          <w:vertAlign w:val="superscript"/>
          <w:lang w:val="en-GB"/>
        </w:rPr>
        <w:t>5</w:t>
      </w:r>
      <w:r>
        <w:rPr>
          <w:rFonts w:cstheme="minorHAnsi"/>
          <w:lang w:val="en-GB"/>
        </w:rPr>
        <w:t xml:space="preserve"> </w:t>
      </w:r>
      <w:r w:rsidRPr="001D08AC">
        <w:rPr>
          <w:rFonts w:cstheme="minorHAnsi"/>
          <w:lang w:val="en-GB"/>
        </w:rPr>
        <w:t>La Follette School of Public Affairs, University of Wisconsin–Madison, 1225 Observatory Drive, Madison, WI 53706, United States of America</w:t>
      </w:r>
    </w:p>
    <w:p w14:paraId="050BBA79" w14:textId="77777777" w:rsidR="00140BB0" w:rsidRDefault="00140BB0" w:rsidP="00140BB0">
      <w:pPr>
        <w:jc w:val="center"/>
        <w:rPr>
          <w:rFonts w:cstheme="minorHAnsi"/>
        </w:rPr>
      </w:pPr>
      <w:r>
        <w:rPr>
          <w:rFonts w:cstheme="minorHAnsi"/>
          <w:vertAlign w:val="superscript"/>
        </w:rPr>
        <w:t>6</w:t>
      </w:r>
      <w:r w:rsidRPr="006F7779">
        <w:rPr>
          <w:rFonts w:cstheme="minorHAnsi"/>
          <w:vertAlign w:val="superscript"/>
        </w:rPr>
        <w:t xml:space="preserve"> </w:t>
      </w:r>
      <w:r w:rsidRPr="006F7779">
        <w:rPr>
          <w:rFonts w:cstheme="minorHAnsi"/>
        </w:rPr>
        <w:t>ENE Program, International Institute for Applied Systems Analysis (IIASA), Laxenburg, Austria</w:t>
      </w:r>
    </w:p>
    <w:p w14:paraId="2DFD6722" w14:textId="77777777" w:rsidR="00140BB0" w:rsidRPr="006F7779" w:rsidRDefault="00140BB0" w:rsidP="00140BB0">
      <w:pPr>
        <w:jc w:val="center"/>
        <w:rPr>
          <w:rFonts w:cstheme="minorHAnsi"/>
        </w:rPr>
      </w:pPr>
      <w:r>
        <w:rPr>
          <w:rFonts w:cstheme="minorHAnsi"/>
          <w:vertAlign w:val="superscript"/>
        </w:rPr>
        <w:t>7</w:t>
      </w:r>
      <w:r w:rsidRPr="006F7779">
        <w:rPr>
          <w:rFonts w:cstheme="minorHAnsi"/>
          <w:vertAlign w:val="superscript"/>
        </w:rPr>
        <w:t xml:space="preserve"> </w:t>
      </w:r>
      <w:r w:rsidRPr="00857F51">
        <w:rPr>
          <w:rFonts w:cstheme="minorHAnsi"/>
        </w:rPr>
        <w:t>Grantham Institute, Imperial College London, London SW7 2AZ, UK</w:t>
      </w:r>
    </w:p>
    <w:p w14:paraId="6D6A5F83" w14:textId="77777777" w:rsidR="00140BB0" w:rsidRPr="006F7779" w:rsidRDefault="00140BB0" w:rsidP="00140BB0">
      <w:pPr>
        <w:jc w:val="center"/>
        <w:rPr>
          <w:rFonts w:cstheme="minorHAnsi"/>
        </w:rPr>
      </w:pPr>
      <w:r>
        <w:rPr>
          <w:rFonts w:cstheme="minorHAnsi"/>
          <w:vertAlign w:val="superscript"/>
        </w:rPr>
        <w:t>8</w:t>
      </w:r>
      <w:r w:rsidRPr="006F7779">
        <w:rPr>
          <w:rFonts w:cstheme="minorHAnsi"/>
        </w:rPr>
        <w:t xml:space="preserve"> Institute for Atmospheric and Climate Science, ETH Zurich, Zurich, Switzerland</w:t>
      </w:r>
    </w:p>
    <w:p w14:paraId="24DF0E77" w14:textId="77777777" w:rsidR="00140BB0" w:rsidRPr="00A37C82" w:rsidRDefault="00140BB0" w:rsidP="00140BB0">
      <w:pPr>
        <w:rPr>
          <w:rFonts w:cstheme="minorHAnsi"/>
          <w:i/>
        </w:rPr>
      </w:pPr>
    </w:p>
    <w:p w14:paraId="1C3AB809" w14:textId="77777777" w:rsidR="00140BB0" w:rsidRPr="00BE0264" w:rsidRDefault="00140BB0" w:rsidP="00140BB0">
      <w:pPr>
        <w:rPr>
          <w:rFonts w:cstheme="minorHAnsi"/>
          <w:i/>
        </w:rPr>
      </w:pPr>
    </w:p>
    <w:p w14:paraId="13B2EBB7" w14:textId="77777777" w:rsidR="00140BB0" w:rsidRPr="00BE0264" w:rsidRDefault="00140BB0" w:rsidP="00140BB0">
      <w:pPr>
        <w:rPr>
          <w:rFonts w:cstheme="minorHAnsi"/>
          <w:i/>
        </w:rPr>
      </w:pPr>
      <w:r w:rsidRPr="00BE0264">
        <w:rPr>
          <w:rFonts w:cstheme="minorHAnsi"/>
          <w:i/>
        </w:rPr>
        <w:t xml:space="preserve">Corresponding author: </w:t>
      </w:r>
      <w:hyperlink r:id="rId8">
        <w:r w:rsidRPr="00BE0264">
          <w:rPr>
            <w:rFonts w:cstheme="minorHAnsi"/>
            <w:i/>
            <w:color w:val="1155CC"/>
            <w:u w:val="single"/>
          </w:rPr>
          <w:t>hilaire@mcc-berlin.net</w:t>
        </w:r>
      </w:hyperlink>
      <w:r w:rsidRPr="00BE0264">
        <w:rPr>
          <w:rFonts w:cstheme="minorHAnsi"/>
          <w:i/>
        </w:rPr>
        <w:t xml:space="preserve"> (+49 30 33 85 537 251)</w:t>
      </w:r>
    </w:p>
    <w:sdt>
      <w:sdtPr>
        <w:rPr>
          <w:rFonts w:asciiTheme="minorHAnsi" w:eastAsiaTheme="minorHAnsi" w:hAnsiTheme="minorHAnsi" w:cstheme="minorBidi"/>
          <w:b w:val="0"/>
          <w:bCs w:val="0"/>
          <w:color w:val="auto"/>
          <w:sz w:val="22"/>
          <w:szCs w:val="22"/>
          <w:lang w:val="de-DE"/>
        </w:rPr>
        <w:id w:val="1828941109"/>
        <w:docPartObj>
          <w:docPartGallery w:val="Table of Contents"/>
          <w:docPartUnique/>
        </w:docPartObj>
      </w:sdtPr>
      <w:sdtEndPr/>
      <w:sdtContent>
        <w:p w14:paraId="52099908" w14:textId="77777777" w:rsidR="00101EA0" w:rsidRDefault="00101EA0">
          <w:pPr>
            <w:pStyle w:val="Inhaltsverzeichnisberschrift"/>
          </w:pPr>
          <w:r w:rsidRPr="00ED6FAC">
            <w:t>Inhalt</w:t>
          </w:r>
          <w:bookmarkStart w:id="0" w:name="_GoBack"/>
          <w:bookmarkEnd w:id="0"/>
        </w:p>
        <w:p w14:paraId="1CAAC9CD" w14:textId="77777777" w:rsidR="00FA6932" w:rsidRDefault="00101EA0">
          <w:pPr>
            <w:pStyle w:val="Verzeichnis1"/>
            <w:tabs>
              <w:tab w:val="right" w:leader="dot" w:pos="9396"/>
            </w:tabs>
            <w:rPr>
              <w:rFonts w:eastAsiaTheme="minorEastAsia"/>
              <w:noProof/>
              <w:lang w:val="de-DE" w:eastAsia="de-DE"/>
            </w:rPr>
          </w:pPr>
          <w:r>
            <w:fldChar w:fldCharType="begin"/>
          </w:r>
          <w:r>
            <w:instrText xml:space="preserve"> TOC \o "1-3" \h \z \u </w:instrText>
          </w:r>
          <w:r>
            <w:fldChar w:fldCharType="separate"/>
          </w:r>
          <w:hyperlink w:anchor="_Toc525298434" w:history="1">
            <w:r w:rsidR="00FA6932" w:rsidRPr="00FF5C50">
              <w:rPr>
                <w:rStyle w:val="Hyperlink"/>
                <w:noProof/>
              </w:rPr>
              <w:t>IPCC AR5 WGIII – SPM</w:t>
            </w:r>
            <w:r w:rsidR="00FA6932">
              <w:rPr>
                <w:noProof/>
                <w:webHidden/>
              </w:rPr>
              <w:tab/>
            </w:r>
            <w:r w:rsidR="00FA6932">
              <w:rPr>
                <w:noProof/>
                <w:webHidden/>
              </w:rPr>
              <w:fldChar w:fldCharType="begin"/>
            </w:r>
            <w:r w:rsidR="00FA6932">
              <w:rPr>
                <w:noProof/>
                <w:webHidden/>
              </w:rPr>
              <w:instrText xml:space="preserve"> PAGEREF _Toc525298434 \h </w:instrText>
            </w:r>
            <w:r w:rsidR="00FA6932">
              <w:rPr>
                <w:noProof/>
                <w:webHidden/>
              </w:rPr>
            </w:r>
            <w:r w:rsidR="00FA6932">
              <w:rPr>
                <w:noProof/>
                <w:webHidden/>
              </w:rPr>
              <w:fldChar w:fldCharType="separate"/>
            </w:r>
            <w:r w:rsidR="00FA6932">
              <w:rPr>
                <w:noProof/>
                <w:webHidden/>
              </w:rPr>
              <w:t>6</w:t>
            </w:r>
            <w:r w:rsidR="00FA6932">
              <w:rPr>
                <w:noProof/>
                <w:webHidden/>
              </w:rPr>
              <w:fldChar w:fldCharType="end"/>
            </w:r>
          </w:hyperlink>
        </w:p>
        <w:p w14:paraId="5F0C88C6" w14:textId="77777777" w:rsidR="00FA6932" w:rsidRDefault="00FA6932">
          <w:pPr>
            <w:pStyle w:val="Verzeichnis2"/>
            <w:tabs>
              <w:tab w:val="right" w:leader="dot" w:pos="9396"/>
            </w:tabs>
            <w:rPr>
              <w:rFonts w:eastAsiaTheme="minorEastAsia"/>
              <w:noProof/>
              <w:lang w:val="de-DE" w:eastAsia="de-DE"/>
            </w:rPr>
          </w:pPr>
          <w:hyperlink w:anchor="_Toc525298435" w:history="1">
            <w:r w:rsidRPr="00FF5C50">
              <w:rPr>
                <w:rStyle w:val="Hyperlink"/>
                <w:noProof/>
              </w:rPr>
              <w:t>SPM.4.1 Long-term mitigation pathways</w:t>
            </w:r>
            <w:r>
              <w:rPr>
                <w:noProof/>
                <w:webHidden/>
              </w:rPr>
              <w:tab/>
            </w:r>
            <w:r>
              <w:rPr>
                <w:noProof/>
                <w:webHidden/>
              </w:rPr>
              <w:fldChar w:fldCharType="begin"/>
            </w:r>
            <w:r>
              <w:rPr>
                <w:noProof/>
                <w:webHidden/>
              </w:rPr>
              <w:instrText xml:space="preserve"> PAGEREF _Toc525298435 \h </w:instrText>
            </w:r>
            <w:r>
              <w:rPr>
                <w:noProof/>
                <w:webHidden/>
              </w:rPr>
            </w:r>
            <w:r>
              <w:rPr>
                <w:noProof/>
                <w:webHidden/>
              </w:rPr>
              <w:fldChar w:fldCharType="separate"/>
            </w:r>
            <w:r>
              <w:rPr>
                <w:noProof/>
                <w:webHidden/>
              </w:rPr>
              <w:t>7</w:t>
            </w:r>
            <w:r>
              <w:rPr>
                <w:noProof/>
                <w:webHidden/>
              </w:rPr>
              <w:fldChar w:fldCharType="end"/>
            </w:r>
          </w:hyperlink>
        </w:p>
        <w:p w14:paraId="7EE802D2" w14:textId="77777777" w:rsidR="00FA6932" w:rsidRDefault="00FA6932">
          <w:pPr>
            <w:pStyle w:val="Verzeichnis3"/>
            <w:tabs>
              <w:tab w:val="right" w:leader="dot" w:pos="9396"/>
            </w:tabs>
            <w:rPr>
              <w:rFonts w:eastAsiaTheme="minorEastAsia"/>
              <w:noProof/>
              <w:lang w:val="de-DE" w:eastAsia="de-DE"/>
            </w:rPr>
          </w:pPr>
          <w:hyperlink w:anchor="_Toc525298436" w:history="1">
            <w:r w:rsidRPr="00FF5C50">
              <w:rPr>
                <w:rStyle w:val="Hyperlink"/>
                <w:noProof/>
              </w:rPr>
              <w:t>Statement 1</w:t>
            </w:r>
            <w:r>
              <w:rPr>
                <w:noProof/>
                <w:webHidden/>
              </w:rPr>
              <w:tab/>
            </w:r>
            <w:r>
              <w:rPr>
                <w:noProof/>
                <w:webHidden/>
              </w:rPr>
              <w:fldChar w:fldCharType="begin"/>
            </w:r>
            <w:r>
              <w:rPr>
                <w:noProof/>
                <w:webHidden/>
              </w:rPr>
              <w:instrText xml:space="preserve"> PAGEREF _Toc525298436 \h </w:instrText>
            </w:r>
            <w:r>
              <w:rPr>
                <w:noProof/>
                <w:webHidden/>
              </w:rPr>
            </w:r>
            <w:r>
              <w:rPr>
                <w:noProof/>
                <w:webHidden/>
              </w:rPr>
              <w:fldChar w:fldCharType="separate"/>
            </w:r>
            <w:r>
              <w:rPr>
                <w:noProof/>
                <w:webHidden/>
              </w:rPr>
              <w:t>7</w:t>
            </w:r>
            <w:r>
              <w:rPr>
                <w:noProof/>
                <w:webHidden/>
              </w:rPr>
              <w:fldChar w:fldCharType="end"/>
            </w:r>
          </w:hyperlink>
        </w:p>
        <w:p w14:paraId="25C12BE6" w14:textId="77777777" w:rsidR="00FA6932" w:rsidRDefault="00FA6932">
          <w:pPr>
            <w:pStyle w:val="Verzeichnis3"/>
            <w:tabs>
              <w:tab w:val="right" w:leader="dot" w:pos="9396"/>
            </w:tabs>
            <w:rPr>
              <w:rFonts w:eastAsiaTheme="minorEastAsia"/>
              <w:noProof/>
              <w:lang w:val="de-DE" w:eastAsia="de-DE"/>
            </w:rPr>
          </w:pPr>
          <w:hyperlink w:anchor="_Toc525298437" w:history="1">
            <w:r w:rsidRPr="00FF5C50">
              <w:rPr>
                <w:rStyle w:val="Hyperlink"/>
                <w:noProof/>
              </w:rPr>
              <w:t>Statement 2</w:t>
            </w:r>
            <w:r>
              <w:rPr>
                <w:noProof/>
                <w:webHidden/>
              </w:rPr>
              <w:tab/>
            </w:r>
            <w:r>
              <w:rPr>
                <w:noProof/>
                <w:webHidden/>
              </w:rPr>
              <w:fldChar w:fldCharType="begin"/>
            </w:r>
            <w:r>
              <w:rPr>
                <w:noProof/>
                <w:webHidden/>
              </w:rPr>
              <w:instrText xml:space="preserve"> PAGEREF _Toc525298437 \h </w:instrText>
            </w:r>
            <w:r>
              <w:rPr>
                <w:noProof/>
                <w:webHidden/>
              </w:rPr>
            </w:r>
            <w:r>
              <w:rPr>
                <w:noProof/>
                <w:webHidden/>
              </w:rPr>
              <w:fldChar w:fldCharType="separate"/>
            </w:r>
            <w:r>
              <w:rPr>
                <w:noProof/>
                <w:webHidden/>
              </w:rPr>
              <w:t>8</w:t>
            </w:r>
            <w:r>
              <w:rPr>
                <w:noProof/>
                <w:webHidden/>
              </w:rPr>
              <w:fldChar w:fldCharType="end"/>
            </w:r>
          </w:hyperlink>
        </w:p>
        <w:p w14:paraId="7EBDE8E6" w14:textId="77777777" w:rsidR="00FA6932" w:rsidRDefault="00FA6932">
          <w:pPr>
            <w:pStyle w:val="Verzeichnis3"/>
            <w:tabs>
              <w:tab w:val="right" w:leader="dot" w:pos="9396"/>
            </w:tabs>
            <w:rPr>
              <w:rFonts w:eastAsiaTheme="minorEastAsia"/>
              <w:noProof/>
              <w:lang w:val="de-DE" w:eastAsia="de-DE"/>
            </w:rPr>
          </w:pPr>
          <w:hyperlink w:anchor="_Toc525298438" w:history="1">
            <w:r w:rsidRPr="00FF5C50">
              <w:rPr>
                <w:rStyle w:val="Hyperlink"/>
                <w:noProof/>
              </w:rPr>
              <w:t>Statement 3</w:t>
            </w:r>
            <w:r>
              <w:rPr>
                <w:noProof/>
                <w:webHidden/>
              </w:rPr>
              <w:tab/>
            </w:r>
            <w:r>
              <w:rPr>
                <w:noProof/>
                <w:webHidden/>
              </w:rPr>
              <w:fldChar w:fldCharType="begin"/>
            </w:r>
            <w:r>
              <w:rPr>
                <w:noProof/>
                <w:webHidden/>
              </w:rPr>
              <w:instrText xml:space="preserve"> PAGEREF _Toc525298438 \h </w:instrText>
            </w:r>
            <w:r>
              <w:rPr>
                <w:noProof/>
                <w:webHidden/>
              </w:rPr>
            </w:r>
            <w:r>
              <w:rPr>
                <w:noProof/>
                <w:webHidden/>
              </w:rPr>
              <w:fldChar w:fldCharType="separate"/>
            </w:r>
            <w:r>
              <w:rPr>
                <w:noProof/>
                <w:webHidden/>
              </w:rPr>
              <w:t>9</w:t>
            </w:r>
            <w:r>
              <w:rPr>
                <w:noProof/>
                <w:webHidden/>
              </w:rPr>
              <w:fldChar w:fldCharType="end"/>
            </w:r>
          </w:hyperlink>
        </w:p>
        <w:p w14:paraId="569CB14B" w14:textId="77777777" w:rsidR="00FA6932" w:rsidRDefault="00FA6932">
          <w:pPr>
            <w:pStyle w:val="Verzeichnis2"/>
            <w:tabs>
              <w:tab w:val="right" w:leader="dot" w:pos="9396"/>
            </w:tabs>
            <w:rPr>
              <w:rFonts w:eastAsiaTheme="minorEastAsia"/>
              <w:noProof/>
              <w:lang w:val="de-DE" w:eastAsia="de-DE"/>
            </w:rPr>
          </w:pPr>
          <w:hyperlink w:anchor="_Toc525298439" w:history="1">
            <w:r w:rsidRPr="00FF5C50">
              <w:rPr>
                <w:rStyle w:val="Hyperlink"/>
                <w:noProof/>
              </w:rPr>
              <w:t>SPM.4.2 Sectoral and cross-sectoral mitigation pathways and measures</w:t>
            </w:r>
            <w:r>
              <w:rPr>
                <w:noProof/>
                <w:webHidden/>
              </w:rPr>
              <w:tab/>
            </w:r>
            <w:r>
              <w:rPr>
                <w:noProof/>
                <w:webHidden/>
              </w:rPr>
              <w:fldChar w:fldCharType="begin"/>
            </w:r>
            <w:r>
              <w:rPr>
                <w:noProof/>
                <w:webHidden/>
              </w:rPr>
              <w:instrText xml:space="preserve"> PAGEREF _Toc525298439 \h </w:instrText>
            </w:r>
            <w:r>
              <w:rPr>
                <w:noProof/>
                <w:webHidden/>
              </w:rPr>
            </w:r>
            <w:r>
              <w:rPr>
                <w:noProof/>
                <w:webHidden/>
              </w:rPr>
              <w:fldChar w:fldCharType="separate"/>
            </w:r>
            <w:r>
              <w:rPr>
                <w:noProof/>
                <w:webHidden/>
              </w:rPr>
              <w:t>10</w:t>
            </w:r>
            <w:r>
              <w:rPr>
                <w:noProof/>
                <w:webHidden/>
              </w:rPr>
              <w:fldChar w:fldCharType="end"/>
            </w:r>
          </w:hyperlink>
        </w:p>
        <w:p w14:paraId="544A8042" w14:textId="77777777" w:rsidR="00FA6932" w:rsidRDefault="00FA6932">
          <w:pPr>
            <w:pStyle w:val="Verzeichnis3"/>
            <w:tabs>
              <w:tab w:val="right" w:leader="dot" w:pos="9396"/>
            </w:tabs>
            <w:rPr>
              <w:rFonts w:eastAsiaTheme="minorEastAsia"/>
              <w:noProof/>
              <w:lang w:val="de-DE" w:eastAsia="de-DE"/>
            </w:rPr>
          </w:pPr>
          <w:hyperlink w:anchor="_Toc525298440" w:history="1">
            <w:r w:rsidRPr="00FF5C50">
              <w:rPr>
                <w:rStyle w:val="Hyperlink"/>
                <w:noProof/>
              </w:rPr>
              <w:t>SPM.4.2.1 Cross-sectoral mitigation pathways and measures</w:t>
            </w:r>
            <w:r>
              <w:rPr>
                <w:noProof/>
                <w:webHidden/>
              </w:rPr>
              <w:tab/>
            </w:r>
            <w:r>
              <w:rPr>
                <w:noProof/>
                <w:webHidden/>
              </w:rPr>
              <w:fldChar w:fldCharType="begin"/>
            </w:r>
            <w:r>
              <w:rPr>
                <w:noProof/>
                <w:webHidden/>
              </w:rPr>
              <w:instrText xml:space="preserve"> PAGEREF _Toc525298440 \h </w:instrText>
            </w:r>
            <w:r>
              <w:rPr>
                <w:noProof/>
                <w:webHidden/>
              </w:rPr>
            </w:r>
            <w:r>
              <w:rPr>
                <w:noProof/>
                <w:webHidden/>
              </w:rPr>
              <w:fldChar w:fldCharType="separate"/>
            </w:r>
            <w:r>
              <w:rPr>
                <w:noProof/>
                <w:webHidden/>
              </w:rPr>
              <w:t>10</w:t>
            </w:r>
            <w:r>
              <w:rPr>
                <w:noProof/>
                <w:webHidden/>
              </w:rPr>
              <w:fldChar w:fldCharType="end"/>
            </w:r>
          </w:hyperlink>
        </w:p>
        <w:p w14:paraId="4927410A" w14:textId="77777777" w:rsidR="00FA6932" w:rsidRDefault="00FA6932">
          <w:pPr>
            <w:pStyle w:val="Verzeichnis3"/>
            <w:tabs>
              <w:tab w:val="right" w:leader="dot" w:pos="9396"/>
            </w:tabs>
            <w:rPr>
              <w:rFonts w:eastAsiaTheme="minorEastAsia"/>
              <w:noProof/>
              <w:lang w:val="de-DE" w:eastAsia="de-DE"/>
            </w:rPr>
          </w:pPr>
          <w:hyperlink w:anchor="_Toc525298441" w:history="1">
            <w:r w:rsidRPr="00FF5C50">
              <w:rPr>
                <w:rStyle w:val="Hyperlink"/>
                <w:noProof/>
              </w:rPr>
              <w:t>SPM.4.2.2. Energy supply</w:t>
            </w:r>
            <w:r>
              <w:rPr>
                <w:noProof/>
                <w:webHidden/>
              </w:rPr>
              <w:tab/>
            </w:r>
            <w:r>
              <w:rPr>
                <w:noProof/>
                <w:webHidden/>
              </w:rPr>
              <w:fldChar w:fldCharType="begin"/>
            </w:r>
            <w:r>
              <w:rPr>
                <w:noProof/>
                <w:webHidden/>
              </w:rPr>
              <w:instrText xml:space="preserve"> PAGEREF _Toc525298441 \h </w:instrText>
            </w:r>
            <w:r>
              <w:rPr>
                <w:noProof/>
                <w:webHidden/>
              </w:rPr>
            </w:r>
            <w:r>
              <w:rPr>
                <w:noProof/>
                <w:webHidden/>
              </w:rPr>
              <w:fldChar w:fldCharType="separate"/>
            </w:r>
            <w:r>
              <w:rPr>
                <w:noProof/>
                <w:webHidden/>
              </w:rPr>
              <w:t>10</w:t>
            </w:r>
            <w:r>
              <w:rPr>
                <w:noProof/>
                <w:webHidden/>
              </w:rPr>
              <w:fldChar w:fldCharType="end"/>
            </w:r>
          </w:hyperlink>
        </w:p>
        <w:p w14:paraId="01F6E70A" w14:textId="77777777" w:rsidR="00FA6932" w:rsidRDefault="00FA6932">
          <w:pPr>
            <w:pStyle w:val="Verzeichnis3"/>
            <w:tabs>
              <w:tab w:val="right" w:leader="dot" w:pos="9396"/>
            </w:tabs>
            <w:rPr>
              <w:rFonts w:eastAsiaTheme="minorEastAsia"/>
              <w:noProof/>
              <w:lang w:val="de-DE" w:eastAsia="de-DE"/>
            </w:rPr>
          </w:pPr>
          <w:hyperlink w:anchor="_Toc525298442" w:history="1">
            <w:r w:rsidRPr="00FF5C50">
              <w:rPr>
                <w:rStyle w:val="Hyperlink"/>
                <w:noProof/>
              </w:rPr>
              <w:t>SPM.4.2.4 Agriculture, Forestry and Other Land Use (AFOLU)</w:t>
            </w:r>
            <w:r>
              <w:rPr>
                <w:noProof/>
                <w:webHidden/>
              </w:rPr>
              <w:tab/>
            </w:r>
            <w:r>
              <w:rPr>
                <w:noProof/>
                <w:webHidden/>
              </w:rPr>
              <w:fldChar w:fldCharType="begin"/>
            </w:r>
            <w:r>
              <w:rPr>
                <w:noProof/>
                <w:webHidden/>
              </w:rPr>
              <w:instrText xml:space="preserve"> PAGEREF _Toc525298442 \h </w:instrText>
            </w:r>
            <w:r>
              <w:rPr>
                <w:noProof/>
                <w:webHidden/>
              </w:rPr>
            </w:r>
            <w:r>
              <w:rPr>
                <w:noProof/>
                <w:webHidden/>
              </w:rPr>
              <w:fldChar w:fldCharType="separate"/>
            </w:r>
            <w:r>
              <w:rPr>
                <w:noProof/>
                <w:webHidden/>
              </w:rPr>
              <w:t>11</w:t>
            </w:r>
            <w:r>
              <w:rPr>
                <w:noProof/>
                <w:webHidden/>
              </w:rPr>
              <w:fldChar w:fldCharType="end"/>
            </w:r>
          </w:hyperlink>
        </w:p>
        <w:p w14:paraId="780A2C44" w14:textId="77777777" w:rsidR="00FA6932" w:rsidRDefault="00FA6932">
          <w:pPr>
            <w:pStyle w:val="Verzeichnis1"/>
            <w:tabs>
              <w:tab w:val="right" w:leader="dot" w:pos="9396"/>
            </w:tabs>
            <w:rPr>
              <w:rFonts w:eastAsiaTheme="minorEastAsia"/>
              <w:noProof/>
              <w:lang w:val="de-DE" w:eastAsia="de-DE"/>
            </w:rPr>
          </w:pPr>
          <w:hyperlink w:anchor="_Toc525298443" w:history="1">
            <w:r w:rsidRPr="00FF5C50">
              <w:rPr>
                <w:rStyle w:val="Hyperlink"/>
                <w:noProof/>
              </w:rPr>
              <w:t>IPCC AR5 WGIII – Technical Summary</w:t>
            </w:r>
            <w:r>
              <w:rPr>
                <w:noProof/>
                <w:webHidden/>
              </w:rPr>
              <w:tab/>
            </w:r>
            <w:r>
              <w:rPr>
                <w:noProof/>
                <w:webHidden/>
              </w:rPr>
              <w:fldChar w:fldCharType="begin"/>
            </w:r>
            <w:r>
              <w:rPr>
                <w:noProof/>
                <w:webHidden/>
              </w:rPr>
              <w:instrText xml:space="preserve"> PAGEREF _Toc525298443 \h </w:instrText>
            </w:r>
            <w:r>
              <w:rPr>
                <w:noProof/>
                <w:webHidden/>
              </w:rPr>
            </w:r>
            <w:r>
              <w:rPr>
                <w:noProof/>
                <w:webHidden/>
              </w:rPr>
              <w:fldChar w:fldCharType="separate"/>
            </w:r>
            <w:r>
              <w:rPr>
                <w:noProof/>
                <w:webHidden/>
              </w:rPr>
              <w:t>12</w:t>
            </w:r>
            <w:r>
              <w:rPr>
                <w:noProof/>
                <w:webHidden/>
              </w:rPr>
              <w:fldChar w:fldCharType="end"/>
            </w:r>
          </w:hyperlink>
        </w:p>
        <w:p w14:paraId="39513167" w14:textId="77777777" w:rsidR="00FA6932" w:rsidRDefault="00FA6932">
          <w:pPr>
            <w:pStyle w:val="Verzeichnis2"/>
            <w:tabs>
              <w:tab w:val="right" w:leader="dot" w:pos="9396"/>
            </w:tabs>
            <w:rPr>
              <w:rFonts w:eastAsiaTheme="minorEastAsia"/>
              <w:noProof/>
              <w:lang w:val="de-DE" w:eastAsia="de-DE"/>
            </w:rPr>
          </w:pPr>
          <w:hyperlink w:anchor="_Toc525298444" w:history="1">
            <w:r w:rsidRPr="00FF5C50">
              <w:rPr>
                <w:rStyle w:val="Hyperlink"/>
                <w:noProof/>
              </w:rPr>
              <w:t>TS.3.1 Mitigation pathways</w:t>
            </w:r>
            <w:r>
              <w:rPr>
                <w:noProof/>
                <w:webHidden/>
              </w:rPr>
              <w:tab/>
            </w:r>
            <w:r>
              <w:rPr>
                <w:noProof/>
                <w:webHidden/>
              </w:rPr>
              <w:fldChar w:fldCharType="begin"/>
            </w:r>
            <w:r>
              <w:rPr>
                <w:noProof/>
                <w:webHidden/>
              </w:rPr>
              <w:instrText xml:space="preserve"> PAGEREF _Toc525298444 \h </w:instrText>
            </w:r>
            <w:r>
              <w:rPr>
                <w:noProof/>
                <w:webHidden/>
              </w:rPr>
            </w:r>
            <w:r>
              <w:rPr>
                <w:noProof/>
                <w:webHidden/>
              </w:rPr>
              <w:fldChar w:fldCharType="separate"/>
            </w:r>
            <w:r>
              <w:rPr>
                <w:noProof/>
                <w:webHidden/>
              </w:rPr>
              <w:t>13</w:t>
            </w:r>
            <w:r>
              <w:rPr>
                <w:noProof/>
                <w:webHidden/>
              </w:rPr>
              <w:fldChar w:fldCharType="end"/>
            </w:r>
          </w:hyperlink>
        </w:p>
        <w:p w14:paraId="7AE12131" w14:textId="77777777" w:rsidR="00FA6932" w:rsidRDefault="00FA6932">
          <w:pPr>
            <w:pStyle w:val="Verzeichnis3"/>
            <w:tabs>
              <w:tab w:val="right" w:leader="dot" w:pos="9396"/>
            </w:tabs>
            <w:rPr>
              <w:rFonts w:eastAsiaTheme="minorEastAsia"/>
              <w:noProof/>
              <w:lang w:val="de-DE" w:eastAsia="de-DE"/>
            </w:rPr>
          </w:pPr>
          <w:hyperlink w:anchor="_Toc525298445" w:history="1">
            <w:r w:rsidRPr="00FF5C50">
              <w:rPr>
                <w:rStyle w:val="Hyperlink"/>
                <w:noProof/>
              </w:rPr>
              <w:t>TS.3.1.2 Short- and long-term requirements of mitigation pathways</w:t>
            </w:r>
            <w:r>
              <w:rPr>
                <w:noProof/>
                <w:webHidden/>
              </w:rPr>
              <w:tab/>
            </w:r>
            <w:r>
              <w:rPr>
                <w:noProof/>
                <w:webHidden/>
              </w:rPr>
              <w:fldChar w:fldCharType="begin"/>
            </w:r>
            <w:r>
              <w:rPr>
                <w:noProof/>
                <w:webHidden/>
              </w:rPr>
              <w:instrText xml:space="preserve"> PAGEREF _Toc525298445 \h </w:instrText>
            </w:r>
            <w:r>
              <w:rPr>
                <w:noProof/>
                <w:webHidden/>
              </w:rPr>
            </w:r>
            <w:r>
              <w:rPr>
                <w:noProof/>
                <w:webHidden/>
              </w:rPr>
              <w:fldChar w:fldCharType="separate"/>
            </w:r>
            <w:r>
              <w:rPr>
                <w:noProof/>
                <w:webHidden/>
              </w:rPr>
              <w:t>13</w:t>
            </w:r>
            <w:r>
              <w:rPr>
                <w:noProof/>
                <w:webHidden/>
              </w:rPr>
              <w:fldChar w:fldCharType="end"/>
            </w:r>
          </w:hyperlink>
        </w:p>
        <w:p w14:paraId="29C360C5" w14:textId="77777777" w:rsidR="00FA6932" w:rsidRDefault="00FA6932">
          <w:pPr>
            <w:pStyle w:val="Verzeichnis2"/>
            <w:tabs>
              <w:tab w:val="right" w:leader="dot" w:pos="9396"/>
            </w:tabs>
            <w:rPr>
              <w:rFonts w:eastAsiaTheme="minorEastAsia"/>
              <w:noProof/>
              <w:lang w:val="de-DE" w:eastAsia="de-DE"/>
            </w:rPr>
          </w:pPr>
          <w:hyperlink w:anchor="_Toc525298446" w:history="1">
            <w:r w:rsidRPr="00FF5C50">
              <w:rPr>
                <w:rStyle w:val="Hyperlink"/>
                <w:noProof/>
              </w:rPr>
              <w:t>TS.3.2 Sectoral and cross-sectoral mitigation measures</w:t>
            </w:r>
            <w:r>
              <w:rPr>
                <w:noProof/>
                <w:webHidden/>
              </w:rPr>
              <w:tab/>
            </w:r>
            <w:r>
              <w:rPr>
                <w:noProof/>
                <w:webHidden/>
              </w:rPr>
              <w:fldChar w:fldCharType="begin"/>
            </w:r>
            <w:r>
              <w:rPr>
                <w:noProof/>
                <w:webHidden/>
              </w:rPr>
              <w:instrText xml:space="preserve"> PAGEREF _Toc525298446 \h </w:instrText>
            </w:r>
            <w:r>
              <w:rPr>
                <w:noProof/>
                <w:webHidden/>
              </w:rPr>
            </w:r>
            <w:r>
              <w:rPr>
                <w:noProof/>
                <w:webHidden/>
              </w:rPr>
              <w:fldChar w:fldCharType="separate"/>
            </w:r>
            <w:r>
              <w:rPr>
                <w:noProof/>
                <w:webHidden/>
              </w:rPr>
              <w:t>15</w:t>
            </w:r>
            <w:r>
              <w:rPr>
                <w:noProof/>
                <w:webHidden/>
              </w:rPr>
              <w:fldChar w:fldCharType="end"/>
            </w:r>
          </w:hyperlink>
        </w:p>
        <w:p w14:paraId="476424BB" w14:textId="77777777" w:rsidR="00FA6932" w:rsidRDefault="00FA6932">
          <w:pPr>
            <w:pStyle w:val="Verzeichnis3"/>
            <w:tabs>
              <w:tab w:val="right" w:leader="dot" w:pos="9396"/>
            </w:tabs>
            <w:rPr>
              <w:rFonts w:eastAsiaTheme="minorEastAsia"/>
              <w:noProof/>
              <w:lang w:val="de-DE" w:eastAsia="de-DE"/>
            </w:rPr>
          </w:pPr>
          <w:hyperlink w:anchor="_Toc525298447" w:history="1">
            <w:r w:rsidRPr="00FF5C50">
              <w:rPr>
                <w:rStyle w:val="Hyperlink"/>
                <w:noProof/>
              </w:rPr>
              <w:t>TS.3.2.2 Energy supply</w:t>
            </w:r>
            <w:r>
              <w:rPr>
                <w:noProof/>
                <w:webHidden/>
              </w:rPr>
              <w:tab/>
            </w:r>
            <w:r>
              <w:rPr>
                <w:noProof/>
                <w:webHidden/>
              </w:rPr>
              <w:fldChar w:fldCharType="begin"/>
            </w:r>
            <w:r>
              <w:rPr>
                <w:noProof/>
                <w:webHidden/>
              </w:rPr>
              <w:instrText xml:space="preserve"> PAGEREF _Toc525298447 \h </w:instrText>
            </w:r>
            <w:r>
              <w:rPr>
                <w:noProof/>
                <w:webHidden/>
              </w:rPr>
            </w:r>
            <w:r>
              <w:rPr>
                <w:noProof/>
                <w:webHidden/>
              </w:rPr>
              <w:fldChar w:fldCharType="separate"/>
            </w:r>
            <w:r>
              <w:rPr>
                <w:noProof/>
                <w:webHidden/>
              </w:rPr>
              <w:t>15</w:t>
            </w:r>
            <w:r>
              <w:rPr>
                <w:noProof/>
                <w:webHidden/>
              </w:rPr>
              <w:fldChar w:fldCharType="end"/>
            </w:r>
          </w:hyperlink>
        </w:p>
        <w:p w14:paraId="67E1F87E" w14:textId="77777777" w:rsidR="00FA6932" w:rsidRDefault="00FA6932">
          <w:pPr>
            <w:pStyle w:val="Verzeichnis1"/>
            <w:tabs>
              <w:tab w:val="right" w:leader="dot" w:pos="9396"/>
            </w:tabs>
            <w:rPr>
              <w:rFonts w:eastAsiaTheme="minorEastAsia"/>
              <w:noProof/>
              <w:lang w:val="de-DE" w:eastAsia="de-DE"/>
            </w:rPr>
          </w:pPr>
          <w:hyperlink w:anchor="_Toc525298448" w:history="1">
            <w:r w:rsidRPr="00FF5C50">
              <w:rPr>
                <w:rStyle w:val="Hyperlink"/>
                <w:noProof/>
              </w:rPr>
              <w:t>IPCC AR5 WGIII – Chapter 2: Integrated Risk and Uncertainty Assessment of Climate Change Response Policies</w:t>
            </w:r>
            <w:r>
              <w:rPr>
                <w:noProof/>
                <w:webHidden/>
              </w:rPr>
              <w:tab/>
            </w:r>
            <w:r>
              <w:rPr>
                <w:noProof/>
                <w:webHidden/>
              </w:rPr>
              <w:fldChar w:fldCharType="begin"/>
            </w:r>
            <w:r>
              <w:rPr>
                <w:noProof/>
                <w:webHidden/>
              </w:rPr>
              <w:instrText xml:space="preserve"> PAGEREF _Toc525298448 \h </w:instrText>
            </w:r>
            <w:r>
              <w:rPr>
                <w:noProof/>
                <w:webHidden/>
              </w:rPr>
            </w:r>
            <w:r>
              <w:rPr>
                <w:noProof/>
                <w:webHidden/>
              </w:rPr>
              <w:fldChar w:fldCharType="separate"/>
            </w:r>
            <w:r>
              <w:rPr>
                <w:noProof/>
                <w:webHidden/>
              </w:rPr>
              <w:t>17</w:t>
            </w:r>
            <w:r>
              <w:rPr>
                <w:noProof/>
                <w:webHidden/>
              </w:rPr>
              <w:fldChar w:fldCharType="end"/>
            </w:r>
          </w:hyperlink>
        </w:p>
        <w:p w14:paraId="6306DC74" w14:textId="77777777" w:rsidR="00FA6932" w:rsidRDefault="00FA6932">
          <w:pPr>
            <w:pStyle w:val="Verzeichnis2"/>
            <w:tabs>
              <w:tab w:val="right" w:leader="dot" w:pos="9396"/>
            </w:tabs>
            <w:rPr>
              <w:rFonts w:eastAsiaTheme="minorEastAsia"/>
              <w:noProof/>
              <w:lang w:val="de-DE" w:eastAsia="de-DE"/>
            </w:rPr>
          </w:pPr>
          <w:hyperlink w:anchor="_Toc525298449" w:history="1">
            <w:r w:rsidRPr="00FF5C50">
              <w:rPr>
                <w:rStyle w:val="Hyperlink"/>
                <w:noProof/>
              </w:rPr>
              <w:t>2.6.6.2 Local support and opposition to infrastructure projects</w:t>
            </w:r>
            <w:r>
              <w:rPr>
                <w:noProof/>
                <w:webHidden/>
              </w:rPr>
              <w:tab/>
            </w:r>
            <w:r>
              <w:rPr>
                <w:noProof/>
                <w:webHidden/>
              </w:rPr>
              <w:fldChar w:fldCharType="begin"/>
            </w:r>
            <w:r>
              <w:rPr>
                <w:noProof/>
                <w:webHidden/>
              </w:rPr>
              <w:instrText xml:space="preserve"> PAGEREF _Toc525298449 \h </w:instrText>
            </w:r>
            <w:r>
              <w:rPr>
                <w:noProof/>
                <w:webHidden/>
              </w:rPr>
            </w:r>
            <w:r>
              <w:rPr>
                <w:noProof/>
                <w:webHidden/>
              </w:rPr>
              <w:fldChar w:fldCharType="separate"/>
            </w:r>
            <w:r>
              <w:rPr>
                <w:noProof/>
                <w:webHidden/>
              </w:rPr>
              <w:t>18</w:t>
            </w:r>
            <w:r>
              <w:rPr>
                <w:noProof/>
                <w:webHidden/>
              </w:rPr>
              <w:fldChar w:fldCharType="end"/>
            </w:r>
          </w:hyperlink>
        </w:p>
        <w:p w14:paraId="19443073" w14:textId="77777777" w:rsidR="00FA6932" w:rsidRDefault="00FA6932">
          <w:pPr>
            <w:pStyle w:val="Verzeichnis1"/>
            <w:tabs>
              <w:tab w:val="right" w:leader="dot" w:pos="9396"/>
            </w:tabs>
            <w:rPr>
              <w:rFonts w:eastAsiaTheme="minorEastAsia"/>
              <w:noProof/>
              <w:lang w:val="de-DE" w:eastAsia="de-DE"/>
            </w:rPr>
          </w:pPr>
          <w:hyperlink w:anchor="_Toc525298450" w:history="1">
            <w:r w:rsidRPr="00FF5C50">
              <w:rPr>
                <w:rStyle w:val="Hyperlink"/>
                <w:noProof/>
              </w:rPr>
              <w:t>IPCC AR5 WGIII – Chapter 6: Assessing Transformation Pathways</w:t>
            </w:r>
            <w:r>
              <w:rPr>
                <w:noProof/>
                <w:webHidden/>
              </w:rPr>
              <w:tab/>
            </w:r>
            <w:r>
              <w:rPr>
                <w:noProof/>
                <w:webHidden/>
              </w:rPr>
              <w:fldChar w:fldCharType="begin"/>
            </w:r>
            <w:r>
              <w:rPr>
                <w:noProof/>
                <w:webHidden/>
              </w:rPr>
              <w:instrText xml:space="preserve"> PAGEREF _Toc525298450 \h </w:instrText>
            </w:r>
            <w:r>
              <w:rPr>
                <w:noProof/>
                <w:webHidden/>
              </w:rPr>
            </w:r>
            <w:r>
              <w:rPr>
                <w:noProof/>
                <w:webHidden/>
              </w:rPr>
              <w:fldChar w:fldCharType="separate"/>
            </w:r>
            <w:r>
              <w:rPr>
                <w:noProof/>
                <w:webHidden/>
              </w:rPr>
              <w:t>18</w:t>
            </w:r>
            <w:r>
              <w:rPr>
                <w:noProof/>
                <w:webHidden/>
              </w:rPr>
              <w:fldChar w:fldCharType="end"/>
            </w:r>
          </w:hyperlink>
        </w:p>
        <w:p w14:paraId="68036B3D" w14:textId="77777777" w:rsidR="00FA6932" w:rsidRDefault="00FA6932">
          <w:pPr>
            <w:pStyle w:val="Verzeichnis2"/>
            <w:tabs>
              <w:tab w:val="right" w:leader="dot" w:pos="9396"/>
            </w:tabs>
            <w:rPr>
              <w:rFonts w:eastAsiaTheme="minorEastAsia"/>
              <w:noProof/>
              <w:lang w:val="de-DE" w:eastAsia="de-DE"/>
            </w:rPr>
          </w:pPr>
          <w:hyperlink w:anchor="_Toc525298451" w:history="1">
            <w:r w:rsidRPr="00FF5C50">
              <w:rPr>
                <w:rStyle w:val="Hyperlink"/>
                <w:noProof/>
              </w:rPr>
              <w:t>6.1.1 Framing and evaluating transformation pathways</w:t>
            </w:r>
            <w:r>
              <w:rPr>
                <w:noProof/>
                <w:webHidden/>
              </w:rPr>
              <w:tab/>
            </w:r>
            <w:r>
              <w:rPr>
                <w:noProof/>
                <w:webHidden/>
              </w:rPr>
              <w:fldChar w:fldCharType="begin"/>
            </w:r>
            <w:r>
              <w:rPr>
                <w:noProof/>
                <w:webHidden/>
              </w:rPr>
              <w:instrText xml:space="preserve"> PAGEREF _Toc525298451 \h </w:instrText>
            </w:r>
            <w:r>
              <w:rPr>
                <w:noProof/>
                <w:webHidden/>
              </w:rPr>
            </w:r>
            <w:r>
              <w:rPr>
                <w:noProof/>
                <w:webHidden/>
              </w:rPr>
              <w:fldChar w:fldCharType="separate"/>
            </w:r>
            <w:r>
              <w:rPr>
                <w:noProof/>
                <w:webHidden/>
              </w:rPr>
              <w:t>28</w:t>
            </w:r>
            <w:r>
              <w:rPr>
                <w:noProof/>
                <w:webHidden/>
              </w:rPr>
              <w:fldChar w:fldCharType="end"/>
            </w:r>
          </w:hyperlink>
        </w:p>
        <w:p w14:paraId="6635FD97" w14:textId="77777777" w:rsidR="00FA6932" w:rsidRDefault="00FA6932">
          <w:pPr>
            <w:pStyle w:val="Verzeichnis2"/>
            <w:tabs>
              <w:tab w:val="right" w:leader="dot" w:pos="9396"/>
            </w:tabs>
            <w:rPr>
              <w:rFonts w:eastAsiaTheme="minorEastAsia"/>
              <w:noProof/>
              <w:lang w:val="de-DE" w:eastAsia="de-DE"/>
            </w:rPr>
          </w:pPr>
          <w:hyperlink w:anchor="_Toc525298452" w:history="1">
            <w:r w:rsidRPr="00FF5C50">
              <w:rPr>
                <w:rStyle w:val="Hyperlink"/>
                <w:noProof/>
              </w:rPr>
              <w:t>6.1.2 New mitigation scenario since AR4</w:t>
            </w:r>
            <w:r>
              <w:rPr>
                <w:noProof/>
                <w:webHidden/>
              </w:rPr>
              <w:tab/>
            </w:r>
            <w:r>
              <w:rPr>
                <w:noProof/>
                <w:webHidden/>
              </w:rPr>
              <w:fldChar w:fldCharType="begin"/>
            </w:r>
            <w:r>
              <w:rPr>
                <w:noProof/>
                <w:webHidden/>
              </w:rPr>
              <w:instrText xml:space="preserve"> PAGEREF _Toc525298452 \h </w:instrText>
            </w:r>
            <w:r>
              <w:rPr>
                <w:noProof/>
                <w:webHidden/>
              </w:rPr>
            </w:r>
            <w:r>
              <w:rPr>
                <w:noProof/>
                <w:webHidden/>
              </w:rPr>
              <w:fldChar w:fldCharType="separate"/>
            </w:r>
            <w:r>
              <w:rPr>
                <w:noProof/>
                <w:webHidden/>
              </w:rPr>
              <w:t>29</w:t>
            </w:r>
            <w:r>
              <w:rPr>
                <w:noProof/>
                <w:webHidden/>
              </w:rPr>
              <w:fldChar w:fldCharType="end"/>
            </w:r>
          </w:hyperlink>
        </w:p>
        <w:p w14:paraId="404E826A" w14:textId="77777777" w:rsidR="00FA6932" w:rsidRDefault="00FA6932">
          <w:pPr>
            <w:pStyle w:val="Verzeichnis2"/>
            <w:tabs>
              <w:tab w:val="right" w:leader="dot" w:pos="9396"/>
            </w:tabs>
            <w:rPr>
              <w:rFonts w:eastAsiaTheme="minorEastAsia"/>
              <w:noProof/>
              <w:lang w:val="de-DE" w:eastAsia="de-DE"/>
            </w:rPr>
          </w:pPr>
          <w:hyperlink w:anchor="_Toc525298453" w:history="1">
            <w:r w:rsidRPr="00FF5C50">
              <w:rPr>
                <w:rStyle w:val="Hyperlink"/>
                <w:noProof/>
              </w:rPr>
              <w:t>6.2.4 Interpretation of model inability to produce particular scenarios</w:t>
            </w:r>
            <w:r>
              <w:rPr>
                <w:noProof/>
                <w:webHidden/>
              </w:rPr>
              <w:tab/>
            </w:r>
            <w:r>
              <w:rPr>
                <w:noProof/>
                <w:webHidden/>
              </w:rPr>
              <w:fldChar w:fldCharType="begin"/>
            </w:r>
            <w:r>
              <w:rPr>
                <w:noProof/>
                <w:webHidden/>
              </w:rPr>
              <w:instrText xml:space="preserve"> PAGEREF _Toc525298453 \h </w:instrText>
            </w:r>
            <w:r>
              <w:rPr>
                <w:noProof/>
                <w:webHidden/>
              </w:rPr>
            </w:r>
            <w:r>
              <w:rPr>
                <w:noProof/>
                <w:webHidden/>
              </w:rPr>
              <w:fldChar w:fldCharType="separate"/>
            </w:r>
            <w:r>
              <w:rPr>
                <w:noProof/>
                <w:webHidden/>
              </w:rPr>
              <w:t>29</w:t>
            </w:r>
            <w:r>
              <w:rPr>
                <w:noProof/>
                <w:webHidden/>
              </w:rPr>
              <w:fldChar w:fldCharType="end"/>
            </w:r>
          </w:hyperlink>
        </w:p>
        <w:p w14:paraId="1EEE0051" w14:textId="77777777" w:rsidR="00FA6932" w:rsidRDefault="00FA6932">
          <w:pPr>
            <w:pStyle w:val="Verzeichnis2"/>
            <w:tabs>
              <w:tab w:val="right" w:leader="dot" w:pos="9396"/>
            </w:tabs>
            <w:rPr>
              <w:rFonts w:eastAsiaTheme="minorEastAsia"/>
              <w:noProof/>
              <w:lang w:val="de-DE" w:eastAsia="de-DE"/>
            </w:rPr>
          </w:pPr>
          <w:hyperlink w:anchor="_Toc525298454" w:history="1">
            <w:r w:rsidRPr="00FF5C50">
              <w:rPr>
                <w:rStyle w:val="Hyperlink"/>
                <w:noProof/>
              </w:rPr>
              <w:t>6.3.2 Emissions trajectories, concentrations, and temperature in transformation pathways</w:t>
            </w:r>
            <w:r>
              <w:rPr>
                <w:noProof/>
                <w:webHidden/>
              </w:rPr>
              <w:tab/>
            </w:r>
            <w:r>
              <w:rPr>
                <w:noProof/>
                <w:webHidden/>
              </w:rPr>
              <w:fldChar w:fldCharType="begin"/>
            </w:r>
            <w:r>
              <w:rPr>
                <w:noProof/>
                <w:webHidden/>
              </w:rPr>
              <w:instrText xml:space="preserve"> PAGEREF _Toc525298454 \h </w:instrText>
            </w:r>
            <w:r>
              <w:rPr>
                <w:noProof/>
                <w:webHidden/>
              </w:rPr>
            </w:r>
            <w:r>
              <w:rPr>
                <w:noProof/>
                <w:webHidden/>
              </w:rPr>
              <w:fldChar w:fldCharType="separate"/>
            </w:r>
            <w:r>
              <w:rPr>
                <w:noProof/>
                <w:webHidden/>
              </w:rPr>
              <w:t>29</w:t>
            </w:r>
            <w:r>
              <w:rPr>
                <w:noProof/>
                <w:webHidden/>
              </w:rPr>
              <w:fldChar w:fldCharType="end"/>
            </w:r>
          </w:hyperlink>
        </w:p>
        <w:p w14:paraId="2B8ED4CE" w14:textId="77777777" w:rsidR="00FA6932" w:rsidRDefault="00FA6932">
          <w:pPr>
            <w:pStyle w:val="Verzeichnis3"/>
            <w:tabs>
              <w:tab w:val="right" w:leader="dot" w:pos="9396"/>
            </w:tabs>
            <w:rPr>
              <w:rFonts w:eastAsiaTheme="minorEastAsia"/>
              <w:noProof/>
              <w:lang w:val="de-DE" w:eastAsia="de-DE"/>
            </w:rPr>
          </w:pPr>
          <w:hyperlink w:anchor="_Toc525298455" w:history="1">
            <w:r w:rsidRPr="00FF5C50">
              <w:rPr>
                <w:rStyle w:val="Hyperlink"/>
                <w:noProof/>
              </w:rPr>
              <w:t>6.3.2.2 The timing of emissions reductions: The influence of technology, policy, and overshoot</w:t>
            </w:r>
            <w:r>
              <w:rPr>
                <w:noProof/>
                <w:webHidden/>
              </w:rPr>
              <w:tab/>
            </w:r>
            <w:r>
              <w:rPr>
                <w:noProof/>
                <w:webHidden/>
              </w:rPr>
              <w:fldChar w:fldCharType="begin"/>
            </w:r>
            <w:r>
              <w:rPr>
                <w:noProof/>
                <w:webHidden/>
              </w:rPr>
              <w:instrText xml:space="preserve"> PAGEREF _Toc525298455 \h </w:instrText>
            </w:r>
            <w:r>
              <w:rPr>
                <w:noProof/>
                <w:webHidden/>
              </w:rPr>
            </w:r>
            <w:r>
              <w:rPr>
                <w:noProof/>
                <w:webHidden/>
              </w:rPr>
              <w:fldChar w:fldCharType="separate"/>
            </w:r>
            <w:r>
              <w:rPr>
                <w:noProof/>
                <w:webHidden/>
              </w:rPr>
              <w:t>29</w:t>
            </w:r>
            <w:r>
              <w:rPr>
                <w:noProof/>
                <w:webHidden/>
              </w:rPr>
              <w:fldChar w:fldCharType="end"/>
            </w:r>
          </w:hyperlink>
        </w:p>
        <w:p w14:paraId="2186B137" w14:textId="77777777" w:rsidR="00FA6932" w:rsidRDefault="00FA6932">
          <w:pPr>
            <w:pStyle w:val="Verzeichnis3"/>
            <w:tabs>
              <w:tab w:val="right" w:leader="dot" w:pos="9396"/>
            </w:tabs>
            <w:rPr>
              <w:rFonts w:eastAsiaTheme="minorEastAsia"/>
              <w:noProof/>
              <w:lang w:val="de-DE" w:eastAsia="de-DE"/>
            </w:rPr>
          </w:pPr>
          <w:hyperlink w:anchor="_Toc525298456" w:history="1">
            <w:r w:rsidRPr="00FF5C50">
              <w:rPr>
                <w:rStyle w:val="Hyperlink"/>
                <w:noProof/>
              </w:rPr>
              <w:t>6.3.2.4 Projected CO2 emissions from land use</w:t>
            </w:r>
            <w:r>
              <w:rPr>
                <w:noProof/>
                <w:webHidden/>
              </w:rPr>
              <w:tab/>
            </w:r>
            <w:r>
              <w:rPr>
                <w:noProof/>
                <w:webHidden/>
              </w:rPr>
              <w:fldChar w:fldCharType="begin"/>
            </w:r>
            <w:r>
              <w:rPr>
                <w:noProof/>
                <w:webHidden/>
              </w:rPr>
              <w:instrText xml:space="preserve"> PAGEREF _Toc525298456 \h </w:instrText>
            </w:r>
            <w:r>
              <w:rPr>
                <w:noProof/>
                <w:webHidden/>
              </w:rPr>
            </w:r>
            <w:r>
              <w:rPr>
                <w:noProof/>
                <w:webHidden/>
              </w:rPr>
              <w:fldChar w:fldCharType="separate"/>
            </w:r>
            <w:r>
              <w:rPr>
                <w:noProof/>
                <w:webHidden/>
              </w:rPr>
              <w:t>30</w:t>
            </w:r>
            <w:r>
              <w:rPr>
                <w:noProof/>
                <w:webHidden/>
              </w:rPr>
              <w:fldChar w:fldCharType="end"/>
            </w:r>
          </w:hyperlink>
        </w:p>
        <w:p w14:paraId="47493E4E" w14:textId="77777777" w:rsidR="00FA6932" w:rsidRDefault="00FA6932">
          <w:pPr>
            <w:pStyle w:val="Verzeichnis3"/>
            <w:tabs>
              <w:tab w:val="right" w:leader="dot" w:pos="9396"/>
            </w:tabs>
            <w:rPr>
              <w:rFonts w:eastAsiaTheme="minorEastAsia"/>
              <w:noProof/>
              <w:lang w:val="de-DE" w:eastAsia="de-DE"/>
            </w:rPr>
          </w:pPr>
          <w:hyperlink w:anchor="_Toc525298457" w:history="1">
            <w:r w:rsidRPr="00FF5C50">
              <w:rPr>
                <w:rStyle w:val="Hyperlink"/>
                <w:noProof/>
              </w:rPr>
              <w:t>6.3.2.6 The link between concentrations, radiative forcing, and temperature</w:t>
            </w:r>
            <w:r>
              <w:rPr>
                <w:noProof/>
                <w:webHidden/>
              </w:rPr>
              <w:tab/>
            </w:r>
            <w:r>
              <w:rPr>
                <w:noProof/>
                <w:webHidden/>
              </w:rPr>
              <w:fldChar w:fldCharType="begin"/>
            </w:r>
            <w:r>
              <w:rPr>
                <w:noProof/>
                <w:webHidden/>
              </w:rPr>
              <w:instrText xml:space="preserve"> PAGEREF _Toc525298457 \h </w:instrText>
            </w:r>
            <w:r>
              <w:rPr>
                <w:noProof/>
                <w:webHidden/>
              </w:rPr>
            </w:r>
            <w:r>
              <w:rPr>
                <w:noProof/>
                <w:webHidden/>
              </w:rPr>
              <w:fldChar w:fldCharType="separate"/>
            </w:r>
            <w:r>
              <w:rPr>
                <w:noProof/>
                <w:webHidden/>
              </w:rPr>
              <w:t>31</w:t>
            </w:r>
            <w:r>
              <w:rPr>
                <w:noProof/>
                <w:webHidden/>
              </w:rPr>
              <w:fldChar w:fldCharType="end"/>
            </w:r>
          </w:hyperlink>
        </w:p>
        <w:p w14:paraId="5FE8206F" w14:textId="77777777" w:rsidR="00FA6932" w:rsidRDefault="00FA6932">
          <w:pPr>
            <w:pStyle w:val="Verzeichnis2"/>
            <w:tabs>
              <w:tab w:val="right" w:leader="dot" w:pos="9396"/>
            </w:tabs>
            <w:rPr>
              <w:rFonts w:eastAsiaTheme="minorEastAsia"/>
              <w:noProof/>
              <w:lang w:val="de-DE" w:eastAsia="de-DE"/>
            </w:rPr>
          </w:pPr>
          <w:hyperlink w:anchor="_Toc525298458" w:history="1">
            <w:r w:rsidRPr="00FF5C50">
              <w:rPr>
                <w:rStyle w:val="Hyperlink"/>
                <w:noProof/>
              </w:rPr>
              <w:t>6.3.5 Land and bioenergy in transformation pathways</w:t>
            </w:r>
            <w:r>
              <w:rPr>
                <w:noProof/>
                <w:webHidden/>
              </w:rPr>
              <w:tab/>
            </w:r>
            <w:r>
              <w:rPr>
                <w:noProof/>
                <w:webHidden/>
              </w:rPr>
              <w:fldChar w:fldCharType="begin"/>
            </w:r>
            <w:r>
              <w:rPr>
                <w:noProof/>
                <w:webHidden/>
              </w:rPr>
              <w:instrText xml:space="preserve"> PAGEREF _Toc525298458 \h </w:instrText>
            </w:r>
            <w:r>
              <w:rPr>
                <w:noProof/>
                <w:webHidden/>
              </w:rPr>
            </w:r>
            <w:r>
              <w:rPr>
                <w:noProof/>
                <w:webHidden/>
              </w:rPr>
              <w:fldChar w:fldCharType="separate"/>
            </w:r>
            <w:r>
              <w:rPr>
                <w:noProof/>
                <w:webHidden/>
              </w:rPr>
              <w:t>31</w:t>
            </w:r>
            <w:r>
              <w:rPr>
                <w:noProof/>
                <w:webHidden/>
              </w:rPr>
              <w:fldChar w:fldCharType="end"/>
            </w:r>
          </w:hyperlink>
        </w:p>
        <w:p w14:paraId="673123F4" w14:textId="77777777" w:rsidR="00FA6932" w:rsidRDefault="00FA6932">
          <w:pPr>
            <w:pStyle w:val="Verzeichnis2"/>
            <w:tabs>
              <w:tab w:val="right" w:leader="dot" w:pos="9396"/>
            </w:tabs>
            <w:rPr>
              <w:rFonts w:eastAsiaTheme="minorEastAsia"/>
              <w:noProof/>
              <w:lang w:val="de-DE" w:eastAsia="de-DE"/>
            </w:rPr>
          </w:pPr>
          <w:hyperlink w:anchor="_Toc525298459" w:history="1">
            <w:r w:rsidRPr="00FF5C50">
              <w:rPr>
                <w:rStyle w:val="Hyperlink"/>
                <w:noProof/>
              </w:rPr>
              <w:t>6.3.6 The aggregate economic implications of transformation pathways</w:t>
            </w:r>
            <w:r>
              <w:rPr>
                <w:noProof/>
                <w:webHidden/>
              </w:rPr>
              <w:tab/>
            </w:r>
            <w:r>
              <w:rPr>
                <w:noProof/>
                <w:webHidden/>
              </w:rPr>
              <w:fldChar w:fldCharType="begin"/>
            </w:r>
            <w:r>
              <w:rPr>
                <w:noProof/>
                <w:webHidden/>
              </w:rPr>
              <w:instrText xml:space="preserve"> PAGEREF _Toc525298459 \h </w:instrText>
            </w:r>
            <w:r>
              <w:rPr>
                <w:noProof/>
                <w:webHidden/>
              </w:rPr>
            </w:r>
            <w:r>
              <w:rPr>
                <w:noProof/>
                <w:webHidden/>
              </w:rPr>
              <w:fldChar w:fldCharType="separate"/>
            </w:r>
            <w:r>
              <w:rPr>
                <w:noProof/>
                <w:webHidden/>
              </w:rPr>
              <w:t>33</w:t>
            </w:r>
            <w:r>
              <w:rPr>
                <w:noProof/>
                <w:webHidden/>
              </w:rPr>
              <w:fldChar w:fldCharType="end"/>
            </w:r>
          </w:hyperlink>
        </w:p>
        <w:p w14:paraId="633D3B7A" w14:textId="77777777" w:rsidR="00FA6932" w:rsidRDefault="00FA6932">
          <w:pPr>
            <w:pStyle w:val="Verzeichnis3"/>
            <w:tabs>
              <w:tab w:val="right" w:leader="dot" w:pos="9396"/>
            </w:tabs>
            <w:rPr>
              <w:rFonts w:eastAsiaTheme="minorEastAsia"/>
              <w:noProof/>
              <w:lang w:val="de-DE" w:eastAsia="de-DE"/>
            </w:rPr>
          </w:pPr>
          <w:hyperlink w:anchor="_Toc525298460" w:history="1">
            <w:r w:rsidRPr="00FF5C50">
              <w:rPr>
                <w:rStyle w:val="Hyperlink"/>
                <w:noProof/>
              </w:rPr>
              <w:t>6.3.6.3 The implications of technology portfolios for aggregate global economic costs</w:t>
            </w:r>
            <w:r>
              <w:rPr>
                <w:noProof/>
                <w:webHidden/>
              </w:rPr>
              <w:tab/>
            </w:r>
            <w:r>
              <w:rPr>
                <w:noProof/>
                <w:webHidden/>
              </w:rPr>
              <w:fldChar w:fldCharType="begin"/>
            </w:r>
            <w:r>
              <w:rPr>
                <w:noProof/>
                <w:webHidden/>
              </w:rPr>
              <w:instrText xml:space="preserve"> PAGEREF _Toc525298460 \h </w:instrText>
            </w:r>
            <w:r>
              <w:rPr>
                <w:noProof/>
                <w:webHidden/>
              </w:rPr>
            </w:r>
            <w:r>
              <w:rPr>
                <w:noProof/>
                <w:webHidden/>
              </w:rPr>
              <w:fldChar w:fldCharType="separate"/>
            </w:r>
            <w:r>
              <w:rPr>
                <w:noProof/>
                <w:webHidden/>
              </w:rPr>
              <w:t>33</w:t>
            </w:r>
            <w:r>
              <w:rPr>
                <w:noProof/>
                <w:webHidden/>
              </w:rPr>
              <w:fldChar w:fldCharType="end"/>
            </w:r>
          </w:hyperlink>
        </w:p>
        <w:p w14:paraId="3F1FB07B" w14:textId="77777777" w:rsidR="00FA6932" w:rsidRDefault="00FA6932">
          <w:pPr>
            <w:pStyle w:val="Verzeichnis3"/>
            <w:tabs>
              <w:tab w:val="right" w:leader="dot" w:pos="9396"/>
            </w:tabs>
            <w:rPr>
              <w:rFonts w:eastAsiaTheme="minorEastAsia"/>
              <w:noProof/>
              <w:lang w:val="de-DE" w:eastAsia="de-DE"/>
            </w:rPr>
          </w:pPr>
          <w:hyperlink w:anchor="_Toc525298461" w:history="1">
            <w:r w:rsidRPr="00FF5C50">
              <w:rPr>
                <w:rStyle w:val="Hyperlink"/>
                <w:noProof/>
              </w:rPr>
              <w:t>6.3.6.4 Economic implications of non-idealized international mitigation policy implementation</w:t>
            </w:r>
            <w:r>
              <w:rPr>
                <w:noProof/>
                <w:webHidden/>
              </w:rPr>
              <w:tab/>
            </w:r>
            <w:r>
              <w:rPr>
                <w:noProof/>
                <w:webHidden/>
              </w:rPr>
              <w:fldChar w:fldCharType="begin"/>
            </w:r>
            <w:r>
              <w:rPr>
                <w:noProof/>
                <w:webHidden/>
              </w:rPr>
              <w:instrText xml:space="preserve"> PAGEREF _Toc525298461 \h </w:instrText>
            </w:r>
            <w:r>
              <w:rPr>
                <w:noProof/>
                <w:webHidden/>
              </w:rPr>
            </w:r>
            <w:r>
              <w:rPr>
                <w:noProof/>
                <w:webHidden/>
              </w:rPr>
              <w:fldChar w:fldCharType="separate"/>
            </w:r>
            <w:r>
              <w:rPr>
                <w:noProof/>
                <w:webHidden/>
              </w:rPr>
              <w:t>34</w:t>
            </w:r>
            <w:r>
              <w:rPr>
                <w:noProof/>
                <w:webHidden/>
              </w:rPr>
              <w:fldChar w:fldCharType="end"/>
            </w:r>
          </w:hyperlink>
        </w:p>
        <w:p w14:paraId="3DC22D82" w14:textId="77777777" w:rsidR="00FA6932" w:rsidRDefault="00FA6932">
          <w:pPr>
            <w:pStyle w:val="Verzeichnis2"/>
            <w:tabs>
              <w:tab w:val="right" w:leader="dot" w:pos="9396"/>
            </w:tabs>
            <w:rPr>
              <w:rFonts w:eastAsiaTheme="minorEastAsia"/>
              <w:noProof/>
              <w:lang w:val="de-DE" w:eastAsia="de-DE"/>
            </w:rPr>
          </w:pPr>
          <w:hyperlink w:anchor="_Toc525298462" w:history="1">
            <w:r w:rsidRPr="00FF5C50">
              <w:rPr>
                <w:rStyle w:val="Hyperlink"/>
                <w:noProof/>
              </w:rPr>
              <w:t>Box 6.2</w:t>
            </w:r>
            <w:r>
              <w:rPr>
                <w:noProof/>
                <w:webHidden/>
              </w:rPr>
              <w:tab/>
            </w:r>
            <w:r>
              <w:rPr>
                <w:noProof/>
                <w:webHidden/>
              </w:rPr>
              <w:fldChar w:fldCharType="begin"/>
            </w:r>
            <w:r>
              <w:rPr>
                <w:noProof/>
                <w:webHidden/>
              </w:rPr>
              <w:instrText xml:space="preserve"> PAGEREF _Toc525298462 \h </w:instrText>
            </w:r>
            <w:r>
              <w:rPr>
                <w:noProof/>
                <w:webHidden/>
              </w:rPr>
            </w:r>
            <w:r>
              <w:rPr>
                <w:noProof/>
                <w:webHidden/>
              </w:rPr>
              <w:fldChar w:fldCharType="separate"/>
            </w:r>
            <w:r>
              <w:rPr>
                <w:noProof/>
                <w:webHidden/>
              </w:rPr>
              <w:t>35</w:t>
            </w:r>
            <w:r>
              <w:rPr>
                <w:noProof/>
                <w:webHidden/>
              </w:rPr>
              <w:fldChar w:fldCharType="end"/>
            </w:r>
          </w:hyperlink>
        </w:p>
        <w:p w14:paraId="5D58B15C" w14:textId="77777777" w:rsidR="00FA6932" w:rsidRDefault="00FA6932">
          <w:pPr>
            <w:pStyle w:val="Verzeichnis2"/>
            <w:tabs>
              <w:tab w:val="right" w:leader="dot" w:pos="9396"/>
            </w:tabs>
            <w:rPr>
              <w:rFonts w:eastAsiaTheme="minorEastAsia"/>
              <w:noProof/>
              <w:lang w:val="de-DE" w:eastAsia="de-DE"/>
            </w:rPr>
          </w:pPr>
          <w:hyperlink w:anchor="_Toc525298463" w:history="1">
            <w:r w:rsidRPr="00FF5C50">
              <w:rPr>
                <w:rStyle w:val="Hyperlink"/>
                <w:noProof/>
              </w:rPr>
              <w:t>6.4.2 Near-term emissions and long-term transformation pathways</w:t>
            </w:r>
            <w:r>
              <w:rPr>
                <w:noProof/>
                <w:webHidden/>
              </w:rPr>
              <w:tab/>
            </w:r>
            <w:r>
              <w:rPr>
                <w:noProof/>
                <w:webHidden/>
              </w:rPr>
              <w:fldChar w:fldCharType="begin"/>
            </w:r>
            <w:r>
              <w:rPr>
                <w:noProof/>
                <w:webHidden/>
              </w:rPr>
              <w:instrText xml:space="preserve"> PAGEREF _Toc525298463 \h </w:instrText>
            </w:r>
            <w:r>
              <w:rPr>
                <w:noProof/>
                <w:webHidden/>
              </w:rPr>
            </w:r>
            <w:r>
              <w:rPr>
                <w:noProof/>
                <w:webHidden/>
              </w:rPr>
              <w:fldChar w:fldCharType="separate"/>
            </w:r>
            <w:r>
              <w:rPr>
                <w:noProof/>
                <w:webHidden/>
              </w:rPr>
              <w:t>35</w:t>
            </w:r>
            <w:r>
              <w:rPr>
                <w:noProof/>
                <w:webHidden/>
              </w:rPr>
              <w:fldChar w:fldCharType="end"/>
            </w:r>
          </w:hyperlink>
        </w:p>
        <w:p w14:paraId="2E990E29" w14:textId="77777777" w:rsidR="00FA6932" w:rsidRDefault="00FA6932">
          <w:pPr>
            <w:pStyle w:val="Verzeichnis2"/>
            <w:tabs>
              <w:tab w:val="right" w:leader="dot" w:pos="9396"/>
            </w:tabs>
            <w:rPr>
              <w:rFonts w:eastAsiaTheme="minorEastAsia"/>
              <w:noProof/>
              <w:lang w:val="de-DE" w:eastAsia="de-DE"/>
            </w:rPr>
          </w:pPr>
          <w:hyperlink w:anchor="_Toc525298464" w:history="1">
            <w:r w:rsidRPr="00FF5C50">
              <w:rPr>
                <w:rStyle w:val="Hyperlink"/>
                <w:noProof/>
              </w:rPr>
              <w:t>6.6.2 Transformation pathways studies with links to other policy objectives</w:t>
            </w:r>
            <w:r>
              <w:rPr>
                <w:noProof/>
                <w:webHidden/>
              </w:rPr>
              <w:tab/>
            </w:r>
            <w:r>
              <w:rPr>
                <w:noProof/>
                <w:webHidden/>
              </w:rPr>
              <w:fldChar w:fldCharType="begin"/>
            </w:r>
            <w:r>
              <w:rPr>
                <w:noProof/>
                <w:webHidden/>
              </w:rPr>
              <w:instrText xml:space="preserve"> PAGEREF _Toc525298464 \h </w:instrText>
            </w:r>
            <w:r>
              <w:rPr>
                <w:noProof/>
                <w:webHidden/>
              </w:rPr>
            </w:r>
            <w:r>
              <w:rPr>
                <w:noProof/>
                <w:webHidden/>
              </w:rPr>
              <w:fldChar w:fldCharType="separate"/>
            </w:r>
            <w:r>
              <w:rPr>
                <w:noProof/>
                <w:webHidden/>
              </w:rPr>
              <w:t>37</w:t>
            </w:r>
            <w:r>
              <w:rPr>
                <w:noProof/>
                <w:webHidden/>
              </w:rPr>
              <w:fldChar w:fldCharType="end"/>
            </w:r>
          </w:hyperlink>
        </w:p>
        <w:p w14:paraId="40C0F869" w14:textId="77777777" w:rsidR="00FA6932" w:rsidRDefault="00FA6932">
          <w:pPr>
            <w:pStyle w:val="Verzeichnis3"/>
            <w:tabs>
              <w:tab w:val="right" w:leader="dot" w:pos="9396"/>
            </w:tabs>
            <w:rPr>
              <w:rFonts w:eastAsiaTheme="minorEastAsia"/>
              <w:noProof/>
              <w:lang w:val="de-DE" w:eastAsia="de-DE"/>
            </w:rPr>
          </w:pPr>
          <w:hyperlink w:anchor="_Toc525298465" w:history="1">
            <w:r w:rsidRPr="00FF5C50">
              <w:rPr>
                <w:rStyle w:val="Hyperlink"/>
                <w:noProof/>
              </w:rPr>
              <w:t>6.6.2.5 Biodiversity conservation</w:t>
            </w:r>
            <w:r>
              <w:rPr>
                <w:noProof/>
                <w:webHidden/>
              </w:rPr>
              <w:tab/>
            </w:r>
            <w:r>
              <w:rPr>
                <w:noProof/>
                <w:webHidden/>
              </w:rPr>
              <w:fldChar w:fldCharType="begin"/>
            </w:r>
            <w:r>
              <w:rPr>
                <w:noProof/>
                <w:webHidden/>
              </w:rPr>
              <w:instrText xml:space="preserve"> PAGEREF _Toc525298465 \h </w:instrText>
            </w:r>
            <w:r>
              <w:rPr>
                <w:noProof/>
                <w:webHidden/>
              </w:rPr>
            </w:r>
            <w:r>
              <w:rPr>
                <w:noProof/>
                <w:webHidden/>
              </w:rPr>
              <w:fldChar w:fldCharType="separate"/>
            </w:r>
            <w:r>
              <w:rPr>
                <w:noProof/>
                <w:webHidden/>
              </w:rPr>
              <w:t>37</w:t>
            </w:r>
            <w:r>
              <w:rPr>
                <w:noProof/>
                <w:webHidden/>
              </w:rPr>
              <w:fldChar w:fldCharType="end"/>
            </w:r>
          </w:hyperlink>
        </w:p>
        <w:p w14:paraId="4606B2DB" w14:textId="77777777" w:rsidR="00FA6932" w:rsidRDefault="00FA6932">
          <w:pPr>
            <w:pStyle w:val="Verzeichnis3"/>
            <w:tabs>
              <w:tab w:val="right" w:leader="dot" w:pos="9396"/>
            </w:tabs>
            <w:rPr>
              <w:rFonts w:eastAsiaTheme="minorEastAsia"/>
              <w:noProof/>
              <w:lang w:val="de-DE" w:eastAsia="de-DE"/>
            </w:rPr>
          </w:pPr>
          <w:hyperlink w:anchor="_Toc525298466" w:history="1">
            <w:r w:rsidRPr="00FF5C50">
              <w:rPr>
                <w:rStyle w:val="Hyperlink"/>
                <w:noProof/>
              </w:rPr>
              <w:t>6.6.2.6 Water use</w:t>
            </w:r>
            <w:r>
              <w:rPr>
                <w:noProof/>
                <w:webHidden/>
              </w:rPr>
              <w:tab/>
            </w:r>
            <w:r>
              <w:rPr>
                <w:noProof/>
                <w:webHidden/>
              </w:rPr>
              <w:fldChar w:fldCharType="begin"/>
            </w:r>
            <w:r>
              <w:rPr>
                <w:noProof/>
                <w:webHidden/>
              </w:rPr>
              <w:instrText xml:space="preserve"> PAGEREF _Toc525298466 \h </w:instrText>
            </w:r>
            <w:r>
              <w:rPr>
                <w:noProof/>
                <w:webHidden/>
              </w:rPr>
            </w:r>
            <w:r>
              <w:rPr>
                <w:noProof/>
                <w:webHidden/>
              </w:rPr>
              <w:fldChar w:fldCharType="separate"/>
            </w:r>
            <w:r>
              <w:rPr>
                <w:noProof/>
                <w:webHidden/>
              </w:rPr>
              <w:t>37</w:t>
            </w:r>
            <w:r>
              <w:rPr>
                <w:noProof/>
                <w:webHidden/>
              </w:rPr>
              <w:fldChar w:fldCharType="end"/>
            </w:r>
          </w:hyperlink>
        </w:p>
        <w:p w14:paraId="0A0845D1" w14:textId="77777777" w:rsidR="00FA6932" w:rsidRDefault="00FA6932">
          <w:pPr>
            <w:pStyle w:val="Verzeichnis2"/>
            <w:tabs>
              <w:tab w:val="right" w:leader="dot" w:pos="9396"/>
            </w:tabs>
            <w:rPr>
              <w:rFonts w:eastAsiaTheme="minorEastAsia"/>
              <w:noProof/>
              <w:lang w:val="de-DE" w:eastAsia="de-DE"/>
            </w:rPr>
          </w:pPr>
          <w:hyperlink w:anchor="_Toc525298467" w:history="1">
            <w:r w:rsidRPr="00FF5C50">
              <w:rPr>
                <w:rStyle w:val="Hyperlink"/>
                <w:noProof/>
              </w:rPr>
              <w:t>6.5.1 Technological change</w:t>
            </w:r>
            <w:r>
              <w:rPr>
                <w:noProof/>
                <w:webHidden/>
              </w:rPr>
              <w:tab/>
            </w:r>
            <w:r>
              <w:rPr>
                <w:noProof/>
                <w:webHidden/>
              </w:rPr>
              <w:fldChar w:fldCharType="begin"/>
            </w:r>
            <w:r>
              <w:rPr>
                <w:noProof/>
                <w:webHidden/>
              </w:rPr>
              <w:instrText xml:space="preserve"> PAGEREF _Toc525298467 \h </w:instrText>
            </w:r>
            <w:r>
              <w:rPr>
                <w:noProof/>
                <w:webHidden/>
              </w:rPr>
            </w:r>
            <w:r>
              <w:rPr>
                <w:noProof/>
                <w:webHidden/>
              </w:rPr>
              <w:fldChar w:fldCharType="separate"/>
            </w:r>
            <w:r>
              <w:rPr>
                <w:noProof/>
                <w:webHidden/>
              </w:rPr>
              <w:t>37</w:t>
            </w:r>
            <w:r>
              <w:rPr>
                <w:noProof/>
                <w:webHidden/>
              </w:rPr>
              <w:fldChar w:fldCharType="end"/>
            </w:r>
          </w:hyperlink>
        </w:p>
        <w:p w14:paraId="7A6B16A0" w14:textId="77777777" w:rsidR="00FA6932" w:rsidRDefault="00FA6932">
          <w:pPr>
            <w:pStyle w:val="Verzeichnis2"/>
            <w:tabs>
              <w:tab w:val="right" w:leader="dot" w:pos="9396"/>
            </w:tabs>
            <w:rPr>
              <w:rFonts w:eastAsiaTheme="minorEastAsia"/>
              <w:noProof/>
              <w:lang w:val="de-DE" w:eastAsia="de-DE"/>
            </w:rPr>
          </w:pPr>
          <w:hyperlink w:anchor="_Toc525298468" w:history="1">
            <w:r w:rsidRPr="00FF5C50">
              <w:rPr>
                <w:rStyle w:val="Hyperlink"/>
                <w:noProof/>
              </w:rPr>
              <w:t>6.8.1 The sectoral composition of GHG emissions along transformation pathways</w:t>
            </w:r>
            <w:r>
              <w:rPr>
                <w:noProof/>
                <w:webHidden/>
              </w:rPr>
              <w:tab/>
            </w:r>
            <w:r>
              <w:rPr>
                <w:noProof/>
                <w:webHidden/>
              </w:rPr>
              <w:fldChar w:fldCharType="begin"/>
            </w:r>
            <w:r>
              <w:rPr>
                <w:noProof/>
                <w:webHidden/>
              </w:rPr>
              <w:instrText xml:space="preserve"> PAGEREF _Toc525298468 \h </w:instrText>
            </w:r>
            <w:r>
              <w:rPr>
                <w:noProof/>
                <w:webHidden/>
              </w:rPr>
            </w:r>
            <w:r>
              <w:rPr>
                <w:noProof/>
                <w:webHidden/>
              </w:rPr>
              <w:fldChar w:fldCharType="separate"/>
            </w:r>
            <w:r>
              <w:rPr>
                <w:noProof/>
                <w:webHidden/>
              </w:rPr>
              <w:t>39</w:t>
            </w:r>
            <w:r>
              <w:rPr>
                <w:noProof/>
                <w:webHidden/>
              </w:rPr>
              <w:fldChar w:fldCharType="end"/>
            </w:r>
          </w:hyperlink>
        </w:p>
        <w:p w14:paraId="794FDEB3" w14:textId="77777777" w:rsidR="00FA6932" w:rsidRDefault="00FA6932">
          <w:pPr>
            <w:pStyle w:val="Verzeichnis2"/>
            <w:tabs>
              <w:tab w:val="right" w:leader="dot" w:pos="9396"/>
            </w:tabs>
            <w:rPr>
              <w:rFonts w:eastAsiaTheme="minorEastAsia"/>
              <w:noProof/>
              <w:lang w:val="de-DE" w:eastAsia="de-DE"/>
            </w:rPr>
          </w:pPr>
          <w:hyperlink w:anchor="_Toc525298469" w:history="1">
            <w:r w:rsidRPr="00FF5C50">
              <w:rPr>
                <w:rStyle w:val="Hyperlink"/>
                <w:noProof/>
              </w:rPr>
              <w:t>6.8.2 Mitigation from a cross-sectoral perspective: Insights from integrated models</w:t>
            </w:r>
            <w:r>
              <w:rPr>
                <w:noProof/>
                <w:webHidden/>
              </w:rPr>
              <w:tab/>
            </w:r>
            <w:r>
              <w:rPr>
                <w:noProof/>
                <w:webHidden/>
              </w:rPr>
              <w:fldChar w:fldCharType="begin"/>
            </w:r>
            <w:r>
              <w:rPr>
                <w:noProof/>
                <w:webHidden/>
              </w:rPr>
              <w:instrText xml:space="preserve"> PAGEREF _Toc525298469 \h </w:instrText>
            </w:r>
            <w:r>
              <w:rPr>
                <w:noProof/>
                <w:webHidden/>
              </w:rPr>
            </w:r>
            <w:r>
              <w:rPr>
                <w:noProof/>
                <w:webHidden/>
              </w:rPr>
              <w:fldChar w:fldCharType="separate"/>
            </w:r>
            <w:r>
              <w:rPr>
                <w:noProof/>
                <w:webHidden/>
              </w:rPr>
              <w:t>40</w:t>
            </w:r>
            <w:r>
              <w:rPr>
                <w:noProof/>
                <w:webHidden/>
              </w:rPr>
              <w:fldChar w:fldCharType="end"/>
            </w:r>
          </w:hyperlink>
        </w:p>
        <w:p w14:paraId="081F6C7F" w14:textId="77777777" w:rsidR="00FA6932" w:rsidRDefault="00FA6932">
          <w:pPr>
            <w:pStyle w:val="Verzeichnis2"/>
            <w:tabs>
              <w:tab w:val="right" w:leader="dot" w:pos="9396"/>
            </w:tabs>
            <w:rPr>
              <w:rFonts w:eastAsiaTheme="minorEastAsia"/>
              <w:noProof/>
              <w:lang w:val="de-DE" w:eastAsia="de-DE"/>
            </w:rPr>
          </w:pPr>
          <w:hyperlink w:anchor="_Toc525298470" w:history="1">
            <w:r w:rsidRPr="00FF5C50">
              <w:rPr>
                <w:rStyle w:val="Hyperlink"/>
                <w:noProof/>
              </w:rPr>
              <w:t>6.8.3 Decarbonizing energy supply</w:t>
            </w:r>
            <w:r>
              <w:rPr>
                <w:noProof/>
                <w:webHidden/>
              </w:rPr>
              <w:tab/>
            </w:r>
            <w:r>
              <w:rPr>
                <w:noProof/>
                <w:webHidden/>
              </w:rPr>
              <w:fldChar w:fldCharType="begin"/>
            </w:r>
            <w:r>
              <w:rPr>
                <w:noProof/>
                <w:webHidden/>
              </w:rPr>
              <w:instrText xml:space="preserve"> PAGEREF _Toc525298470 \h </w:instrText>
            </w:r>
            <w:r>
              <w:rPr>
                <w:noProof/>
                <w:webHidden/>
              </w:rPr>
            </w:r>
            <w:r>
              <w:rPr>
                <w:noProof/>
                <w:webHidden/>
              </w:rPr>
              <w:fldChar w:fldCharType="separate"/>
            </w:r>
            <w:r>
              <w:rPr>
                <w:noProof/>
                <w:webHidden/>
              </w:rPr>
              <w:t>40</w:t>
            </w:r>
            <w:r>
              <w:rPr>
                <w:noProof/>
                <w:webHidden/>
              </w:rPr>
              <w:fldChar w:fldCharType="end"/>
            </w:r>
          </w:hyperlink>
        </w:p>
        <w:p w14:paraId="3891F42B" w14:textId="77777777" w:rsidR="00FA6932" w:rsidRDefault="00FA6932">
          <w:pPr>
            <w:pStyle w:val="Verzeichnis2"/>
            <w:tabs>
              <w:tab w:val="right" w:leader="dot" w:pos="9396"/>
            </w:tabs>
            <w:rPr>
              <w:rFonts w:eastAsiaTheme="minorEastAsia"/>
              <w:noProof/>
              <w:lang w:val="de-DE" w:eastAsia="de-DE"/>
            </w:rPr>
          </w:pPr>
          <w:hyperlink w:anchor="_Toc525298471" w:history="1">
            <w:r w:rsidRPr="00FF5C50">
              <w:rPr>
                <w:rStyle w:val="Hyperlink"/>
                <w:noProof/>
              </w:rPr>
              <w:t>6.8.4 Energy demand reductions and fuel switching in end-use sectors</w:t>
            </w:r>
            <w:r>
              <w:rPr>
                <w:noProof/>
                <w:webHidden/>
              </w:rPr>
              <w:tab/>
            </w:r>
            <w:r>
              <w:rPr>
                <w:noProof/>
                <w:webHidden/>
              </w:rPr>
              <w:fldChar w:fldCharType="begin"/>
            </w:r>
            <w:r>
              <w:rPr>
                <w:noProof/>
                <w:webHidden/>
              </w:rPr>
              <w:instrText xml:space="preserve"> PAGEREF _Toc525298471 \h </w:instrText>
            </w:r>
            <w:r>
              <w:rPr>
                <w:noProof/>
                <w:webHidden/>
              </w:rPr>
            </w:r>
            <w:r>
              <w:rPr>
                <w:noProof/>
                <w:webHidden/>
              </w:rPr>
              <w:fldChar w:fldCharType="separate"/>
            </w:r>
            <w:r>
              <w:rPr>
                <w:noProof/>
                <w:webHidden/>
              </w:rPr>
              <w:t>40</w:t>
            </w:r>
            <w:r>
              <w:rPr>
                <w:noProof/>
                <w:webHidden/>
              </w:rPr>
              <w:fldChar w:fldCharType="end"/>
            </w:r>
          </w:hyperlink>
        </w:p>
        <w:p w14:paraId="5250D9A8" w14:textId="77777777" w:rsidR="00FA6932" w:rsidRDefault="00FA6932">
          <w:pPr>
            <w:pStyle w:val="Verzeichnis2"/>
            <w:tabs>
              <w:tab w:val="right" w:leader="dot" w:pos="9396"/>
            </w:tabs>
            <w:rPr>
              <w:rFonts w:eastAsiaTheme="minorEastAsia"/>
              <w:noProof/>
              <w:lang w:val="de-DE" w:eastAsia="de-DE"/>
            </w:rPr>
          </w:pPr>
          <w:hyperlink w:anchor="_Toc525298472" w:history="1">
            <w:r w:rsidRPr="00FF5C50">
              <w:rPr>
                <w:rStyle w:val="Hyperlink"/>
                <w:noProof/>
              </w:rPr>
              <w:t>6.8.5 Options for bioenergy production, reducing land-use change emissions, and creating land-use GHG sinks</w:t>
            </w:r>
            <w:r>
              <w:rPr>
                <w:noProof/>
                <w:webHidden/>
              </w:rPr>
              <w:tab/>
            </w:r>
            <w:r>
              <w:rPr>
                <w:noProof/>
                <w:webHidden/>
              </w:rPr>
              <w:fldChar w:fldCharType="begin"/>
            </w:r>
            <w:r>
              <w:rPr>
                <w:noProof/>
                <w:webHidden/>
              </w:rPr>
              <w:instrText xml:space="preserve"> PAGEREF _Toc525298472 \h </w:instrText>
            </w:r>
            <w:r>
              <w:rPr>
                <w:noProof/>
                <w:webHidden/>
              </w:rPr>
            </w:r>
            <w:r>
              <w:rPr>
                <w:noProof/>
                <w:webHidden/>
              </w:rPr>
              <w:fldChar w:fldCharType="separate"/>
            </w:r>
            <w:r>
              <w:rPr>
                <w:noProof/>
                <w:webHidden/>
              </w:rPr>
              <w:t>41</w:t>
            </w:r>
            <w:r>
              <w:rPr>
                <w:noProof/>
                <w:webHidden/>
              </w:rPr>
              <w:fldChar w:fldCharType="end"/>
            </w:r>
          </w:hyperlink>
        </w:p>
        <w:p w14:paraId="02BAD92D" w14:textId="77777777" w:rsidR="00FA6932" w:rsidRDefault="00FA6932">
          <w:pPr>
            <w:pStyle w:val="Verzeichnis2"/>
            <w:tabs>
              <w:tab w:val="right" w:leader="dot" w:pos="9396"/>
            </w:tabs>
            <w:rPr>
              <w:rFonts w:eastAsiaTheme="minorEastAsia"/>
              <w:noProof/>
              <w:lang w:val="de-DE" w:eastAsia="de-DE"/>
            </w:rPr>
          </w:pPr>
          <w:hyperlink w:anchor="_Toc525298473" w:history="1">
            <w:r w:rsidRPr="00FF5C50">
              <w:rPr>
                <w:rStyle w:val="Hyperlink"/>
                <w:noProof/>
              </w:rPr>
              <w:t>6.9.1 Carbon Dioxide Removal</w:t>
            </w:r>
            <w:r>
              <w:rPr>
                <w:noProof/>
                <w:webHidden/>
              </w:rPr>
              <w:tab/>
            </w:r>
            <w:r>
              <w:rPr>
                <w:noProof/>
                <w:webHidden/>
              </w:rPr>
              <w:fldChar w:fldCharType="begin"/>
            </w:r>
            <w:r>
              <w:rPr>
                <w:noProof/>
                <w:webHidden/>
              </w:rPr>
              <w:instrText xml:space="preserve"> PAGEREF _Toc525298473 \h </w:instrText>
            </w:r>
            <w:r>
              <w:rPr>
                <w:noProof/>
                <w:webHidden/>
              </w:rPr>
            </w:r>
            <w:r>
              <w:rPr>
                <w:noProof/>
                <w:webHidden/>
              </w:rPr>
              <w:fldChar w:fldCharType="separate"/>
            </w:r>
            <w:r>
              <w:rPr>
                <w:noProof/>
                <w:webHidden/>
              </w:rPr>
              <w:t>42</w:t>
            </w:r>
            <w:r>
              <w:rPr>
                <w:noProof/>
                <w:webHidden/>
              </w:rPr>
              <w:fldChar w:fldCharType="end"/>
            </w:r>
          </w:hyperlink>
        </w:p>
        <w:p w14:paraId="552A5057" w14:textId="77777777" w:rsidR="00FA6932" w:rsidRDefault="00FA6932">
          <w:pPr>
            <w:pStyle w:val="Verzeichnis3"/>
            <w:tabs>
              <w:tab w:val="right" w:leader="dot" w:pos="9396"/>
            </w:tabs>
            <w:rPr>
              <w:rFonts w:eastAsiaTheme="minorEastAsia"/>
              <w:noProof/>
              <w:lang w:val="de-DE" w:eastAsia="de-DE"/>
            </w:rPr>
          </w:pPr>
          <w:hyperlink w:anchor="_Toc525298474" w:history="1">
            <w:r w:rsidRPr="00FF5C50">
              <w:rPr>
                <w:rStyle w:val="Hyperlink"/>
                <w:noProof/>
              </w:rPr>
              <w:t>6.9.1.1 Proposed carbon dioxide removal methods and characteristics</w:t>
            </w:r>
            <w:r>
              <w:rPr>
                <w:noProof/>
                <w:webHidden/>
              </w:rPr>
              <w:tab/>
            </w:r>
            <w:r>
              <w:rPr>
                <w:noProof/>
                <w:webHidden/>
              </w:rPr>
              <w:fldChar w:fldCharType="begin"/>
            </w:r>
            <w:r>
              <w:rPr>
                <w:noProof/>
                <w:webHidden/>
              </w:rPr>
              <w:instrText xml:space="preserve"> PAGEREF _Toc525298474 \h </w:instrText>
            </w:r>
            <w:r>
              <w:rPr>
                <w:noProof/>
                <w:webHidden/>
              </w:rPr>
            </w:r>
            <w:r>
              <w:rPr>
                <w:noProof/>
                <w:webHidden/>
              </w:rPr>
              <w:fldChar w:fldCharType="separate"/>
            </w:r>
            <w:r>
              <w:rPr>
                <w:noProof/>
                <w:webHidden/>
              </w:rPr>
              <w:t>42</w:t>
            </w:r>
            <w:r>
              <w:rPr>
                <w:noProof/>
                <w:webHidden/>
              </w:rPr>
              <w:fldChar w:fldCharType="end"/>
            </w:r>
          </w:hyperlink>
        </w:p>
        <w:p w14:paraId="5358EDE7" w14:textId="77777777" w:rsidR="00FA6932" w:rsidRDefault="00FA6932">
          <w:pPr>
            <w:pStyle w:val="Verzeichnis3"/>
            <w:tabs>
              <w:tab w:val="right" w:leader="dot" w:pos="9396"/>
            </w:tabs>
            <w:rPr>
              <w:rFonts w:eastAsiaTheme="minorEastAsia"/>
              <w:noProof/>
              <w:lang w:val="de-DE" w:eastAsia="de-DE"/>
            </w:rPr>
          </w:pPr>
          <w:hyperlink w:anchor="_Toc525298475" w:history="1">
            <w:r w:rsidRPr="00FF5C50">
              <w:rPr>
                <w:rStyle w:val="Hyperlink"/>
                <w:noProof/>
              </w:rPr>
              <w:t>6.9.1.2 Role of Carbon Dioxide Removal in the context of transformation pathways</w:t>
            </w:r>
            <w:r>
              <w:rPr>
                <w:noProof/>
                <w:webHidden/>
              </w:rPr>
              <w:tab/>
            </w:r>
            <w:r>
              <w:rPr>
                <w:noProof/>
                <w:webHidden/>
              </w:rPr>
              <w:fldChar w:fldCharType="begin"/>
            </w:r>
            <w:r>
              <w:rPr>
                <w:noProof/>
                <w:webHidden/>
              </w:rPr>
              <w:instrText xml:space="preserve"> PAGEREF _Toc525298475 \h </w:instrText>
            </w:r>
            <w:r>
              <w:rPr>
                <w:noProof/>
                <w:webHidden/>
              </w:rPr>
            </w:r>
            <w:r>
              <w:rPr>
                <w:noProof/>
                <w:webHidden/>
              </w:rPr>
              <w:fldChar w:fldCharType="separate"/>
            </w:r>
            <w:r>
              <w:rPr>
                <w:noProof/>
                <w:webHidden/>
              </w:rPr>
              <w:t>44</w:t>
            </w:r>
            <w:r>
              <w:rPr>
                <w:noProof/>
                <w:webHidden/>
              </w:rPr>
              <w:fldChar w:fldCharType="end"/>
            </w:r>
          </w:hyperlink>
        </w:p>
        <w:p w14:paraId="15AB8EA9" w14:textId="77777777" w:rsidR="00FA6932" w:rsidRDefault="00FA6932">
          <w:pPr>
            <w:pStyle w:val="Verzeichnis2"/>
            <w:tabs>
              <w:tab w:val="right" w:leader="dot" w:pos="9396"/>
            </w:tabs>
            <w:rPr>
              <w:rFonts w:eastAsiaTheme="minorEastAsia"/>
              <w:noProof/>
              <w:lang w:val="de-DE" w:eastAsia="de-DE"/>
            </w:rPr>
          </w:pPr>
          <w:hyperlink w:anchor="_Toc525298476" w:history="1">
            <w:r w:rsidRPr="00FF5C50">
              <w:rPr>
                <w:rStyle w:val="Hyperlink"/>
                <w:noProof/>
              </w:rPr>
              <w:t>6.9.2 Solar Radiation Management</w:t>
            </w:r>
            <w:r>
              <w:rPr>
                <w:noProof/>
                <w:webHidden/>
              </w:rPr>
              <w:tab/>
            </w:r>
            <w:r>
              <w:rPr>
                <w:noProof/>
                <w:webHidden/>
              </w:rPr>
              <w:fldChar w:fldCharType="begin"/>
            </w:r>
            <w:r>
              <w:rPr>
                <w:noProof/>
                <w:webHidden/>
              </w:rPr>
              <w:instrText xml:space="preserve"> PAGEREF _Toc525298476 \h </w:instrText>
            </w:r>
            <w:r>
              <w:rPr>
                <w:noProof/>
                <w:webHidden/>
              </w:rPr>
            </w:r>
            <w:r>
              <w:rPr>
                <w:noProof/>
                <w:webHidden/>
              </w:rPr>
              <w:fldChar w:fldCharType="separate"/>
            </w:r>
            <w:r>
              <w:rPr>
                <w:noProof/>
                <w:webHidden/>
              </w:rPr>
              <w:t>45</w:t>
            </w:r>
            <w:r>
              <w:rPr>
                <w:noProof/>
                <w:webHidden/>
              </w:rPr>
              <w:fldChar w:fldCharType="end"/>
            </w:r>
          </w:hyperlink>
        </w:p>
        <w:p w14:paraId="718CB7C4" w14:textId="77777777" w:rsidR="00FA6932" w:rsidRDefault="00FA6932">
          <w:pPr>
            <w:pStyle w:val="Verzeichnis3"/>
            <w:tabs>
              <w:tab w:val="right" w:leader="dot" w:pos="9396"/>
            </w:tabs>
            <w:rPr>
              <w:rFonts w:eastAsiaTheme="minorEastAsia"/>
              <w:noProof/>
              <w:lang w:val="de-DE" w:eastAsia="de-DE"/>
            </w:rPr>
          </w:pPr>
          <w:hyperlink w:anchor="_Toc525298477" w:history="1">
            <w:r w:rsidRPr="00FF5C50">
              <w:rPr>
                <w:rStyle w:val="Hyperlink"/>
                <w:noProof/>
              </w:rPr>
              <w:t>6.9.2.2 The relation of solar radiation management to climate policy and transformation pathways</w:t>
            </w:r>
            <w:r>
              <w:rPr>
                <w:noProof/>
                <w:webHidden/>
              </w:rPr>
              <w:tab/>
            </w:r>
            <w:r>
              <w:rPr>
                <w:noProof/>
                <w:webHidden/>
              </w:rPr>
              <w:fldChar w:fldCharType="begin"/>
            </w:r>
            <w:r>
              <w:rPr>
                <w:noProof/>
                <w:webHidden/>
              </w:rPr>
              <w:instrText xml:space="preserve"> PAGEREF _Toc525298477 \h </w:instrText>
            </w:r>
            <w:r>
              <w:rPr>
                <w:noProof/>
                <w:webHidden/>
              </w:rPr>
            </w:r>
            <w:r>
              <w:rPr>
                <w:noProof/>
                <w:webHidden/>
              </w:rPr>
              <w:fldChar w:fldCharType="separate"/>
            </w:r>
            <w:r>
              <w:rPr>
                <w:noProof/>
                <w:webHidden/>
              </w:rPr>
              <w:t>45</w:t>
            </w:r>
            <w:r>
              <w:rPr>
                <w:noProof/>
                <w:webHidden/>
              </w:rPr>
              <w:fldChar w:fldCharType="end"/>
            </w:r>
          </w:hyperlink>
        </w:p>
        <w:p w14:paraId="3E72DA42" w14:textId="77777777" w:rsidR="00FA6932" w:rsidRDefault="00FA6932">
          <w:pPr>
            <w:pStyle w:val="Verzeichnis2"/>
            <w:tabs>
              <w:tab w:val="right" w:leader="dot" w:pos="9396"/>
            </w:tabs>
            <w:rPr>
              <w:rFonts w:eastAsiaTheme="minorEastAsia"/>
              <w:noProof/>
              <w:lang w:val="de-DE" w:eastAsia="de-DE"/>
            </w:rPr>
          </w:pPr>
          <w:hyperlink w:anchor="_Toc525298478" w:history="1">
            <w:r w:rsidRPr="00FF5C50">
              <w:rPr>
                <w:rStyle w:val="Hyperlink"/>
                <w:noProof/>
              </w:rPr>
              <w:t>6.9.3 Summary</w:t>
            </w:r>
            <w:r>
              <w:rPr>
                <w:noProof/>
                <w:webHidden/>
              </w:rPr>
              <w:tab/>
            </w:r>
            <w:r>
              <w:rPr>
                <w:noProof/>
                <w:webHidden/>
              </w:rPr>
              <w:fldChar w:fldCharType="begin"/>
            </w:r>
            <w:r>
              <w:rPr>
                <w:noProof/>
                <w:webHidden/>
              </w:rPr>
              <w:instrText xml:space="preserve"> PAGEREF _Toc525298478 \h </w:instrText>
            </w:r>
            <w:r>
              <w:rPr>
                <w:noProof/>
                <w:webHidden/>
              </w:rPr>
            </w:r>
            <w:r>
              <w:rPr>
                <w:noProof/>
                <w:webHidden/>
              </w:rPr>
              <w:fldChar w:fldCharType="separate"/>
            </w:r>
            <w:r>
              <w:rPr>
                <w:noProof/>
                <w:webHidden/>
              </w:rPr>
              <w:t>46</w:t>
            </w:r>
            <w:r>
              <w:rPr>
                <w:noProof/>
                <w:webHidden/>
              </w:rPr>
              <w:fldChar w:fldCharType="end"/>
            </w:r>
          </w:hyperlink>
        </w:p>
        <w:p w14:paraId="572BD9C9" w14:textId="77777777" w:rsidR="00FA6932" w:rsidRDefault="00FA6932">
          <w:pPr>
            <w:pStyle w:val="Verzeichnis1"/>
            <w:tabs>
              <w:tab w:val="right" w:leader="dot" w:pos="9396"/>
            </w:tabs>
            <w:rPr>
              <w:rFonts w:eastAsiaTheme="minorEastAsia"/>
              <w:noProof/>
              <w:lang w:val="de-DE" w:eastAsia="de-DE"/>
            </w:rPr>
          </w:pPr>
          <w:hyperlink w:anchor="_Toc525298479" w:history="1">
            <w:r w:rsidRPr="00FF5C50">
              <w:rPr>
                <w:rStyle w:val="Hyperlink"/>
                <w:noProof/>
              </w:rPr>
              <w:t>IPCC AR5 WGIII – Chapter 7: Energy Systems</w:t>
            </w:r>
            <w:r>
              <w:rPr>
                <w:noProof/>
                <w:webHidden/>
              </w:rPr>
              <w:tab/>
            </w:r>
            <w:r>
              <w:rPr>
                <w:noProof/>
                <w:webHidden/>
              </w:rPr>
              <w:fldChar w:fldCharType="begin"/>
            </w:r>
            <w:r>
              <w:rPr>
                <w:noProof/>
                <w:webHidden/>
              </w:rPr>
              <w:instrText xml:space="preserve"> PAGEREF _Toc525298479 \h </w:instrText>
            </w:r>
            <w:r>
              <w:rPr>
                <w:noProof/>
                <w:webHidden/>
              </w:rPr>
            </w:r>
            <w:r>
              <w:rPr>
                <w:noProof/>
                <w:webHidden/>
              </w:rPr>
              <w:fldChar w:fldCharType="separate"/>
            </w:r>
            <w:r>
              <w:rPr>
                <w:noProof/>
                <w:webHidden/>
              </w:rPr>
              <w:t>49</w:t>
            </w:r>
            <w:r>
              <w:rPr>
                <w:noProof/>
                <w:webHidden/>
              </w:rPr>
              <w:fldChar w:fldCharType="end"/>
            </w:r>
          </w:hyperlink>
        </w:p>
        <w:p w14:paraId="484EDC9F" w14:textId="77777777" w:rsidR="00FA6932" w:rsidRDefault="00FA6932">
          <w:pPr>
            <w:pStyle w:val="Verzeichnis2"/>
            <w:tabs>
              <w:tab w:val="right" w:leader="dot" w:pos="9396"/>
            </w:tabs>
            <w:rPr>
              <w:rFonts w:eastAsiaTheme="minorEastAsia"/>
              <w:noProof/>
              <w:lang w:val="de-DE" w:eastAsia="de-DE"/>
            </w:rPr>
          </w:pPr>
          <w:hyperlink w:anchor="_Toc525298480" w:history="1">
            <w:r w:rsidRPr="00FF5C50">
              <w:rPr>
                <w:rStyle w:val="Hyperlink"/>
                <w:noProof/>
              </w:rPr>
              <w:t>Executive summary</w:t>
            </w:r>
            <w:r>
              <w:rPr>
                <w:noProof/>
                <w:webHidden/>
              </w:rPr>
              <w:tab/>
            </w:r>
            <w:r>
              <w:rPr>
                <w:noProof/>
                <w:webHidden/>
              </w:rPr>
              <w:fldChar w:fldCharType="begin"/>
            </w:r>
            <w:r>
              <w:rPr>
                <w:noProof/>
                <w:webHidden/>
              </w:rPr>
              <w:instrText xml:space="preserve"> PAGEREF _Toc525298480 \h </w:instrText>
            </w:r>
            <w:r>
              <w:rPr>
                <w:noProof/>
                <w:webHidden/>
              </w:rPr>
            </w:r>
            <w:r>
              <w:rPr>
                <w:noProof/>
                <w:webHidden/>
              </w:rPr>
              <w:fldChar w:fldCharType="separate"/>
            </w:r>
            <w:r>
              <w:rPr>
                <w:noProof/>
                <w:webHidden/>
              </w:rPr>
              <w:t>51</w:t>
            </w:r>
            <w:r>
              <w:rPr>
                <w:noProof/>
                <w:webHidden/>
              </w:rPr>
              <w:fldChar w:fldCharType="end"/>
            </w:r>
          </w:hyperlink>
        </w:p>
        <w:p w14:paraId="1472891F" w14:textId="77777777" w:rsidR="00FA6932" w:rsidRDefault="00FA6932">
          <w:pPr>
            <w:pStyle w:val="Verzeichnis2"/>
            <w:tabs>
              <w:tab w:val="right" w:leader="dot" w:pos="9396"/>
            </w:tabs>
            <w:rPr>
              <w:rFonts w:eastAsiaTheme="minorEastAsia"/>
              <w:noProof/>
              <w:lang w:val="de-DE" w:eastAsia="de-DE"/>
            </w:rPr>
          </w:pPr>
          <w:hyperlink w:anchor="_Toc525298481" w:history="1">
            <w:r w:rsidRPr="00FF5C50">
              <w:rPr>
                <w:rStyle w:val="Hyperlink"/>
                <w:noProof/>
              </w:rPr>
              <w:t>7.5.5 Carbon dioxide capture and storage (CCS)</w:t>
            </w:r>
            <w:r>
              <w:rPr>
                <w:noProof/>
                <w:webHidden/>
              </w:rPr>
              <w:tab/>
            </w:r>
            <w:r>
              <w:rPr>
                <w:noProof/>
                <w:webHidden/>
              </w:rPr>
              <w:fldChar w:fldCharType="begin"/>
            </w:r>
            <w:r>
              <w:rPr>
                <w:noProof/>
                <w:webHidden/>
              </w:rPr>
              <w:instrText xml:space="preserve"> PAGEREF _Toc525298481 \h </w:instrText>
            </w:r>
            <w:r>
              <w:rPr>
                <w:noProof/>
                <w:webHidden/>
              </w:rPr>
            </w:r>
            <w:r>
              <w:rPr>
                <w:noProof/>
                <w:webHidden/>
              </w:rPr>
              <w:fldChar w:fldCharType="separate"/>
            </w:r>
            <w:r>
              <w:rPr>
                <w:noProof/>
                <w:webHidden/>
              </w:rPr>
              <w:t>51</w:t>
            </w:r>
            <w:r>
              <w:rPr>
                <w:noProof/>
                <w:webHidden/>
              </w:rPr>
              <w:fldChar w:fldCharType="end"/>
            </w:r>
          </w:hyperlink>
        </w:p>
        <w:p w14:paraId="09031713" w14:textId="77777777" w:rsidR="00FA6932" w:rsidRDefault="00FA6932">
          <w:pPr>
            <w:pStyle w:val="Verzeichnis2"/>
            <w:tabs>
              <w:tab w:val="right" w:leader="dot" w:pos="9396"/>
            </w:tabs>
            <w:rPr>
              <w:rFonts w:eastAsiaTheme="minorEastAsia"/>
              <w:noProof/>
              <w:lang w:val="de-DE" w:eastAsia="de-DE"/>
            </w:rPr>
          </w:pPr>
          <w:hyperlink w:anchor="_Toc525298482" w:history="1">
            <w:r w:rsidRPr="00FF5C50">
              <w:rPr>
                <w:rStyle w:val="Hyperlink"/>
                <w:noProof/>
              </w:rPr>
              <w:t>7.8.2 Cost assessment of mitigation measures</w:t>
            </w:r>
            <w:r>
              <w:rPr>
                <w:noProof/>
                <w:webHidden/>
              </w:rPr>
              <w:tab/>
            </w:r>
            <w:r>
              <w:rPr>
                <w:noProof/>
                <w:webHidden/>
              </w:rPr>
              <w:fldChar w:fldCharType="begin"/>
            </w:r>
            <w:r>
              <w:rPr>
                <w:noProof/>
                <w:webHidden/>
              </w:rPr>
              <w:instrText xml:space="preserve"> PAGEREF _Toc525298482 \h </w:instrText>
            </w:r>
            <w:r>
              <w:rPr>
                <w:noProof/>
                <w:webHidden/>
              </w:rPr>
            </w:r>
            <w:r>
              <w:rPr>
                <w:noProof/>
                <w:webHidden/>
              </w:rPr>
              <w:fldChar w:fldCharType="separate"/>
            </w:r>
            <w:r>
              <w:rPr>
                <w:noProof/>
                <w:webHidden/>
              </w:rPr>
              <w:t>51</w:t>
            </w:r>
            <w:r>
              <w:rPr>
                <w:noProof/>
                <w:webHidden/>
              </w:rPr>
              <w:fldChar w:fldCharType="end"/>
            </w:r>
          </w:hyperlink>
        </w:p>
        <w:p w14:paraId="5698D8D7" w14:textId="77777777" w:rsidR="00FA6932" w:rsidRDefault="00FA6932">
          <w:pPr>
            <w:pStyle w:val="Verzeichnis2"/>
            <w:tabs>
              <w:tab w:val="right" w:leader="dot" w:pos="9396"/>
            </w:tabs>
            <w:rPr>
              <w:rFonts w:eastAsiaTheme="minorEastAsia"/>
              <w:noProof/>
              <w:lang w:val="de-DE" w:eastAsia="de-DE"/>
            </w:rPr>
          </w:pPr>
          <w:hyperlink w:anchor="_Toc525298483" w:history="1">
            <w:r w:rsidRPr="00FF5C50">
              <w:rPr>
                <w:rStyle w:val="Hyperlink"/>
                <w:noProof/>
              </w:rPr>
              <w:t>7.11.2 Energy supply in low-stabilization scenarios</w:t>
            </w:r>
            <w:r>
              <w:rPr>
                <w:noProof/>
                <w:webHidden/>
              </w:rPr>
              <w:tab/>
            </w:r>
            <w:r>
              <w:rPr>
                <w:noProof/>
                <w:webHidden/>
              </w:rPr>
              <w:fldChar w:fldCharType="begin"/>
            </w:r>
            <w:r>
              <w:rPr>
                <w:noProof/>
                <w:webHidden/>
              </w:rPr>
              <w:instrText xml:space="preserve"> PAGEREF _Toc525298483 \h </w:instrText>
            </w:r>
            <w:r>
              <w:rPr>
                <w:noProof/>
                <w:webHidden/>
              </w:rPr>
            </w:r>
            <w:r>
              <w:rPr>
                <w:noProof/>
                <w:webHidden/>
              </w:rPr>
              <w:fldChar w:fldCharType="separate"/>
            </w:r>
            <w:r>
              <w:rPr>
                <w:noProof/>
                <w:webHidden/>
              </w:rPr>
              <w:t>52</w:t>
            </w:r>
            <w:r>
              <w:rPr>
                <w:noProof/>
                <w:webHidden/>
              </w:rPr>
              <w:fldChar w:fldCharType="end"/>
            </w:r>
          </w:hyperlink>
        </w:p>
        <w:p w14:paraId="40C39F00" w14:textId="77777777" w:rsidR="00FA6932" w:rsidRDefault="00FA6932">
          <w:pPr>
            <w:pStyle w:val="Verzeichnis2"/>
            <w:tabs>
              <w:tab w:val="right" w:leader="dot" w:pos="9396"/>
            </w:tabs>
            <w:rPr>
              <w:rFonts w:eastAsiaTheme="minorEastAsia"/>
              <w:noProof/>
              <w:lang w:val="de-DE" w:eastAsia="de-DE"/>
            </w:rPr>
          </w:pPr>
          <w:hyperlink w:anchor="_Toc525298484" w:history="1">
            <w:r w:rsidRPr="00FF5C50">
              <w:rPr>
                <w:rStyle w:val="Hyperlink"/>
                <w:noProof/>
              </w:rPr>
              <w:t>7.11.3 Role of the electricity sector in climate change mitigation</w:t>
            </w:r>
            <w:r>
              <w:rPr>
                <w:noProof/>
                <w:webHidden/>
              </w:rPr>
              <w:tab/>
            </w:r>
            <w:r>
              <w:rPr>
                <w:noProof/>
                <w:webHidden/>
              </w:rPr>
              <w:fldChar w:fldCharType="begin"/>
            </w:r>
            <w:r>
              <w:rPr>
                <w:noProof/>
                <w:webHidden/>
              </w:rPr>
              <w:instrText xml:space="preserve"> PAGEREF _Toc525298484 \h </w:instrText>
            </w:r>
            <w:r>
              <w:rPr>
                <w:noProof/>
                <w:webHidden/>
              </w:rPr>
            </w:r>
            <w:r>
              <w:rPr>
                <w:noProof/>
                <w:webHidden/>
              </w:rPr>
              <w:fldChar w:fldCharType="separate"/>
            </w:r>
            <w:r>
              <w:rPr>
                <w:noProof/>
                <w:webHidden/>
              </w:rPr>
              <w:t>52</w:t>
            </w:r>
            <w:r>
              <w:rPr>
                <w:noProof/>
                <w:webHidden/>
              </w:rPr>
              <w:fldChar w:fldCharType="end"/>
            </w:r>
          </w:hyperlink>
        </w:p>
        <w:p w14:paraId="2BB7963F" w14:textId="77777777" w:rsidR="00FA6932" w:rsidRDefault="00FA6932">
          <w:pPr>
            <w:pStyle w:val="Verzeichnis2"/>
            <w:tabs>
              <w:tab w:val="right" w:leader="dot" w:pos="9396"/>
            </w:tabs>
            <w:rPr>
              <w:rFonts w:eastAsiaTheme="minorEastAsia"/>
              <w:noProof/>
              <w:lang w:val="de-DE" w:eastAsia="de-DE"/>
            </w:rPr>
          </w:pPr>
          <w:hyperlink w:anchor="_Toc525298485" w:history="1">
            <w:r w:rsidRPr="00FF5C50">
              <w:rPr>
                <w:rStyle w:val="Hyperlink"/>
                <w:noProof/>
              </w:rPr>
              <w:t>7.11.4 Relationship between short-term action and long-term targets</w:t>
            </w:r>
            <w:r>
              <w:rPr>
                <w:noProof/>
                <w:webHidden/>
              </w:rPr>
              <w:tab/>
            </w:r>
            <w:r>
              <w:rPr>
                <w:noProof/>
                <w:webHidden/>
              </w:rPr>
              <w:fldChar w:fldCharType="begin"/>
            </w:r>
            <w:r>
              <w:rPr>
                <w:noProof/>
                <w:webHidden/>
              </w:rPr>
              <w:instrText xml:space="preserve"> PAGEREF _Toc525298485 \h </w:instrText>
            </w:r>
            <w:r>
              <w:rPr>
                <w:noProof/>
                <w:webHidden/>
              </w:rPr>
            </w:r>
            <w:r>
              <w:rPr>
                <w:noProof/>
                <w:webHidden/>
              </w:rPr>
              <w:fldChar w:fldCharType="separate"/>
            </w:r>
            <w:r>
              <w:rPr>
                <w:noProof/>
                <w:webHidden/>
              </w:rPr>
              <w:t>53</w:t>
            </w:r>
            <w:r>
              <w:rPr>
                <w:noProof/>
                <w:webHidden/>
              </w:rPr>
              <w:fldChar w:fldCharType="end"/>
            </w:r>
          </w:hyperlink>
        </w:p>
        <w:p w14:paraId="3D0BC129" w14:textId="77777777" w:rsidR="00FA6932" w:rsidRDefault="00FA6932">
          <w:pPr>
            <w:pStyle w:val="Verzeichnis2"/>
            <w:tabs>
              <w:tab w:val="right" w:leader="dot" w:pos="9396"/>
            </w:tabs>
            <w:rPr>
              <w:rFonts w:eastAsiaTheme="minorEastAsia"/>
              <w:noProof/>
              <w:lang w:val="de-DE" w:eastAsia="de-DE"/>
            </w:rPr>
          </w:pPr>
          <w:hyperlink w:anchor="_Toc525298486" w:history="1">
            <w:r w:rsidRPr="00FF5C50">
              <w:rPr>
                <w:rStyle w:val="Hyperlink"/>
                <w:noProof/>
              </w:rPr>
              <w:t>7.13 Gaps in knowledge and data</w:t>
            </w:r>
            <w:r>
              <w:rPr>
                <w:noProof/>
                <w:webHidden/>
              </w:rPr>
              <w:tab/>
            </w:r>
            <w:r>
              <w:rPr>
                <w:noProof/>
                <w:webHidden/>
              </w:rPr>
              <w:fldChar w:fldCharType="begin"/>
            </w:r>
            <w:r>
              <w:rPr>
                <w:noProof/>
                <w:webHidden/>
              </w:rPr>
              <w:instrText xml:space="preserve"> PAGEREF _Toc525298486 \h </w:instrText>
            </w:r>
            <w:r>
              <w:rPr>
                <w:noProof/>
                <w:webHidden/>
              </w:rPr>
            </w:r>
            <w:r>
              <w:rPr>
                <w:noProof/>
                <w:webHidden/>
              </w:rPr>
              <w:fldChar w:fldCharType="separate"/>
            </w:r>
            <w:r>
              <w:rPr>
                <w:noProof/>
                <w:webHidden/>
              </w:rPr>
              <w:t>53</w:t>
            </w:r>
            <w:r>
              <w:rPr>
                <w:noProof/>
                <w:webHidden/>
              </w:rPr>
              <w:fldChar w:fldCharType="end"/>
            </w:r>
          </w:hyperlink>
        </w:p>
        <w:p w14:paraId="06FE064F" w14:textId="77777777" w:rsidR="00FA6932" w:rsidRDefault="00FA6932">
          <w:pPr>
            <w:pStyle w:val="Verzeichnis1"/>
            <w:tabs>
              <w:tab w:val="right" w:leader="dot" w:pos="9396"/>
            </w:tabs>
            <w:rPr>
              <w:rFonts w:eastAsiaTheme="minorEastAsia"/>
              <w:noProof/>
              <w:lang w:val="de-DE" w:eastAsia="de-DE"/>
            </w:rPr>
          </w:pPr>
          <w:hyperlink w:anchor="_Toc525298487" w:history="1">
            <w:r w:rsidRPr="00FF5C50">
              <w:rPr>
                <w:rStyle w:val="Hyperlink"/>
                <w:noProof/>
              </w:rPr>
              <w:t>IPCC AR5 WGIII – Chapter 11: Agriculture, Forestry and Other Land Use (AFOLU)</w:t>
            </w:r>
            <w:r>
              <w:rPr>
                <w:noProof/>
                <w:webHidden/>
              </w:rPr>
              <w:tab/>
            </w:r>
            <w:r>
              <w:rPr>
                <w:noProof/>
                <w:webHidden/>
              </w:rPr>
              <w:fldChar w:fldCharType="begin"/>
            </w:r>
            <w:r>
              <w:rPr>
                <w:noProof/>
                <w:webHidden/>
              </w:rPr>
              <w:instrText xml:space="preserve"> PAGEREF _Toc525298487 \h </w:instrText>
            </w:r>
            <w:r>
              <w:rPr>
                <w:noProof/>
                <w:webHidden/>
              </w:rPr>
            </w:r>
            <w:r>
              <w:rPr>
                <w:noProof/>
                <w:webHidden/>
              </w:rPr>
              <w:fldChar w:fldCharType="separate"/>
            </w:r>
            <w:r>
              <w:rPr>
                <w:noProof/>
                <w:webHidden/>
              </w:rPr>
              <w:t>54</w:t>
            </w:r>
            <w:r>
              <w:rPr>
                <w:noProof/>
                <w:webHidden/>
              </w:rPr>
              <w:fldChar w:fldCharType="end"/>
            </w:r>
          </w:hyperlink>
        </w:p>
        <w:p w14:paraId="5A44B1F4" w14:textId="77777777" w:rsidR="00FA6932" w:rsidRDefault="00FA6932">
          <w:pPr>
            <w:pStyle w:val="Verzeichnis2"/>
            <w:tabs>
              <w:tab w:val="right" w:leader="dot" w:pos="9396"/>
            </w:tabs>
            <w:rPr>
              <w:rFonts w:eastAsiaTheme="minorEastAsia"/>
              <w:noProof/>
              <w:lang w:val="de-DE" w:eastAsia="de-DE"/>
            </w:rPr>
          </w:pPr>
          <w:hyperlink w:anchor="_Toc525298488" w:history="1">
            <w:r w:rsidRPr="00FF5C50">
              <w:rPr>
                <w:rStyle w:val="Hyperlink"/>
                <w:noProof/>
              </w:rPr>
              <w:t>Executive Summary</w:t>
            </w:r>
            <w:r>
              <w:rPr>
                <w:noProof/>
                <w:webHidden/>
              </w:rPr>
              <w:tab/>
            </w:r>
            <w:r>
              <w:rPr>
                <w:noProof/>
                <w:webHidden/>
              </w:rPr>
              <w:fldChar w:fldCharType="begin"/>
            </w:r>
            <w:r>
              <w:rPr>
                <w:noProof/>
                <w:webHidden/>
              </w:rPr>
              <w:instrText xml:space="preserve"> PAGEREF _Toc525298488 \h </w:instrText>
            </w:r>
            <w:r>
              <w:rPr>
                <w:noProof/>
                <w:webHidden/>
              </w:rPr>
            </w:r>
            <w:r>
              <w:rPr>
                <w:noProof/>
                <w:webHidden/>
              </w:rPr>
              <w:fldChar w:fldCharType="separate"/>
            </w:r>
            <w:r>
              <w:rPr>
                <w:noProof/>
                <w:webHidden/>
              </w:rPr>
              <w:t>59</w:t>
            </w:r>
            <w:r>
              <w:rPr>
                <w:noProof/>
                <w:webHidden/>
              </w:rPr>
              <w:fldChar w:fldCharType="end"/>
            </w:r>
          </w:hyperlink>
        </w:p>
        <w:p w14:paraId="186BD2C2" w14:textId="77777777" w:rsidR="00FA6932" w:rsidRDefault="00FA6932">
          <w:pPr>
            <w:pStyle w:val="Verzeichnis2"/>
            <w:tabs>
              <w:tab w:val="right" w:leader="dot" w:pos="9396"/>
            </w:tabs>
            <w:rPr>
              <w:rFonts w:eastAsiaTheme="minorEastAsia"/>
              <w:noProof/>
              <w:lang w:val="de-DE" w:eastAsia="de-DE"/>
            </w:rPr>
          </w:pPr>
          <w:hyperlink w:anchor="_Toc525298489" w:history="1">
            <w:r w:rsidRPr="00FF5C50">
              <w:rPr>
                <w:rStyle w:val="Hyperlink"/>
                <w:noProof/>
              </w:rPr>
              <w:t>11.1 Introduction</w:t>
            </w:r>
            <w:r>
              <w:rPr>
                <w:noProof/>
                <w:webHidden/>
              </w:rPr>
              <w:tab/>
            </w:r>
            <w:r>
              <w:rPr>
                <w:noProof/>
                <w:webHidden/>
              </w:rPr>
              <w:fldChar w:fldCharType="begin"/>
            </w:r>
            <w:r>
              <w:rPr>
                <w:noProof/>
                <w:webHidden/>
              </w:rPr>
              <w:instrText xml:space="preserve"> PAGEREF _Toc525298489 \h </w:instrText>
            </w:r>
            <w:r>
              <w:rPr>
                <w:noProof/>
                <w:webHidden/>
              </w:rPr>
            </w:r>
            <w:r>
              <w:rPr>
                <w:noProof/>
                <w:webHidden/>
              </w:rPr>
              <w:fldChar w:fldCharType="separate"/>
            </w:r>
            <w:r>
              <w:rPr>
                <w:noProof/>
                <w:webHidden/>
              </w:rPr>
              <w:t>60</w:t>
            </w:r>
            <w:r>
              <w:rPr>
                <w:noProof/>
                <w:webHidden/>
              </w:rPr>
              <w:fldChar w:fldCharType="end"/>
            </w:r>
          </w:hyperlink>
        </w:p>
        <w:p w14:paraId="7B810C47" w14:textId="77777777" w:rsidR="00FA6932" w:rsidRDefault="00FA6932">
          <w:pPr>
            <w:pStyle w:val="Verzeichnis2"/>
            <w:tabs>
              <w:tab w:val="right" w:leader="dot" w:pos="9396"/>
            </w:tabs>
            <w:rPr>
              <w:rFonts w:eastAsiaTheme="minorEastAsia"/>
              <w:noProof/>
              <w:lang w:val="de-DE" w:eastAsia="de-DE"/>
            </w:rPr>
          </w:pPr>
          <w:hyperlink w:anchor="_Toc525298490" w:history="1">
            <w:r w:rsidRPr="00FF5C50">
              <w:rPr>
                <w:rStyle w:val="Hyperlink"/>
                <w:noProof/>
              </w:rPr>
              <w:t>11.3 Mitigation technology options and practices, and behavioural aspects</w:t>
            </w:r>
            <w:r>
              <w:rPr>
                <w:noProof/>
                <w:webHidden/>
              </w:rPr>
              <w:tab/>
            </w:r>
            <w:r>
              <w:rPr>
                <w:noProof/>
                <w:webHidden/>
              </w:rPr>
              <w:fldChar w:fldCharType="begin"/>
            </w:r>
            <w:r>
              <w:rPr>
                <w:noProof/>
                <w:webHidden/>
              </w:rPr>
              <w:instrText xml:space="preserve"> PAGEREF _Toc525298490 \h </w:instrText>
            </w:r>
            <w:r>
              <w:rPr>
                <w:noProof/>
                <w:webHidden/>
              </w:rPr>
            </w:r>
            <w:r>
              <w:rPr>
                <w:noProof/>
                <w:webHidden/>
              </w:rPr>
              <w:fldChar w:fldCharType="separate"/>
            </w:r>
            <w:r>
              <w:rPr>
                <w:noProof/>
                <w:webHidden/>
              </w:rPr>
              <w:t>61</w:t>
            </w:r>
            <w:r>
              <w:rPr>
                <w:noProof/>
                <w:webHidden/>
              </w:rPr>
              <w:fldChar w:fldCharType="end"/>
            </w:r>
          </w:hyperlink>
        </w:p>
        <w:p w14:paraId="20C0FBA7" w14:textId="77777777" w:rsidR="00FA6932" w:rsidRDefault="00FA6932">
          <w:pPr>
            <w:pStyle w:val="Verzeichnis2"/>
            <w:tabs>
              <w:tab w:val="right" w:leader="dot" w:pos="9396"/>
            </w:tabs>
            <w:rPr>
              <w:rFonts w:eastAsiaTheme="minorEastAsia"/>
              <w:noProof/>
              <w:lang w:val="de-DE" w:eastAsia="de-DE"/>
            </w:rPr>
          </w:pPr>
          <w:hyperlink w:anchor="_Toc525298491" w:history="1">
            <w:r w:rsidRPr="00FF5C50">
              <w:rPr>
                <w:rStyle w:val="Hyperlink"/>
                <w:noProof/>
              </w:rPr>
              <w:t xml:space="preserve">Mitigation activities in the AFOLU sector can reduce climate forcing in different ways: • Reductions in CH4 or N2O emissions from croplands, grazing lands, and livestock. • Conservation of existing carbon stocks, e.g., conservation of forest biomass, peatlands, and soil carbon that would otherwise be lost. • Reductions of carbon losses from biota and soils, e.g., through management changes within the same land-use type (e.g., reducing soil carbon loss by switching from tillage to no-till cropping) or by reducing losses of carbon-rich ecosystems, e.g., reduced deforestation, rewetting of drained </w:t>
            </w:r>
            <w:r w:rsidRPr="00FF5C50">
              <w:rPr>
                <w:rStyle w:val="Hyperlink"/>
                <w:noProof/>
              </w:rPr>
              <w:lastRenderedPageBreak/>
              <w:t>peatlands. • Enhancement of carbon sequestration in soils, biota, and longlived products through increases in the area of carbon-rich ecosystems such as forests (afforestation, reforestation), increased carbon storage per unit area, e.g., increased stocking density in forests, carbon sequestration in soils, and wood use in construction activities. • Changes in albedo resulting from land-use and land-cover change that increase reflection of visible light. • Provision of products with low GHG emissions that can replace products with higher GHG emissions for delivering the same service (e.g., replacement of concrete and steel in buildings with wood, some bioenergy options; see Section 11.13). • Reductions of direct (e.g., agricultural machinery, pumps, fishing craft) or indirect (e.g., production of fertilizers, emissions resulting from fossil energy use in agriculture, fisheries, aquaculture, and forestry or from production of inputs); though indirect emission reductions are accounted for in the energy end-use sectors (buildings, industry, energy generation, transport) so are not discussed further in detail in this chapter.</w:t>
            </w:r>
            <w:r>
              <w:rPr>
                <w:noProof/>
                <w:webHidden/>
              </w:rPr>
              <w:tab/>
            </w:r>
            <w:r>
              <w:rPr>
                <w:noProof/>
                <w:webHidden/>
              </w:rPr>
              <w:fldChar w:fldCharType="begin"/>
            </w:r>
            <w:r>
              <w:rPr>
                <w:noProof/>
                <w:webHidden/>
              </w:rPr>
              <w:instrText xml:space="preserve"> PAGEREF _Toc525298491 \h </w:instrText>
            </w:r>
            <w:r>
              <w:rPr>
                <w:noProof/>
                <w:webHidden/>
              </w:rPr>
            </w:r>
            <w:r>
              <w:rPr>
                <w:noProof/>
                <w:webHidden/>
              </w:rPr>
              <w:fldChar w:fldCharType="separate"/>
            </w:r>
            <w:r>
              <w:rPr>
                <w:noProof/>
                <w:webHidden/>
              </w:rPr>
              <w:t>61</w:t>
            </w:r>
            <w:r>
              <w:rPr>
                <w:noProof/>
                <w:webHidden/>
              </w:rPr>
              <w:fldChar w:fldCharType="end"/>
            </w:r>
          </w:hyperlink>
        </w:p>
        <w:p w14:paraId="2682F2E3" w14:textId="77777777" w:rsidR="00FA6932" w:rsidRDefault="00FA6932">
          <w:pPr>
            <w:pStyle w:val="Verzeichnis2"/>
            <w:tabs>
              <w:tab w:val="right" w:leader="dot" w:pos="9396"/>
            </w:tabs>
            <w:rPr>
              <w:rFonts w:eastAsiaTheme="minorEastAsia"/>
              <w:noProof/>
              <w:lang w:val="de-DE" w:eastAsia="de-DE"/>
            </w:rPr>
          </w:pPr>
          <w:hyperlink w:anchor="_Toc525298492" w:history="1">
            <w:r w:rsidRPr="00FF5C50">
              <w:rPr>
                <w:rStyle w:val="Hyperlink"/>
                <w:noProof/>
              </w:rPr>
              <w:t>11.3.2 Mitigation effectiveness (non-permanence: saturation, human and natural impacts, displacement)</w:t>
            </w:r>
            <w:r>
              <w:rPr>
                <w:noProof/>
                <w:webHidden/>
              </w:rPr>
              <w:tab/>
            </w:r>
            <w:r>
              <w:rPr>
                <w:noProof/>
                <w:webHidden/>
              </w:rPr>
              <w:fldChar w:fldCharType="begin"/>
            </w:r>
            <w:r>
              <w:rPr>
                <w:noProof/>
                <w:webHidden/>
              </w:rPr>
              <w:instrText xml:space="preserve"> PAGEREF _Toc525298492 \h </w:instrText>
            </w:r>
            <w:r>
              <w:rPr>
                <w:noProof/>
                <w:webHidden/>
              </w:rPr>
            </w:r>
            <w:r>
              <w:rPr>
                <w:noProof/>
                <w:webHidden/>
              </w:rPr>
              <w:fldChar w:fldCharType="separate"/>
            </w:r>
            <w:r>
              <w:rPr>
                <w:noProof/>
                <w:webHidden/>
              </w:rPr>
              <w:t>61</w:t>
            </w:r>
            <w:r>
              <w:rPr>
                <w:noProof/>
                <w:webHidden/>
              </w:rPr>
              <w:fldChar w:fldCharType="end"/>
            </w:r>
          </w:hyperlink>
        </w:p>
        <w:p w14:paraId="08ACB14E" w14:textId="77777777" w:rsidR="00FA6932" w:rsidRDefault="00FA6932">
          <w:pPr>
            <w:pStyle w:val="Verzeichnis2"/>
            <w:tabs>
              <w:tab w:val="right" w:leader="dot" w:pos="9396"/>
            </w:tabs>
            <w:rPr>
              <w:rFonts w:eastAsiaTheme="minorEastAsia"/>
              <w:noProof/>
              <w:lang w:val="de-DE" w:eastAsia="de-DE"/>
            </w:rPr>
          </w:pPr>
          <w:hyperlink w:anchor="_Toc525298493" w:history="1">
            <w:r w:rsidRPr="00FF5C50">
              <w:rPr>
                <w:rStyle w:val="Hyperlink"/>
                <w:noProof/>
              </w:rPr>
              <w:t>11.4.4 Feedbacks of changes in land demand</w:t>
            </w:r>
            <w:r>
              <w:rPr>
                <w:noProof/>
                <w:webHidden/>
              </w:rPr>
              <w:tab/>
            </w:r>
            <w:r>
              <w:rPr>
                <w:noProof/>
                <w:webHidden/>
              </w:rPr>
              <w:fldChar w:fldCharType="begin"/>
            </w:r>
            <w:r>
              <w:rPr>
                <w:noProof/>
                <w:webHidden/>
              </w:rPr>
              <w:instrText xml:space="preserve"> PAGEREF _Toc525298493 \h </w:instrText>
            </w:r>
            <w:r>
              <w:rPr>
                <w:noProof/>
                <w:webHidden/>
              </w:rPr>
            </w:r>
            <w:r>
              <w:rPr>
                <w:noProof/>
                <w:webHidden/>
              </w:rPr>
              <w:fldChar w:fldCharType="separate"/>
            </w:r>
            <w:r>
              <w:rPr>
                <w:noProof/>
                <w:webHidden/>
              </w:rPr>
              <w:t>62</w:t>
            </w:r>
            <w:r>
              <w:rPr>
                <w:noProof/>
                <w:webHidden/>
              </w:rPr>
              <w:fldChar w:fldCharType="end"/>
            </w:r>
          </w:hyperlink>
        </w:p>
        <w:p w14:paraId="641AB1B5" w14:textId="77777777" w:rsidR="00FA6932" w:rsidRDefault="00FA6932">
          <w:pPr>
            <w:pStyle w:val="Verzeichnis2"/>
            <w:tabs>
              <w:tab w:val="right" w:leader="dot" w:pos="9396"/>
            </w:tabs>
            <w:rPr>
              <w:rFonts w:eastAsiaTheme="minorEastAsia"/>
              <w:noProof/>
              <w:lang w:val="de-DE" w:eastAsia="de-DE"/>
            </w:rPr>
          </w:pPr>
          <w:hyperlink w:anchor="_Toc525298494" w:history="1">
            <w:r w:rsidRPr="00FF5C50">
              <w:rPr>
                <w:rStyle w:val="Hyperlink"/>
                <w:noProof/>
              </w:rPr>
              <w:t>11.5.5 Mitigation and adaptation synergies and tradeoffs</w:t>
            </w:r>
            <w:r>
              <w:rPr>
                <w:noProof/>
                <w:webHidden/>
              </w:rPr>
              <w:tab/>
            </w:r>
            <w:r>
              <w:rPr>
                <w:noProof/>
                <w:webHidden/>
              </w:rPr>
              <w:fldChar w:fldCharType="begin"/>
            </w:r>
            <w:r>
              <w:rPr>
                <w:noProof/>
                <w:webHidden/>
              </w:rPr>
              <w:instrText xml:space="preserve"> PAGEREF _Toc525298494 \h </w:instrText>
            </w:r>
            <w:r>
              <w:rPr>
                <w:noProof/>
                <w:webHidden/>
              </w:rPr>
            </w:r>
            <w:r>
              <w:rPr>
                <w:noProof/>
                <w:webHidden/>
              </w:rPr>
              <w:fldChar w:fldCharType="separate"/>
            </w:r>
            <w:r>
              <w:rPr>
                <w:noProof/>
                <w:webHidden/>
              </w:rPr>
              <w:t>63</w:t>
            </w:r>
            <w:r>
              <w:rPr>
                <w:noProof/>
                <w:webHidden/>
              </w:rPr>
              <w:fldChar w:fldCharType="end"/>
            </w:r>
          </w:hyperlink>
        </w:p>
        <w:p w14:paraId="6F206BAE" w14:textId="77777777" w:rsidR="00FA6932" w:rsidRDefault="00FA6932">
          <w:pPr>
            <w:pStyle w:val="Verzeichnis2"/>
            <w:tabs>
              <w:tab w:val="right" w:leader="dot" w:pos="9396"/>
            </w:tabs>
            <w:rPr>
              <w:rFonts w:eastAsiaTheme="minorEastAsia"/>
              <w:noProof/>
              <w:lang w:val="de-DE" w:eastAsia="de-DE"/>
            </w:rPr>
          </w:pPr>
          <w:hyperlink w:anchor="_Toc525298495" w:history="1">
            <w:r w:rsidRPr="00FF5C50">
              <w:rPr>
                <w:rStyle w:val="Hyperlink"/>
                <w:noProof/>
              </w:rPr>
              <w:t>11.6.2 Global estimates of costs and potentials in the AFOLU sector</w:t>
            </w:r>
            <w:r>
              <w:rPr>
                <w:noProof/>
                <w:webHidden/>
              </w:rPr>
              <w:tab/>
            </w:r>
            <w:r>
              <w:rPr>
                <w:noProof/>
                <w:webHidden/>
              </w:rPr>
              <w:fldChar w:fldCharType="begin"/>
            </w:r>
            <w:r>
              <w:rPr>
                <w:noProof/>
                <w:webHidden/>
              </w:rPr>
              <w:instrText xml:space="preserve"> PAGEREF _Toc525298495 \h </w:instrText>
            </w:r>
            <w:r>
              <w:rPr>
                <w:noProof/>
                <w:webHidden/>
              </w:rPr>
            </w:r>
            <w:r>
              <w:rPr>
                <w:noProof/>
                <w:webHidden/>
              </w:rPr>
              <w:fldChar w:fldCharType="separate"/>
            </w:r>
            <w:r>
              <w:rPr>
                <w:noProof/>
                <w:webHidden/>
              </w:rPr>
              <w:t>64</w:t>
            </w:r>
            <w:r>
              <w:rPr>
                <w:noProof/>
                <w:webHidden/>
              </w:rPr>
              <w:fldChar w:fldCharType="end"/>
            </w:r>
          </w:hyperlink>
        </w:p>
        <w:p w14:paraId="49CFE6E0" w14:textId="77777777" w:rsidR="00FA6932" w:rsidRDefault="00FA6932">
          <w:pPr>
            <w:pStyle w:val="Verzeichnis2"/>
            <w:tabs>
              <w:tab w:val="right" w:leader="dot" w:pos="9396"/>
            </w:tabs>
            <w:rPr>
              <w:rFonts w:eastAsiaTheme="minorEastAsia"/>
              <w:noProof/>
              <w:lang w:val="de-DE" w:eastAsia="de-DE"/>
            </w:rPr>
          </w:pPr>
          <w:hyperlink w:anchor="_Toc525298496" w:history="1">
            <w:r w:rsidRPr="00FF5C50">
              <w:rPr>
                <w:rStyle w:val="Hyperlink"/>
                <w:noProof/>
              </w:rPr>
              <w:t>11.6.3 Regional disaggregation of global costs and potentials in the AFOLU sector</w:t>
            </w:r>
            <w:r>
              <w:rPr>
                <w:noProof/>
                <w:webHidden/>
              </w:rPr>
              <w:tab/>
            </w:r>
            <w:r>
              <w:rPr>
                <w:noProof/>
                <w:webHidden/>
              </w:rPr>
              <w:fldChar w:fldCharType="begin"/>
            </w:r>
            <w:r>
              <w:rPr>
                <w:noProof/>
                <w:webHidden/>
              </w:rPr>
              <w:instrText xml:space="preserve"> PAGEREF _Toc525298496 \h </w:instrText>
            </w:r>
            <w:r>
              <w:rPr>
                <w:noProof/>
                <w:webHidden/>
              </w:rPr>
            </w:r>
            <w:r>
              <w:rPr>
                <w:noProof/>
                <w:webHidden/>
              </w:rPr>
              <w:fldChar w:fldCharType="separate"/>
            </w:r>
            <w:r>
              <w:rPr>
                <w:noProof/>
                <w:webHidden/>
              </w:rPr>
              <w:t>64</w:t>
            </w:r>
            <w:r>
              <w:rPr>
                <w:noProof/>
                <w:webHidden/>
              </w:rPr>
              <w:fldChar w:fldCharType="end"/>
            </w:r>
          </w:hyperlink>
        </w:p>
        <w:p w14:paraId="47D8F22C" w14:textId="77777777" w:rsidR="00FA6932" w:rsidRDefault="00FA6932">
          <w:pPr>
            <w:pStyle w:val="Verzeichnis2"/>
            <w:tabs>
              <w:tab w:val="right" w:leader="dot" w:pos="9396"/>
            </w:tabs>
            <w:rPr>
              <w:rFonts w:eastAsiaTheme="minorEastAsia"/>
              <w:noProof/>
              <w:lang w:val="de-DE" w:eastAsia="de-DE"/>
            </w:rPr>
          </w:pPr>
          <w:hyperlink w:anchor="_Toc525298497" w:history="1">
            <w:r w:rsidRPr="00FF5C50">
              <w:rPr>
                <w:rStyle w:val="Hyperlink"/>
                <w:noProof/>
              </w:rPr>
              <w:t>11.7.1 Socio-economic effects</w:t>
            </w:r>
            <w:r>
              <w:rPr>
                <w:noProof/>
                <w:webHidden/>
              </w:rPr>
              <w:tab/>
            </w:r>
            <w:r>
              <w:rPr>
                <w:noProof/>
                <w:webHidden/>
              </w:rPr>
              <w:fldChar w:fldCharType="begin"/>
            </w:r>
            <w:r>
              <w:rPr>
                <w:noProof/>
                <w:webHidden/>
              </w:rPr>
              <w:instrText xml:space="preserve"> PAGEREF _Toc525298497 \h </w:instrText>
            </w:r>
            <w:r>
              <w:rPr>
                <w:noProof/>
                <w:webHidden/>
              </w:rPr>
            </w:r>
            <w:r>
              <w:rPr>
                <w:noProof/>
                <w:webHidden/>
              </w:rPr>
              <w:fldChar w:fldCharType="separate"/>
            </w:r>
            <w:r>
              <w:rPr>
                <w:noProof/>
                <w:webHidden/>
              </w:rPr>
              <w:t>64</w:t>
            </w:r>
            <w:r>
              <w:rPr>
                <w:noProof/>
                <w:webHidden/>
              </w:rPr>
              <w:fldChar w:fldCharType="end"/>
            </w:r>
          </w:hyperlink>
        </w:p>
        <w:p w14:paraId="68CF50CF" w14:textId="77777777" w:rsidR="00FA6932" w:rsidRDefault="00FA6932">
          <w:pPr>
            <w:pStyle w:val="Verzeichnis2"/>
            <w:tabs>
              <w:tab w:val="right" w:leader="dot" w:pos="9396"/>
            </w:tabs>
            <w:rPr>
              <w:rFonts w:eastAsiaTheme="minorEastAsia"/>
              <w:noProof/>
              <w:lang w:val="de-DE" w:eastAsia="de-DE"/>
            </w:rPr>
          </w:pPr>
          <w:hyperlink w:anchor="_Toc525298498" w:history="1">
            <w:r w:rsidRPr="00FF5C50">
              <w:rPr>
                <w:rStyle w:val="Hyperlink"/>
                <w:noProof/>
              </w:rPr>
              <w:t>11.7.2 Environmental effects</w:t>
            </w:r>
            <w:r>
              <w:rPr>
                <w:noProof/>
                <w:webHidden/>
              </w:rPr>
              <w:tab/>
            </w:r>
            <w:r>
              <w:rPr>
                <w:noProof/>
                <w:webHidden/>
              </w:rPr>
              <w:fldChar w:fldCharType="begin"/>
            </w:r>
            <w:r>
              <w:rPr>
                <w:noProof/>
                <w:webHidden/>
              </w:rPr>
              <w:instrText xml:space="preserve"> PAGEREF _Toc525298498 \h </w:instrText>
            </w:r>
            <w:r>
              <w:rPr>
                <w:noProof/>
                <w:webHidden/>
              </w:rPr>
            </w:r>
            <w:r>
              <w:rPr>
                <w:noProof/>
                <w:webHidden/>
              </w:rPr>
              <w:fldChar w:fldCharType="separate"/>
            </w:r>
            <w:r>
              <w:rPr>
                <w:noProof/>
                <w:webHidden/>
              </w:rPr>
              <w:t>65</w:t>
            </w:r>
            <w:r>
              <w:rPr>
                <w:noProof/>
                <w:webHidden/>
              </w:rPr>
              <w:fldChar w:fldCharType="end"/>
            </w:r>
          </w:hyperlink>
        </w:p>
        <w:p w14:paraId="745BF255" w14:textId="77777777" w:rsidR="00FA6932" w:rsidRDefault="00FA6932">
          <w:pPr>
            <w:pStyle w:val="Verzeichnis2"/>
            <w:tabs>
              <w:tab w:val="right" w:leader="dot" w:pos="9396"/>
            </w:tabs>
            <w:rPr>
              <w:rFonts w:eastAsiaTheme="minorEastAsia"/>
              <w:noProof/>
              <w:lang w:val="de-DE" w:eastAsia="de-DE"/>
            </w:rPr>
          </w:pPr>
          <w:hyperlink w:anchor="_Toc525298499" w:history="1">
            <w:r w:rsidRPr="00FF5C50">
              <w:rPr>
                <w:rStyle w:val="Hyperlink"/>
                <w:noProof/>
              </w:rPr>
              <w:t>11.7.3 Public perception</w:t>
            </w:r>
            <w:r>
              <w:rPr>
                <w:noProof/>
                <w:webHidden/>
              </w:rPr>
              <w:tab/>
            </w:r>
            <w:r>
              <w:rPr>
                <w:noProof/>
                <w:webHidden/>
              </w:rPr>
              <w:fldChar w:fldCharType="begin"/>
            </w:r>
            <w:r>
              <w:rPr>
                <w:noProof/>
                <w:webHidden/>
              </w:rPr>
              <w:instrText xml:space="preserve"> PAGEREF _Toc525298499 \h </w:instrText>
            </w:r>
            <w:r>
              <w:rPr>
                <w:noProof/>
                <w:webHidden/>
              </w:rPr>
            </w:r>
            <w:r>
              <w:rPr>
                <w:noProof/>
                <w:webHidden/>
              </w:rPr>
              <w:fldChar w:fldCharType="separate"/>
            </w:r>
            <w:r>
              <w:rPr>
                <w:noProof/>
                <w:webHidden/>
              </w:rPr>
              <w:t>65</w:t>
            </w:r>
            <w:r>
              <w:rPr>
                <w:noProof/>
                <w:webHidden/>
              </w:rPr>
              <w:fldChar w:fldCharType="end"/>
            </w:r>
          </w:hyperlink>
        </w:p>
        <w:p w14:paraId="066C9E9E" w14:textId="77777777" w:rsidR="00FA6932" w:rsidRDefault="00FA6932">
          <w:pPr>
            <w:pStyle w:val="Verzeichnis2"/>
            <w:tabs>
              <w:tab w:val="right" w:leader="dot" w:pos="9396"/>
            </w:tabs>
            <w:rPr>
              <w:rFonts w:eastAsiaTheme="minorEastAsia"/>
              <w:noProof/>
              <w:lang w:val="de-DE" w:eastAsia="de-DE"/>
            </w:rPr>
          </w:pPr>
          <w:hyperlink w:anchor="_Toc525298500" w:history="1">
            <w:r w:rsidRPr="00FF5C50">
              <w:rPr>
                <w:rStyle w:val="Hyperlink"/>
                <w:noProof/>
              </w:rPr>
              <w:t>11.8.4 Technological barriers and opportunities</w:t>
            </w:r>
            <w:r>
              <w:rPr>
                <w:noProof/>
                <w:webHidden/>
              </w:rPr>
              <w:tab/>
            </w:r>
            <w:r>
              <w:rPr>
                <w:noProof/>
                <w:webHidden/>
              </w:rPr>
              <w:fldChar w:fldCharType="begin"/>
            </w:r>
            <w:r>
              <w:rPr>
                <w:noProof/>
                <w:webHidden/>
              </w:rPr>
              <w:instrText xml:space="preserve"> PAGEREF _Toc525298500 \h </w:instrText>
            </w:r>
            <w:r>
              <w:rPr>
                <w:noProof/>
                <w:webHidden/>
              </w:rPr>
            </w:r>
            <w:r>
              <w:rPr>
                <w:noProof/>
                <w:webHidden/>
              </w:rPr>
              <w:fldChar w:fldCharType="separate"/>
            </w:r>
            <w:r>
              <w:rPr>
                <w:noProof/>
                <w:webHidden/>
              </w:rPr>
              <w:t>66</w:t>
            </w:r>
            <w:r>
              <w:rPr>
                <w:noProof/>
                <w:webHidden/>
              </w:rPr>
              <w:fldChar w:fldCharType="end"/>
            </w:r>
          </w:hyperlink>
        </w:p>
        <w:p w14:paraId="100DD111" w14:textId="77777777" w:rsidR="00FA6932" w:rsidRDefault="00FA6932">
          <w:pPr>
            <w:pStyle w:val="Verzeichnis2"/>
            <w:tabs>
              <w:tab w:val="right" w:leader="dot" w:pos="9396"/>
            </w:tabs>
            <w:rPr>
              <w:rFonts w:eastAsiaTheme="minorEastAsia"/>
              <w:noProof/>
              <w:lang w:val="de-DE" w:eastAsia="de-DE"/>
            </w:rPr>
          </w:pPr>
          <w:hyperlink w:anchor="_Toc525298501" w:history="1">
            <w:r w:rsidRPr="00FF5C50">
              <w:rPr>
                <w:rStyle w:val="Hyperlink"/>
                <w:noProof/>
              </w:rPr>
              <w:t>11.9.1 Characterization of transformation pathways</w:t>
            </w:r>
            <w:r>
              <w:rPr>
                <w:noProof/>
                <w:webHidden/>
              </w:rPr>
              <w:tab/>
            </w:r>
            <w:r>
              <w:rPr>
                <w:noProof/>
                <w:webHidden/>
              </w:rPr>
              <w:fldChar w:fldCharType="begin"/>
            </w:r>
            <w:r>
              <w:rPr>
                <w:noProof/>
                <w:webHidden/>
              </w:rPr>
              <w:instrText xml:space="preserve"> PAGEREF _Toc525298501 \h </w:instrText>
            </w:r>
            <w:r>
              <w:rPr>
                <w:noProof/>
                <w:webHidden/>
              </w:rPr>
            </w:r>
            <w:r>
              <w:rPr>
                <w:noProof/>
                <w:webHidden/>
              </w:rPr>
              <w:fldChar w:fldCharType="separate"/>
            </w:r>
            <w:r>
              <w:rPr>
                <w:noProof/>
                <w:webHidden/>
              </w:rPr>
              <w:t>66</w:t>
            </w:r>
            <w:r>
              <w:rPr>
                <w:noProof/>
                <w:webHidden/>
              </w:rPr>
              <w:fldChar w:fldCharType="end"/>
            </w:r>
          </w:hyperlink>
        </w:p>
        <w:p w14:paraId="7D1A3F75" w14:textId="77777777" w:rsidR="00FA6932" w:rsidRDefault="00FA6932">
          <w:pPr>
            <w:pStyle w:val="Verzeichnis2"/>
            <w:tabs>
              <w:tab w:val="right" w:leader="dot" w:pos="9396"/>
            </w:tabs>
            <w:rPr>
              <w:rFonts w:eastAsiaTheme="minorEastAsia"/>
              <w:noProof/>
              <w:lang w:val="de-DE" w:eastAsia="de-DE"/>
            </w:rPr>
          </w:pPr>
          <w:hyperlink w:anchor="_Toc525298502" w:history="1">
            <w:r w:rsidRPr="00FF5C50">
              <w:rPr>
                <w:rStyle w:val="Hyperlink"/>
                <w:noProof/>
              </w:rPr>
              <w:t>11.9.2 Implications of transformation pathways for the AFOLU sector</w:t>
            </w:r>
            <w:r>
              <w:rPr>
                <w:noProof/>
                <w:webHidden/>
              </w:rPr>
              <w:tab/>
            </w:r>
            <w:r>
              <w:rPr>
                <w:noProof/>
                <w:webHidden/>
              </w:rPr>
              <w:fldChar w:fldCharType="begin"/>
            </w:r>
            <w:r>
              <w:rPr>
                <w:noProof/>
                <w:webHidden/>
              </w:rPr>
              <w:instrText xml:space="preserve"> PAGEREF _Toc525298502 \h </w:instrText>
            </w:r>
            <w:r>
              <w:rPr>
                <w:noProof/>
                <w:webHidden/>
              </w:rPr>
            </w:r>
            <w:r>
              <w:rPr>
                <w:noProof/>
                <w:webHidden/>
              </w:rPr>
              <w:fldChar w:fldCharType="separate"/>
            </w:r>
            <w:r>
              <w:rPr>
                <w:noProof/>
                <w:webHidden/>
              </w:rPr>
              <w:t>67</w:t>
            </w:r>
            <w:r>
              <w:rPr>
                <w:noProof/>
                <w:webHidden/>
              </w:rPr>
              <w:fldChar w:fldCharType="end"/>
            </w:r>
          </w:hyperlink>
        </w:p>
        <w:p w14:paraId="730153E0" w14:textId="77777777" w:rsidR="00FA6932" w:rsidRDefault="00FA6932">
          <w:pPr>
            <w:pStyle w:val="Verzeichnis2"/>
            <w:tabs>
              <w:tab w:val="right" w:leader="dot" w:pos="9396"/>
            </w:tabs>
            <w:rPr>
              <w:rFonts w:eastAsiaTheme="minorEastAsia"/>
              <w:noProof/>
              <w:lang w:val="de-DE" w:eastAsia="de-DE"/>
            </w:rPr>
          </w:pPr>
          <w:hyperlink w:anchor="_Toc525298503" w:history="1">
            <w:r w:rsidRPr="00FF5C50">
              <w:rPr>
                <w:rStyle w:val="Hyperlink"/>
                <w:noProof/>
              </w:rPr>
              <w:t>11.13 Appendix Bioenergy: Climate effects, mitigation options, potential and sustain- ability implications 11.13.1 Introduction</w:t>
            </w:r>
            <w:r>
              <w:rPr>
                <w:noProof/>
                <w:webHidden/>
              </w:rPr>
              <w:tab/>
            </w:r>
            <w:r>
              <w:rPr>
                <w:noProof/>
                <w:webHidden/>
              </w:rPr>
              <w:fldChar w:fldCharType="begin"/>
            </w:r>
            <w:r>
              <w:rPr>
                <w:noProof/>
                <w:webHidden/>
              </w:rPr>
              <w:instrText xml:space="preserve"> PAGEREF _Toc525298503 \h </w:instrText>
            </w:r>
            <w:r>
              <w:rPr>
                <w:noProof/>
                <w:webHidden/>
              </w:rPr>
            </w:r>
            <w:r>
              <w:rPr>
                <w:noProof/>
                <w:webHidden/>
              </w:rPr>
              <w:fldChar w:fldCharType="separate"/>
            </w:r>
            <w:r>
              <w:rPr>
                <w:noProof/>
                <w:webHidden/>
              </w:rPr>
              <w:t>67</w:t>
            </w:r>
            <w:r>
              <w:rPr>
                <w:noProof/>
                <w:webHidden/>
              </w:rPr>
              <w:fldChar w:fldCharType="end"/>
            </w:r>
          </w:hyperlink>
        </w:p>
        <w:p w14:paraId="14FBB9A1" w14:textId="77777777" w:rsidR="00FA6932" w:rsidRDefault="00FA6932">
          <w:pPr>
            <w:pStyle w:val="Verzeichnis2"/>
            <w:tabs>
              <w:tab w:val="right" w:leader="dot" w:pos="9396"/>
            </w:tabs>
            <w:rPr>
              <w:rFonts w:eastAsiaTheme="minorEastAsia"/>
              <w:noProof/>
              <w:lang w:val="de-DE" w:eastAsia="de-DE"/>
            </w:rPr>
          </w:pPr>
          <w:hyperlink w:anchor="_Toc525298504" w:history="1">
            <w:r w:rsidRPr="00FF5C50">
              <w:rPr>
                <w:rStyle w:val="Hyperlink"/>
                <w:noProof/>
              </w:rPr>
              <w:t>11.13.3 Bioenergy conversion: technologies and management practices</w:t>
            </w:r>
            <w:r>
              <w:rPr>
                <w:noProof/>
                <w:webHidden/>
              </w:rPr>
              <w:tab/>
            </w:r>
            <w:r>
              <w:rPr>
                <w:noProof/>
                <w:webHidden/>
              </w:rPr>
              <w:fldChar w:fldCharType="begin"/>
            </w:r>
            <w:r>
              <w:rPr>
                <w:noProof/>
                <w:webHidden/>
              </w:rPr>
              <w:instrText xml:space="preserve"> PAGEREF _Toc525298504 \h </w:instrText>
            </w:r>
            <w:r>
              <w:rPr>
                <w:noProof/>
                <w:webHidden/>
              </w:rPr>
            </w:r>
            <w:r>
              <w:rPr>
                <w:noProof/>
                <w:webHidden/>
              </w:rPr>
              <w:fldChar w:fldCharType="separate"/>
            </w:r>
            <w:r>
              <w:rPr>
                <w:noProof/>
                <w:webHidden/>
              </w:rPr>
              <w:t>68</w:t>
            </w:r>
            <w:r>
              <w:rPr>
                <w:noProof/>
                <w:webHidden/>
              </w:rPr>
              <w:fldChar w:fldCharType="end"/>
            </w:r>
          </w:hyperlink>
        </w:p>
        <w:p w14:paraId="180D15B4" w14:textId="77777777" w:rsidR="00FA6932" w:rsidRDefault="00FA6932">
          <w:pPr>
            <w:pStyle w:val="Verzeichnis2"/>
            <w:tabs>
              <w:tab w:val="right" w:leader="dot" w:pos="9396"/>
            </w:tabs>
            <w:rPr>
              <w:rFonts w:eastAsiaTheme="minorEastAsia"/>
              <w:noProof/>
              <w:lang w:val="de-DE" w:eastAsia="de-DE"/>
            </w:rPr>
          </w:pPr>
          <w:hyperlink w:anchor="_Toc525298505" w:history="1">
            <w:r w:rsidRPr="00FF5C50">
              <w:rPr>
                <w:rStyle w:val="Hyperlink"/>
                <w:noProof/>
              </w:rPr>
              <w:t>11.13.4 GHG emission estimates of bioenergy production systems</w:t>
            </w:r>
            <w:r>
              <w:rPr>
                <w:noProof/>
                <w:webHidden/>
              </w:rPr>
              <w:tab/>
            </w:r>
            <w:r>
              <w:rPr>
                <w:noProof/>
                <w:webHidden/>
              </w:rPr>
              <w:fldChar w:fldCharType="begin"/>
            </w:r>
            <w:r>
              <w:rPr>
                <w:noProof/>
                <w:webHidden/>
              </w:rPr>
              <w:instrText xml:space="preserve"> PAGEREF _Toc525298505 \h </w:instrText>
            </w:r>
            <w:r>
              <w:rPr>
                <w:noProof/>
                <w:webHidden/>
              </w:rPr>
            </w:r>
            <w:r>
              <w:rPr>
                <w:noProof/>
                <w:webHidden/>
              </w:rPr>
              <w:fldChar w:fldCharType="separate"/>
            </w:r>
            <w:r>
              <w:rPr>
                <w:noProof/>
                <w:webHidden/>
              </w:rPr>
              <w:t>69</w:t>
            </w:r>
            <w:r>
              <w:rPr>
                <w:noProof/>
                <w:webHidden/>
              </w:rPr>
              <w:fldChar w:fldCharType="end"/>
            </w:r>
          </w:hyperlink>
        </w:p>
        <w:p w14:paraId="4906676B" w14:textId="77777777" w:rsidR="00FA6932" w:rsidRDefault="00FA6932">
          <w:pPr>
            <w:pStyle w:val="Verzeichnis2"/>
            <w:tabs>
              <w:tab w:val="right" w:leader="dot" w:pos="9396"/>
            </w:tabs>
            <w:rPr>
              <w:rFonts w:eastAsiaTheme="minorEastAsia"/>
              <w:noProof/>
              <w:lang w:val="de-DE" w:eastAsia="de-DE"/>
            </w:rPr>
          </w:pPr>
          <w:hyperlink w:anchor="_Toc525298506" w:history="1">
            <w:r w:rsidRPr="00FF5C50">
              <w:rPr>
                <w:rStyle w:val="Hyperlink"/>
                <w:noProof/>
              </w:rPr>
              <w:t>11.13.5 Aggregate future potential deployment in integrated models</w:t>
            </w:r>
            <w:r>
              <w:rPr>
                <w:noProof/>
                <w:webHidden/>
              </w:rPr>
              <w:tab/>
            </w:r>
            <w:r>
              <w:rPr>
                <w:noProof/>
                <w:webHidden/>
              </w:rPr>
              <w:fldChar w:fldCharType="begin"/>
            </w:r>
            <w:r>
              <w:rPr>
                <w:noProof/>
                <w:webHidden/>
              </w:rPr>
              <w:instrText xml:space="preserve"> PAGEREF _Toc525298506 \h </w:instrText>
            </w:r>
            <w:r>
              <w:rPr>
                <w:noProof/>
                <w:webHidden/>
              </w:rPr>
            </w:r>
            <w:r>
              <w:rPr>
                <w:noProof/>
                <w:webHidden/>
              </w:rPr>
              <w:fldChar w:fldCharType="separate"/>
            </w:r>
            <w:r>
              <w:rPr>
                <w:noProof/>
                <w:webHidden/>
              </w:rPr>
              <w:t>70</w:t>
            </w:r>
            <w:r>
              <w:rPr>
                <w:noProof/>
                <w:webHidden/>
              </w:rPr>
              <w:fldChar w:fldCharType="end"/>
            </w:r>
          </w:hyperlink>
        </w:p>
        <w:p w14:paraId="15BA4339" w14:textId="77777777" w:rsidR="00FA6932" w:rsidRDefault="00FA6932">
          <w:pPr>
            <w:pStyle w:val="Verzeichnis2"/>
            <w:tabs>
              <w:tab w:val="right" w:leader="dot" w:pos="9396"/>
            </w:tabs>
            <w:rPr>
              <w:rFonts w:eastAsiaTheme="minorEastAsia"/>
              <w:noProof/>
              <w:lang w:val="de-DE" w:eastAsia="de-DE"/>
            </w:rPr>
          </w:pPr>
          <w:hyperlink w:anchor="_Toc525298507" w:history="1">
            <w:r w:rsidRPr="00FF5C50">
              <w:rPr>
                <w:rStyle w:val="Hyperlink"/>
                <w:noProof/>
              </w:rPr>
              <w:t>FAQ 11.2 How will mitigation actions in AFOLU affect GHG emissions over different timescales?</w:t>
            </w:r>
            <w:r>
              <w:rPr>
                <w:noProof/>
                <w:webHidden/>
              </w:rPr>
              <w:tab/>
            </w:r>
            <w:r>
              <w:rPr>
                <w:noProof/>
                <w:webHidden/>
              </w:rPr>
              <w:fldChar w:fldCharType="begin"/>
            </w:r>
            <w:r>
              <w:rPr>
                <w:noProof/>
                <w:webHidden/>
              </w:rPr>
              <w:instrText xml:space="preserve"> PAGEREF _Toc525298507 \h </w:instrText>
            </w:r>
            <w:r>
              <w:rPr>
                <w:noProof/>
                <w:webHidden/>
              </w:rPr>
            </w:r>
            <w:r>
              <w:rPr>
                <w:noProof/>
                <w:webHidden/>
              </w:rPr>
              <w:fldChar w:fldCharType="separate"/>
            </w:r>
            <w:r>
              <w:rPr>
                <w:noProof/>
                <w:webHidden/>
              </w:rPr>
              <w:t>70</w:t>
            </w:r>
            <w:r>
              <w:rPr>
                <w:noProof/>
                <w:webHidden/>
              </w:rPr>
              <w:fldChar w:fldCharType="end"/>
            </w:r>
          </w:hyperlink>
        </w:p>
        <w:p w14:paraId="25B1A2E6" w14:textId="77777777" w:rsidR="00FA6932" w:rsidRDefault="00FA6932">
          <w:pPr>
            <w:pStyle w:val="Verzeichnis2"/>
            <w:tabs>
              <w:tab w:val="right" w:leader="dot" w:pos="9396"/>
            </w:tabs>
            <w:rPr>
              <w:rFonts w:eastAsiaTheme="minorEastAsia"/>
              <w:noProof/>
              <w:lang w:val="de-DE" w:eastAsia="de-DE"/>
            </w:rPr>
          </w:pPr>
          <w:hyperlink w:anchor="_Toc525298508" w:history="1">
            <w:r w:rsidRPr="00FF5C50">
              <w:rPr>
                <w:rStyle w:val="Hyperlink"/>
                <w:noProof/>
              </w:rPr>
              <w:t>FAQ 11.3 What is the potential of the main mitigation options in AFOLU for reducing GHG emissions?</w:t>
            </w:r>
            <w:r>
              <w:rPr>
                <w:noProof/>
                <w:webHidden/>
              </w:rPr>
              <w:tab/>
            </w:r>
            <w:r>
              <w:rPr>
                <w:noProof/>
                <w:webHidden/>
              </w:rPr>
              <w:fldChar w:fldCharType="begin"/>
            </w:r>
            <w:r>
              <w:rPr>
                <w:noProof/>
                <w:webHidden/>
              </w:rPr>
              <w:instrText xml:space="preserve"> PAGEREF _Toc525298508 \h </w:instrText>
            </w:r>
            <w:r>
              <w:rPr>
                <w:noProof/>
                <w:webHidden/>
              </w:rPr>
            </w:r>
            <w:r>
              <w:rPr>
                <w:noProof/>
                <w:webHidden/>
              </w:rPr>
              <w:fldChar w:fldCharType="separate"/>
            </w:r>
            <w:r>
              <w:rPr>
                <w:noProof/>
                <w:webHidden/>
              </w:rPr>
              <w:t>70</w:t>
            </w:r>
            <w:r>
              <w:rPr>
                <w:noProof/>
                <w:webHidden/>
              </w:rPr>
              <w:fldChar w:fldCharType="end"/>
            </w:r>
          </w:hyperlink>
        </w:p>
        <w:p w14:paraId="2AC30615" w14:textId="77777777" w:rsidR="00FA6932" w:rsidRDefault="00FA6932">
          <w:pPr>
            <w:pStyle w:val="Verzeichnis2"/>
            <w:tabs>
              <w:tab w:val="right" w:leader="dot" w:pos="9396"/>
            </w:tabs>
            <w:rPr>
              <w:rFonts w:eastAsiaTheme="minorEastAsia"/>
              <w:noProof/>
              <w:lang w:val="de-DE" w:eastAsia="de-DE"/>
            </w:rPr>
          </w:pPr>
          <w:hyperlink w:anchor="_Toc525298509" w:history="1">
            <w:r w:rsidRPr="00FF5C50">
              <w:rPr>
                <w:rStyle w:val="Hyperlink"/>
                <w:noProof/>
              </w:rPr>
              <w:t>FAQ 11.4 Are there any co-benefits associated with mitigation actions in AFOLU?</w:t>
            </w:r>
            <w:r>
              <w:rPr>
                <w:noProof/>
                <w:webHidden/>
              </w:rPr>
              <w:tab/>
            </w:r>
            <w:r>
              <w:rPr>
                <w:noProof/>
                <w:webHidden/>
              </w:rPr>
              <w:fldChar w:fldCharType="begin"/>
            </w:r>
            <w:r>
              <w:rPr>
                <w:noProof/>
                <w:webHidden/>
              </w:rPr>
              <w:instrText xml:space="preserve"> PAGEREF _Toc525298509 \h </w:instrText>
            </w:r>
            <w:r>
              <w:rPr>
                <w:noProof/>
                <w:webHidden/>
              </w:rPr>
            </w:r>
            <w:r>
              <w:rPr>
                <w:noProof/>
                <w:webHidden/>
              </w:rPr>
              <w:fldChar w:fldCharType="separate"/>
            </w:r>
            <w:r>
              <w:rPr>
                <w:noProof/>
                <w:webHidden/>
              </w:rPr>
              <w:t>71</w:t>
            </w:r>
            <w:r>
              <w:rPr>
                <w:noProof/>
                <w:webHidden/>
              </w:rPr>
              <w:fldChar w:fldCharType="end"/>
            </w:r>
          </w:hyperlink>
        </w:p>
        <w:p w14:paraId="16CD13C5" w14:textId="77777777" w:rsidR="00FA6932" w:rsidRDefault="00FA6932">
          <w:pPr>
            <w:pStyle w:val="Verzeichnis1"/>
            <w:tabs>
              <w:tab w:val="right" w:leader="dot" w:pos="9396"/>
            </w:tabs>
            <w:rPr>
              <w:rFonts w:eastAsiaTheme="minorEastAsia"/>
              <w:noProof/>
              <w:lang w:val="de-DE" w:eastAsia="de-DE"/>
            </w:rPr>
          </w:pPr>
          <w:hyperlink w:anchor="_Toc525298510" w:history="1">
            <w:r w:rsidRPr="00FF5C50">
              <w:rPr>
                <w:rStyle w:val="Hyperlink"/>
                <w:noProof/>
              </w:rPr>
              <w:t>IPCC AR5 WGIII – Chapter 13: International Cooperation: Agreements &amp; Instruments</w:t>
            </w:r>
            <w:r>
              <w:rPr>
                <w:noProof/>
                <w:webHidden/>
              </w:rPr>
              <w:tab/>
            </w:r>
            <w:r>
              <w:rPr>
                <w:noProof/>
                <w:webHidden/>
              </w:rPr>
              <w:fldChar w:fldCharType="begin"/>
            </w:r>
            <w:r>
              <w:rPr>
                <w:noProof/>
                <w:webHidden/>
              </w:rPr>
              <w:instrText xml:space="preserve"> PAGEREF _Toc525298510 \h </w:instrText>
            </w:r>
            <w:r>
              <w:rPr>
                <w:noProof/>
                <w:webHidden/>
              </w:rPr>
            </w:r>
            <w:r>
              <w:rPr>
                <w:noProof/>
                <w:webHidden/>
              </w:rPr>
              <w:fldChar w:fldCharType="separate"/>
            </w:r>
            <w:r>
              <w:rPr>
                <w:noProof/>
                <w:webHidden/>
              </w:rPr>
              <w:t>72</w:t>
            </w:r>
            <w:r>
              <w:rPr>
                <w:noProof/>
                <w:webHidden/>
              </w:rPr>
              <w:fldChar w:fldCharType="end"/>
            </w:r>
          </w:hyperlink>
        </w:p>
        <w:p w14:paraId="547C32A0" w14:textId="77777777" w:rsidR="00FA6932" w:rsidRDefault="00FA6932">
          <w:pPr>
            <w:pStyle w:val="Verzeichnis2"/>
            <w:tabs>
              <w:tab w:val="right" w:leader="dot" w:pos="9396"/>
            </w:tabs>
            <w:rPr>
              <w:rFonts w:eastAsiaTheme="minorEastAsia"/>
              <w:noProof/>
              <w:lang w:val="de-DE" w:eastAsia="de-DE"/>
            </w:rPr>
          </w:pPr>
          <w:hyperlink w:anchor="_Toc525298511" w:history="1">
            <w:r w:rsidRPr="00FF5C50">
              <w:rPr>
                <w:rStyle w:val="Hyperlink"/>
                <w:noProof/>
              </w:rPr>
              <w:t>Executive Summary</w:t>
            </w:r>
            <w:r>
              <w:rPr>
                <w:noProof/>
                <w:webHidden/>
              </w:rPr>
              <w:tab/>
            </w:r>
            <w:r>
              <w:rPr>
                <w:noProof/>
                <w:webHidden/>
              </w:rPr>
              <w:fldChar w:fldCharType="begin"/>
            </w:r>
            <w:r>
              <w:rPr>
                <w:noProof/>
                <w:webHidden/>
              </w:rPr>
              <w:instrText xml:space="preserve"> PAGEREF _Toc525298511 \h </w:instrText>
            </w:r>
            <w:r>
              <w:rPr>
                <w:noProof/>
                <w:webHidden/>
              </w:rPr>
            </w:r>
            <w:r>
              <w:rPr>
                <w:noProof/>
                <w:webHidden/>
              </w:rPr>
              <w:fldChar w:fldCharType="separate"/>
            </w:r>
            <w:r>
              <w:rPr>
                <w:noProof/>
                <w:webHidden/>
              </w:rPr>
              <w:t>72</w:t>
            </w:r>
            <w:r>
              <w:rPr>
                <w:noProof/>
                <w:webHidden/>
              </w:rPr>
              <w:fldChar w:fldCharType="end"/>
            </w:r>
          </w:hyperlink>
        </w:p>
        <w:p w14:paraId="3BAEF799" w14:textId="77777777" w:rsidR="00FA6932" w:rsidRDefault="00FA6932">
          <w:pPr>
            <w:pStyle w:val="Verzeichnis2"/>
            <w:tabs>
              <w:tab w:val="right" w:leader="dot" w:pos="9396"/>
            </w:tabs>
            <w:rPr>
              <w:rFonts w:eastAsiaTheme="minorEastAsia"/>
              <w:noProof/>
              <w:lang w:val="de-DE" w:eastAsia="de-DE"/>
            </w:rPr>
          </w:pPr>
          <w:hyperlink w:anchor="_Toc525298512" w:history="1">
            <w:r w:rsidRPr="00FF5C50">
              <w:rPr>
                <w:rStyle w:val="Hyperlink"/>
                <w:noProof/>
              </w:rPr>
              <w:t>13.4.4 The special case of international cooperation regarding carbon dioxide removal and solar radiation management</w:t>
            </w:r>
            <w:r>
              <w:rPr>
                <w:noProof/>
                <w:webHidden/>
              </w:rPr>
              <w:tab/>
            </w:r>
            <w:r>
              <w:rPr>
                <w:noProof/>
                <w:webHidden/>
              </w:rPr>
              <w:fldChar w:fldCharType="begin"/>
            </w:r>
            <w:r>
              <w:rPr>
                <w:noProof/>
                <w:webHidden/>
              </w:rPr>
              <w:instrText xml:space="preserve"> PAGEREF _Toc525298512 \h </w:instrText>
            </w:r>
            <w:r>
              <w:rPr>
                <w:noProof/>
                <w:webHidden/>
              </w:rPr>
            </w:r>
            <w:r>
              <w:rPr>
                <w:noProof/>
                <w:webHidden/>
              </w:rPr>
              <w:fldChar w:fldCharType="separate"/>
            </w:r>
            <w:r>
              <w:rPr>
                <w:noProof/>
                <w:webHidden/>
              </w:rPr>
              <w:t>72</w:t>
            </w:r>
            <w:r>
              <w:rPr>
                <w:noProof/>
                <w:webHidden/>
              </w:rPr>
              <w:fldChar w:fldCharType="end"/>
            </w:r>
          </w:hyperlink>
        </w:p>
        <w:p w14:paraId="425D6965" w14:textId="77777777" w:rsidR="00FA6932" w:rsidRDefault="00FA6932">
          <w:pPr>
            <w:pStyle w:val="Verzeichnis2"/>
            <w:tabs>
              <w:tab w:val="right" w:leader="dot" w:pos="9396"/>
            </w:tabs>
            <w:rPr>
              <w:rFonts w:eastAsiaTheme="minorEastAsia"/>
              <w:noProof/>
              <w:lang w:val="de-DE" w:eastAsia="de-DE"/>
            </w:rPr>
          </w:pPr>
          <w:hyperlink w:anchor="_Toc525298513" w:history="1">
            <w:r w:rsidRPr="00FF5C50">
              <w:rPr>
                <w:rStyle w:val="Hyperlink"/>
                <w:noProof/>
              </w:rPr>
              <w:t>13.13.1.3 Assessment of further agreements under the UNFCCC</w:t>
            </w:r>
            <w:r>
              <w:rPr>
                <w:noProof/>
                <w:webHidden/>
              </w:rPr>
              <w:tab/>
            </w:r>
            <w:r>
              <w:rPr>
                <w:noProof/>
                <w:webHidden/>
              </w:rPr>
              <w:fldChar w:fldCharType="begin"/>
            </w:r>
            <w:r>
              <w:rPr>
                <w:noProof/>
                <w:webHidden/>
              </w:rPr>
              <w:instrText xml:space="preserve"> PAGEREF _Toc525298513 \h </w:instrText>
            </w:r>
            <w:r>
              <w:rPr>
                <w:noProof/>
                <w:webHidden/>
              </w:rPr>
            </w:r>
            <w:r>
              <w:rPr>
                <w:noProof/>
                <w:webHidden/>
              </w:rPr>
              <w:fldChar w:fldCharType="separate"/>
            </w:r>
            <w:r>
              <w:rPr>
                <w:noProof/>
                <w:webHidden/>
              </w:rPr>
              <w:t>73</w:t>
            </w:r>
            <w:r>
              <w:rPr>
                <w:noProof/>
                <w:webHidden/>
              </w:rPr>
              <w:fldChar w:fldCharType="end"/>
            </w:r>
          </w:hyperlink>
        </w:p>
        <w:p w14:paraId="72E195AE" w14:textId="77777777" w:rsidR="00101EA0" w:rsidRDefault="00101EA0">
          <w:r>
            <w:rPr>
              <w:b/>
              <w:bCs/>
              <w:lang w:val="de-DE"/>
            </w:rPr>
            <w:fldChar w:fldCharType="end"/>
          </w:r>
        </w:p>
      </w:sdtContent>
    </w:sdt>
    <w:p w14:paraId="53382CEB" w14:textId="77777777" w:rsidR="00101EA0" w:rsidRPr="00101EA0" w:rsidRDefault="00101EA0" w:rsidP="00101EA0"/>
    <w:p w14:paraId="2D202530" w14:textId="77777777" w:rsidR="009B3865" w:rsidRDefault="009B3865">
      <w:pPr>
        <w:spacing w:after="0" w:line="240" w:lineRule="auto"/>
        <w:rPr>
          <w:rFonts w:asciiTheme="majorHAnsi" w:eastAsiaTheme="majorEastAsia" w:hAnsiTheme="majorHAnsi" w:cstheme="majorBidi"/>
          <w:b/>
          <w:bCs/>
          <w:color w:val="365F91" w:themeColor="accent1" w:themeShade="BF"/>
          <w:sz w:val="28"/>
          <w:szCs w:val="28"/>
        </w:rPr>
      </w:pPr>
      <w:r>
        <w:br w:type="page"/>
      </w:r>
    </w:p>
    <w:p w14:paraId="453F78E8" w14:textId="77777777" w:rsidR="00101EA0" w:rsidRDefault="006E3232" w:rsidP="003A7E13">
      <w:pPr>
        <w:pStyle w:val="berschrift1"/>
      </w:pPr>
      <w:bookmarkStart w:id="1" w:name="_Toc525298434"/>
      <w:r w:rsidRPr="006E3232">
        <w:lastRenderedPageBreak/>
        <w:t>IPCC AR5 WGIII – SPM</w:t>
      </w:r>
      <w:bookmarkEnd w:id="1"/>
    </w:p>
    <w:p w14:paraId="2F0E2749" w14:textId="77777777" w:rsidR="00101EA0" w:rsidRPr="00101EA0" w:rsidRDefault="00101EA0" w:rsidP="00101EA0">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0"/>
        <w:gridCol w:w="1826"/>
      </w:tblGrid>
      <w:tr w:rsidR="00FE4BC7" w14:paraId="5E437A0E" w14:textId="77777777" w:rsidTr="00FE4BC7">
        <w:tc>
          <w:tcPr>
            <w:tcW w:w="7763" w:type="dxa"/>
          </w:tcPr>
          <w:p w14:paraId="4D05EE8A" w14:textId="77777777" w:rsidR="00FE4BC7" w:rsidRPr="00FE4BC7" w:rsidRDefault="00B45854" w:rsidP="00FE4BC7">
            <w:pPr>
              <w:pStyle w:val="KeinLeerraum"/>
              <w:rPr>
                <w:b/>
              </w:rPr>
            </w:pPr>
            <w:r>
              <w:rPr>
                <w:b/>
              </w:rPr>
              <w:t>Search term</w:t>
            </w:r>
          </w:p>
        </w:tc>
        <w:tc>
          <w:tcPr>
            <w:tcW w:w="1859" w:type="dxa"/>
          </w:tcPr>
          <w:p w14:paraId="779D07DC" w14:textId="77777777" w:rsidR="00FE4BC7" w:rsidRPr="00FE4BC7" w:rsidRDefault="00FE4BC7" w:rsidP="00FE4BC7">
            <w:pPr>
              <w:pStyle w:val="KeinLeerraum"/>
              <w:rPr>
                <w:b/>
              </w:rPr>
            </w:pPr>
            <w:r w:rsidRPr="00FE4BC7">
              <w:rPr>
                <w:b/>
              </w:rPr>
              <w:t>Count</w:t>
            </w:r>
          </w:p>
        </w:tc>
      </w:tr>
      <w:tr w:rsidR="00FE4BC7" w14:paraId="4CCAB679" w14:textId="77777777" w:rsidTr="00FE4BC7">
        <w:tc>
          <w:tcPr>
            <w:tcW w:w="7763" w:type="dxa"/>
          </w:tcPr>
          <w:p w14:paraId="5DAE6418" w14:textId="77777777" w:rsidR="00FE4BC7" w:rsidRPr="00B80049" w:rsidRDefault="00FE4BC7" w:rsidP="00FE4BC7">
            <w:pPr>
              <w:pStyle w:val="KeinLeerraum"/>
              <w:rPr>
                <w:b/>
              </w:rPr>
            </w:pPr>
            <w:r w:rsidRPr="00B80049">
              <w:rPr>
                <w:b/>
                <w:color w:val="7030A0"/>
              </w:rPr>
              <w:t>Negative emission</w:t>
            </w:r>
            <w:r w:rsidR="00B45854">
              <w:rPr>
                <w:b/>
                <w:color w:val="7030A0"/>
              </w:rPr>
              <w:t>, NETs</w:t>
            </w:r>
          </w:p>
        </w:tc>
        <w:tc>
          <w:tcPr>
            <w:tcW w:w="1859" w:type="dxa"/>
          </w:tcPr>
          <w:p w14:paraId="0642D3F9" w14:textId="77777777" w:rsidR="00FE4BC7" w:rsidRDefault="00FE4BC7" w:rsidP="00FE4BC7">
            <w:pPr>
              <w:pStyle w:val="KeinLeerraum"/>
            </w:pPr>
            <w:r>
              <w:t>0</w:t>
            </w:r>
          </w:p>
        </w:tc>
      </w:tr>
      <w:tr w:rsidR="00FE4BC7" w14:paraId="3E92897F" w14:textId="77777777" w:rsidTr="00FE4BC7">
        <w:tc>
          <w:tcPr>
            <w:tcW w:w="7763" w:type="dxa"/>
          </w:tcPr>
          <w:p w14:paraId="17C71095" w14:textId="77777777" w:rsidR="00FE4BC7" w:rsidRPr="00B80049" w:rsidRDefault="00B80049" w:rsidP="00FE4BC7">
            <w:pPr>
              <w:pStyle w:val="KeinLeerraum"/>
              <w:rPr>
                <w:b/>
              </w:rPr>
            </w:pPr>
            <w:r>
              <w:rPr>
                <w:b/>
                <w:color w:val="00B050"/>
              </w:rPr>
              <w:t>C</w:t>
            </w:r>
            <w:r w:rsidR="00B45854">
              <w:rPr>
                <w:b/>
                <w:color w:val="00B050"/>
              </w:rPr>
              <w:t xml:space="preserve">arbon dioxide removal, </w:t>
            </w:r>
            <w:r w:rsidR="00FE4BC7" w:rsidRPr="00B80049">
              <w:rPr>
                <w:b/>
                <w:color w:val="00B050"/>
              </w:rPr>
              <w:t>CDR</w:t>
            </w:r>
          </w:p>
        </w:tc>
        <w:tc>
          <w:tcPr>
            <w:tcW w:w="1859" w:type="dxa"/>
          </w:tcPr>
          <w:p w14:paraId="4AD3E8B0" w14:textId="77777777" w:rsidR="00FE4BC7" w:rsidRDefault="00FE4BC7" w:rsidP="00FE4BC7">
            <w:pPr>
              <w:pStyle w:val="KeinLeerraum"/>
            </w:pPr>
            <w:r>
              <w:t>12</w:t>
            </w:r>
          </w:p>
        </w:tc>
      </w:tr>
      <w:tr w:rsidR="00FE4BC7" w14:paraId="23268160" w14:textId="77777777" w:rsidTr="00FE4BC7">
        <w:tc>
          <w:tcPr>
            <w:tcW w:w="7763" w:type="dxa"/>
          </w:tcPr>
          <w:p w14:paraId="16B193A6" w14:textId="77777777" w:rsidR="00FE4BC7" w:rsidRPr="00B80049" w:rsidRDefault="00FE4BC7" w:rsidP="00FE4BC7">
            <w:pPr>
              <w:pStyle w:val="KeinLeerraum"/>
              <w:rPr>
                <w:b/>
              </w:rPr>
            </w:pPr>
            <w:r w:rsidRPr="00B80049">
              <w:rPr>
                <w:b/>
                <w:color w:val="F79646" w:themeColor="accent6"/>
              </w:rPr>
              <w:t>Bi</w:t>
            </w:r>
            <w:r w:rsidR="00B45854">
              <w:rPr>
                <w:b/>
                <w:color w:val="F79646" w:themeColor="accent6"/>
              </w:rPr>
              <w:t xml:space="preserve">oenergy with carbon and capture, </w:t>
            </w:r>
            <w:r w:rsidRPr="00B80049">
              <w:rPr>
                <w:b/>
                <w:color w:val="F79646" w:themeColor="accent6"/>
              </w:rPr>
              <w:t>BECCS</w:t>
            </w:r>
          </w:p>
        </w:tc>
        <w:tc>
          <w:tcPr>
            <w:tcW w:w="1859" w:type="dxa"/>
          </w:tcPr>
          <w:p w14:paraId="3579F7DC" w14:textId="77777777" w:rsidR="00FE4BC7" w:rsidRDefault="00FE4BC7" w:rsidP="00FE4BC7">
            <w:pPr>
              <w:pStyle w:val="KeinLeerraum"/>
            </w:pPr>
            <w:r>
              <w:t>9</w:t>
            </w:r>
          </w:p>
        </w:tc>
      </w:tr>
      <w:tr w:rsidR="00FE4BC7" w14:paraId="574FB496" w14:textId="77777777" w:rsidTr="00FE4BC7">
        <w:tc>
          <w:tcPr>
            <w:tcW w:w="7763" w:type="dxa"/>
          </w:tcPr>
          <w:p w14:paraId="173DFA2C" w14:textId="77777777" w:rsidR="00FE4BC7" w:rsidRPr="00B80049" w:rsidRDefault="00FE4BC7" w:rsidP="00FE4BC7">
            <w:pPr>
              <w:pStyle w:val="KeinLeerraum"/>
              <w:rPr>
                <w:b/>
              </w:rPr>
            </w:pPr>
            <w:r w:rsidRPr="00B80049">
              <w:rPr>
                <w:b/>
                <w:color w:val="0070C0"/>
              </w:rPr>
              <w:t>Afforestation</w:t>
            </w:r>
          </w:p>
        </w:tc>
        <w:tc>
          <w:tcPr>
            <w:tcW w:w="1859" w:type="dxa"/>
          </w:tcPr>
          <w:p w14:paraId="3FB32999" w14:textId="77777777" w:rsidR="00FE4BC7" w:rsidRDefault="00FE4BC7" w:rsidP="00FE4BC7">
            <w:pPr>
              <w:pStyle w:val="KeinLeerraum"/>
            </w:pPr>
            <w:r>
              <w:t>7</w:t>
            </w:r>
          </w:p>
        </w:tc>
      </w:tr>
    </w:tbl>
    <w:p w14:paraId="27CFCED0" w14:textId="77777777" w:rsidR="00683C65" w:rsidRDefault="00683C65" w:rsidP="00AD2C18"/>
    <w:tbl>
      <w:tblPr>
        <w:tblStyle w:val="Tabellenraster"/>
        <w:tblW w:w="0" w:type="auto"/>
        <w:tblLook w:val="04A0" w:firstRow="1" w:lastRow="0" w:firstColumn="1" w:lastColumn="0" w:noHBand="0" w:noVBand="1"/>
      </w:tblPr>
      <w:tblGrid>
        <w:gridCol w:w="6275"/>
        <w:gridCol w:w="1510"/>
        <w:gridCol w:w="1611"/>
      </w:tblGrid>
      <w:tr w:rsidR="002A537E" w14:paraId="25B061CB" w14:textId="77777777" w:rsidTr="00B45854">
        <w:tc>
          <w:tcPr>
            <w:tcW w:w="6450" w:type="dxa"/>
          </w:tcPr>
          <w:p w14:paraId="6A3DBFC0" w14:textId="77777777" w:rsidR="002A537E" w:rsidRPr="00FE4BC7" w:rsidRDefault="002A537E" w:rsidP="00B45854">
            <w:pPr>
              <w:pStyle w:val="KeinLeerraum"/>
              <w:rPr>
                <w:b/>
              </w:rPr>
            </w:pPr>
            <w:r>
              <w:rPr>
                <w:b/>
              </w:rPr>
              <w:t>IPCC references</w:t>
            </w:r>
          </w:p>
        </w:tc>
        <w:tc>
          <w:tcPr>
            <w:tcW w:w="1532" w:type="dxa"/>
          </w:tcPr>
          <w:p w14:paraId="5DF21FCF" w14:textId="77777777" w:rsidR="002A537E" w:rsidRPr="00FE4BC7" w:rsidRDefault="002A537E" w:rsidP="00B45854">
            <w:pPr>
              <w:pStyle w:val="KeinLeerraum"/>
              <w:rPr>
                <w:b/>
              </w:rPr>
            </w:pPr>
            <w:r>
              <w:rPr>
                <w:b/>
              </w:rPr>
              <w:t>Type</w:t>
            </w:r>
          </w:p>
        </w:tc>
        <w:tc>
          <w:tcPr>
            <w:tcW w:w="1640" w:type="dxa"/>
          </w:tcPr>
          <w:p w14:paraId="2CBB3A17" w14:textId="77777777" w:rsidR="002A537E" w:rsidRPr="00FE4BC7" w:rsidRDefault="002A537E" w:rsidP="00B45854">
            <w:pPr>
              <w:pStyle w:val="KeinLeerraum"/>
              <w:rPr>
                <w:b/>
              </w:rPr>
            </w:pPr>
            <w:r w:rsidRPr="00FE4BC7">
              <w:rPr>
                <w:b/>
              </w:rPr>
              <w:t>Count</w:t>
            </w:r>
          </w:p>
        </w:tc>
      </w:tr>
      <w:tr w:rsidR="002A537E" w14:paraId="28A2951A" w14:textId="77777777" w:rsidTr="002A537E">
        <w:tc>
          <w:tcPr>
            <w:tcW w:w="6450" w:type="dxa"/>
            <w:shd w:val="clear" w:color="auto" w:fill="F2F2F2" w:themeFill="background1" w:themeFillShade="F2"/>
          </w:tcPr>
          <w:p w14:paraId="7AA46FA0" w14:textId="77777777" w:rsidR="002A537E" w:rsidRPr="002A537E" w:rsidRDefault="002A537E" w:rsidP="00B45854">
            <w:pPr>
              <w:pStyle w:val="KeinLeerraum"/>
              <w:rPr>
                <w:i/>
                <w:iCs/>
              </w:rPr>
            </w:pPr>
            <w:r w:rsidRPr="002A537E">
              <w:rPr>
                <w:i/>
                <w:iCs/>
              </w:rPr>
              <w:t>Sections</w:t>
            </w:r>
          </w:p>
        </w:tc>
        <w:tc>
          <w:tcPr>
            <w:tcW w:w="1532" w:type="dxa"/>
            <w:shd w:val="clear" w:color="auto" w:fill="F2F2F2" w:themeFill="background1" w:themeFillShade="F2"/>
          </w:tcPr>
          <w:p w14:paraId="115B46E3" w14:textId="77777777" w:rsidR="002A537E" w:rsidRPr="002A537E" w:rsidRDefault="002A537E" w:rsidP="00B45854">
            <w:pPr>
              <w:pStyle w:val="KeinLeerraum"/>
              <w:rPr>
                <w:i/>
                <w:iCs/>
              </w:rPr>
            </w:pPr>
          </w:p>
        </w:tc>
        <w:tc>
          <w:tcPr>
            <w:tcW w:w="1640" w:type="dxa"/>
            <w:shd w:val="clear" w:color="auto" w:fill="F2F2F2" w:themeFill="background1" w:themeFillShade="F2"/>
          </w:tcPr>
          <w:p w14:paraId="75BB2C62" w14:textId="77777777" w:rsidR="002A537E" w:rsidRPr="002A537E" w:rsidRDefault="002A537E" w:rsidP="00B45854">
            <w:pPr>
              <w:pStyle w:val="KeinLeerraum"/>
              <w:rPr>
                <w:i/>
                <w:iCs/>
              </w:rPr>
            </w:pPr>
            <w:r>
              <w:rPr>
                <w:i/>
                <w:iCs/>
              </w:rPr>
              <w:t>24</w:t>
            </w:r>
          </w:p>
        </w:tc>
      </w:tr>
      <w:tr w:rsidR="002A537E" w14:paraId="18A39972" w14:textId="77777777" w:rsidTr="00B45854">
        <w:tc>
          <w:tcPr>
            <w:tcW w:w="6450" w:type="dxa"/>
          </w:tcPr>
          <w:p w14:paraId="003ED6B3" w14:textId="77777777" w:rsidR="002A537E" w:rsidRDefault="002A537E" w:rsidP="00B45854">
            <w:pPr>
              <w:pStyle w:val="KeinLeerraum"/>
            </w:pPr>
            <w:r w:rsidRPr="004C33EA">
              <w:t>WGI SPM.E.8</w:t>
            </w:r>
          </w:p>
        </w:tc>
        <w:tc>
          <w:tcPr>
            <w:tcW w:w="1532" w:type="dxa"/>
          </w:tcPr>
          <w:p w14:paraId="05BF32C0" w14:textId="77777777" w:rsidR="002A537E" w:rsidRDefault="002A537E" w:rsidP="00B45854">
            <w:pPr>
              <w:pStyle w:val="KeinLeerraum"/>
            </w:pPr>
            <w:r>
              <w:t>Section</w:t>
            </w:r>
          </w:p>
        </w:tc>
        <w:tc>
          <w:tcPr>
            <w:tcW w:w="1640" w:type="dxa"/>
          </w:tcPr>
          <w:p w14:paraId="130A9931" w14:textId="77777777" w:rsidR="002A537E" w:rsidRDefault="002A537E" w:rsidP="00B45854">
            <w:pPr>
              <w:pStyle w:val="KeinLeerraum"/>
            </w:pPr>
            <w:r>
              <w:t>1</w:t>
            </w:r>
          </w:p>
        </w:tc>
      </w:tr>
      <w:tr w:rsidR="002A537E" w14:paraId="1328ADA1" w14:textId="77777777" w:rsidTr="00B45854">
        <w:tc>
          <w:tcPr>
            <w:tcW w:w="6450" w:type="dxa"/>
          </w:tcPr>
          <w:p w14:paraId="57427740" w14:textId="77777777" w:rsidR="002A537E" w:rsidRDefault="002A537E" w:rsidP="00B45854">
            <w:pPr>
              <w:pStyle w:val="KeinLeerraum"/>
            </w:pPr>
            <w:r>
              <w:t>TS.13</w:t>
            </w:r>
          </w:p>
        </w:tc>
        <w:tc>
          <w:tcPr>
            <w:tcW w:w="1532" w:type="dxa"/>
          </w:tcPr>
          <w:p w14:paraId="2BE5C9BA" w14:textId="77777777" w:rsidR="002A537E" w:rsidRDefault="002A537E" w:rsidP="00B45854">
            <w:pPr>
              <w:pStyle w:val="KeinLeerraum"/>
            </w:pPr>
            <w:r>
              <w:t>Section</w:t>
            </w:r>
          </w:p>
        </w:tc>
        <w:tc>
          <w:tcPr>
            <w:tcW w:w="1640" w:type="dxa"/>
          </w:tcPr>
          <w:p w14:paraId="29789CEB" w14:textId="77777777" w:rsidR="002A537E" w:rsidRDefault="002A537E" w:rsidP="00B45854">
            <w:pPr>
              <w:pStyle w:val="KeinLeerraum"/>
            </w:pPr>
            <w:r>
              <w:t>1</w:t>
            </w:r>
          </w:p>
        </w:tc>
      </w:tr>
      <w:tr w:rsidR="002A537E" w14:paraId="17C88509" w14:textId="77777777" w:rsidTr="002A537E">
        <w:tc>
          <w:tcPr>
            <w:tcW w:w="6450" w:type="dxa"/>
            <w:shd w:val="clear" w:color="auto" w:fill="F2F2F2" w:themeFill="background1" w:themeFillShade="F2"/>
          </w:tcPr>
          <w:p w14:paraId="1A99AD31" w14:textId="77777777" w:rsidR="002A537E" w:rsidRPr="002A537E" w:rsidRDefault="002A537E" w:rsidP="00B45854">
            <w:pPr>
              <w:pStyle w:val="KeinLeerraum"/>
              <w:rPr>
                <w:i/>
                <w:iCs/>
              </w:rPr>
            </w:pPr>
            <w:r w:rsidRPr="002A537E">
              <w:rPr>
                <w:i/>
                <w:iCs/>
              </w:rPr>
              <w:t>Chapter 2</w:t>
            </w:r>
          </w:p>
        </w:tc>
        <w:tc>
          <w:tcPr>
            <w:tcW w:w="1532" w:type="dxa"/>
            <w:shd w:val="clear" w:color="auto" w:fill="F2F2F2" w:themeFill="background1" w:themeFillShade="F2"/>
          </w:tcPr>
          <w:p w14:paraId="1495F104" w14:textId="77777777" w:rsidR="002A537E" w:rsidRPr="002A537E" w:rsidRDefault="002A537E" w:rsidP="00B45854">
            <w:pPr>
              <w:pStyle w:val="KeinLeerraum"/>
              <w:rPr>
                <w:i/>
                <w:iCs/>
              </w:rPr>
            </w:pPr>
            <w:r w:rsidRPr="002A537E">
              <w:rPr>
                <w:i/>
                <w:iCs/>
              </w:rPr>
              <w:t>Section</w:t>
            </w:r>
          </w:p>
        </w:tc>
        <w:tc>
          <w:tcPr>
            <w:tcW w:w="1640" w:type="dxa"/>
            <w:shd w:val="clear" w:color="auto" w:fill="F2F2F2" w:themeFill="background1" w:themeFillShade="F2"/>
          </w:tcPr>
          <w:p w14:paraId="574BF37A" w14:textId="77777777" w:rsidR="002A537E" w:rsidRPr="002A537E" w:rsidRDefault="002A537E" w:rsidP="00B45854">
            <w:pPr>
              <w:pStyle w:val="KeinLeerraum"/>
              <w:rPr>
                <w:i/>
                <w:iCs/>
              </w:rPr>
            </w:pPr>
            <w:r w:rsidRPr="002A537E">
              <w:rPr>
                <w:i/>
                <w:iCs/>
              </w:rPr>
              <w:t>1</w:t>
            </w:r>
          </w:p>
        </w:tc>
      </w:tr>
      <w:tr w:rsidR="002A537E" w14:paraId="609AB483" w14:textId="77777777" w:rsidTr="00B45854">
        <w:tc>
          <w:tcPr>
            <w:tcW w:w="6450" w:type="dxa"/>
          </w:tcPr>
          <w:p w14:paraId="02A46B76" w14:textId="77777777" w:rsidR="002A537E" w:rsidRDefault="002A537E" w:rsidP="00B45854">
            <w:pPr>
              <w:pStyle w:val="KeinLeerraum"/>
            </w:pPr>
            <w:r>
              <w:t>2.6</w:t>
            </w:r>
          </w:p>
        </w:tc>
        <w:tc>
          <w:tcPr>
            <w:tcW w:w="1532" w:type="dxa"/>
          </w:tcPr>
          <w:p w14:paraId="78BB4264" w14:textId="77777777" w:rsidR="002A537E" w:rsidRDefault="002A537E" w:rsidP="00B45854">
            <w:pPr>
              <w:pStyle w:val="KeinLeerraum"/>
            </w:pPr>
            <w:r>
              <w:t>Section</w:t>
            </w:r>
          </w:p>
        </w:tc>
        <w:tc>
          <w:tcPr>
            <w:tcW w:w="1640" w:type="dxa"/>
          </w:tcPr>
          <w:p w14:paraId="42EEDCD5" w14:textId="77777777" w:rsidR="002A537E" w:rsidRDefault="002A537E" w:rsidP="00B45854">
            <w:pPr>
              <w:pStyle w:val="KeinLeerraum"/>
            </w:pPr>
            <w:r>
              <w:t>1</w:t>
            </w:r>
          </w:p>
        </w:tc>
      </w:tr>
      <w:tr w:rsidR="002A537E" w14:paraId="629189A7" w14:textId="77777777" w:rsidTr="002A537E">
        <w:tc>
          <w:tcPr>
            <w:tcW w:w="6450" w:type="dxa"/>
            <w:shd w:val="clear" w:color="auto" w:fill="F2F2F2" w:themeFill="background1" w:themeFillShade="F2"/>
          </w:tcPr>
          <w:p w14:paraId="2A0BFD54" w14:textId="77777777" w:rsidR="002A537E" w:rsidRPr="002A537E" w:rsidRDefault="002A537E" w:rsidP="00B45854">
            <w:pPr>
              <w:pStyle w:val="KeinLeerraum"/>
              <w:rPr>
                <w:i/>
                <w:iCs/>
              </w:rPr>
            </w:pPr>
            <w:r w:rsidRPr="002A537E">
              <w:rPr>
                <w:i/>
                <w:iCs/>
              </w:rPr>
              <w:t>Chapter 6</w:t>
            </w:r>
          </w:p>
        </w:tc>
        <w:tc>
          <w:tcPr>
            <w:tcW w:w="1532" w:type="dxa"/>
            <w:shd w:val="clear" w:color="auto" w:fill="F2F2F2" w:themeFill="background1" w:themeFillShade="F2"/>
          </w:tcPr>
          <w:p w14:paraId="29023D09" w14:textId="77777777" w:rsidR="002A537E" w:rsidRPr="002A537E" w:rsidRDefault="002A537E" w:rsidP="00B45854">
            <w:pPr>
              <w:pStyle w:val="KeinLeerraum"/>
              <w:rPr>
                <w:i/>
                <w:iCs/>
              </w:rPr>
            </w:pPr>
            <w:r w:rsidRPr="002A537E">
              <w:rPr>
                <w:i/>
                <w:iCs/>
              </w:rPr>
              <w:t>Section</w:t>
            </w:r>
          </w:p>
        </w:tc>
        <w:tc>
          <w:tcPr>
            <w:tcW w:w="1640" w:type="dxa"/>
            <w:shd w:val="clear" w:color="auto" w:fill="F2F2F2" w:themeFill="background1" w:themeFillShade="F2"/>
          </w:tcPr>
          <w:p w14:paraId="55EC3A9D" w14:textId="77777777" w:rsidR="002A537E" w:rsidRPr="002A537E" w:rsidRDefault="002A537E" w:rsidP="00B45854">
            <w:pPr>
              <w:pStyle w:val="KeinLeerraum"/>
              <w:rPr>
                <w:i/>
                <w:iCs/>
              </w:rPr>
            </w:pPr>
            <w:r>
              <w:rPr>
                <w:i/>
                <w:iCs/>
              </w:rPr>
              <w:t>9</w:t>
            </w:r>
          </w:p>
        </w:tc>
      </w:tr>
      <w:tr w:rsidR="002A537E" w14:paraId="494AF7BF" w14:textId="77777777" w:rsidTr="00B45854">
        <w:tc>
          <w:tcPr>
            <w:tcW w:w="6450" w:type="dxa"/>
          </w:tcPr>
          <w:p w14:paraId="045AA5BC" w14:textId="77777777" w:rsidR="002A537E" w:rsidRDefault="002A537E" w:rsidP="00B45854">
            <w:pPr>
              <w:pStyle w:val="KeinLeerraum"/>
            </w:pPr>
            <w:r>
              <w:t>6.3</w:t>
            </w:r>
          </w:p>
        </w:tc>
        <w:tc>
          <w:tcPr>
            <w:tcW w:w="1532" w:type="dxa"/>
          </w:tcPr>
          <w:p w14:paraId="2494DD83" w14:textId="77777777" w:rsidR="002A537E" w:rsidRDefault="002A537E" w:rsidP="00B45854">
            <w:pPr>
              <w:pStyle w:val="KeinLeerraum"/>
            </w:pPr>
            <w:r>
              <w:t>Section</w:t>
            </w:r>
          </w:p>
        </w:tc>
        <w:tc>
          <w:tcPr>
            <w:tcW w:w="1640" w:type="dxa"/>
          </w:tcPr>
          <w:p w14:paraId="7E02B79D" w14:textId="77777777" w:rsidR="002A537E" w:rsidRDefault="002A537E" w:rsidP="00B45854">
            <w:pPr>
              <w:pStyle w:val="KeinLeerraum"/>
            </w:pPr>
            <w:r>
              <w:t>3</w:t>
            </w:r>
          </w:p>
        </w:tc>
      </w:tr>
      <w:tr w:rsidR="002A537E" w14:paraId="25EE360B" w14:textId="77777777" w:rsidTr="00B45854">
        <w:tc>
          <w:tcPr>
            <w:tcW w:w="6450" w:type="dxa"/>
          </w:tcPr>
          <w:p w14:paraId="5C0F4203" w14:textId="77777777" w:rsidR="002A537E" w:rsidRDefault="002A537E" w:rsidP="00B45854">
            <w:pPr>
              <w:pStyle w:val="KeinLeerraum"/>
            </w:pPr>
            <w:r>
              <w:t>6.3.1.4</w:t>
            </w:r>
          </w:p>
        </w:tc>
        <w:tc>
          <w:tcPr>
            <w:tcW w:w="1532" w:type="dxa"/>
          </w:tcPr>
          <w:p w14:paraId="50644EF2" w14:textId="77777777" w:rsidR="002A537E" w:rsidRDefault="002A537E" w:rsidP="00B45854">
            <w:pPr>
              <w:pStyle w:val="KeinLeerraum"/>
            </w:pPr>
            <w:r>
              <w:t>Section</w:t>
            </w:r>
          </w:p>
        </w:tc>
        <w:tc>
          <w:tcPr>
            <w:tcW w:w="1640" w:type="dxa"/>
          </w:tcPr>
          <w:p w14:paraId="33357C4C" w14:textId="77777777" w:rsidR="002A537E" w:rsidRDefault="002A537E" w:rsidP="00B45854">
            <w:pPr>
              <w:pStyle w:val="KeinLeerraum"/>
            </w:pPr>
            <w:r>
              <w:t>1</w:t>
            </w:r>
          </w:p>
        </w:tc>
      </w:tr>
      <w:tr w:rsidR="002A537E" w14:paraId="7291A603" w14:textId="77777777" w:rsidTr="00B45854">
        <w:tc>
          <w:tcPr>
            <w:tcW w:w="6450" w:type="dxa"/>
          </w:tcPr>
          <w:p w14:paraId="3E9C13F2" w14:textId="77777777" w:rsidR="002A537E" w:rsidRDefault="002A537E" w:rsidP="00B45854">
            <w:pPr>
              <w:pStyle w:val="KeinLeerraum"/>
            </w:pPr>
            <w:r>
              <w:t>6.3.5</w:t>
            </w:r>
          </w:p>
        </w:tc>
        <w:tc>
          <w:tcPr>
            <w:tcW w:w="1532" w:type="dxa"/>
          </w:tcPr>
          <w:p w14:paraId="04B5FD7D" w14:textId="77777777" w:rsidR="002A537E" w:rsidRDefault="002A537E" w:rsidP="00B45854">
            <w:pPr>
              <w:pStyle w:val="KeinLeerraum"/>
            </w:pPr>
            <w:r>
              <w:t>Section</w:t>
            </w:r>
          </w:p>
        </w:tc>
        <w:tc>
          <w:tcPr>
            <w:tcW w:w="1640" w:type="dxa"/>
          </w:tcPr>
          <w:p w14:paraId="54CA5E54" w14:textId="77777777" w:rsidR="002A537E" w:rsidRDefault="002A537E" w:rsidP="00B45854">
            <w:pPr>
              <w:pStyle w:val="KeinLeerraum"/>
            </w:pPr>
            <w:r>
              <w:t>1</w:t>
            </w:r>
          </w:p>
        </w:tc>
      </w:tr>
      <w:tr w:rsidR="002A537E" w14:paraId="1524EA01" w14:textId="77777777" w:rsidTr="00B45854">
        <w:tc>
          <w:tcPr>
            <w:tcW w:w="6450" w:type="dxa"/>
          </w:tcPr>
          <w:p w14:paraId="589AB7B3" w14:textId="77777777" w:rsidR="002A537E" w:rsidRDefault="002A537E" w:rsidP="00B45854">
            <w:pPr>
              <w:pStyle w:val="KeinLeerraum"/>
            </w:pPr>
            <w:r>
              <w:t>6.4</w:t>
            </w:r>
          </w:p>
        </w:tc>
        <w:tc>
          <w:tcPr>
            <w:tcW w:w="1532" w:type="dxa"/>
          </w:tcPr>
          <w:p w14:paraId="42863C8C" w14:textId="77777777" w:rsidR="002A537E" w:rsidRDefault="002A537E" w:rsidP="00B45854">
            <w:pPr>
              <w:pStyle w:val="KeinLeerraum"/>
            </w:pPr>
            <w:r>
              <w:t>Section</w:t>
            </w:r>
          </w:p>
        </w:tc>
        <w:tc>
          <w:tcPr>
            <w:tcW w:w="1640" w:type="dxa"/>
          </w:tcPr>
          <w:p w14:paraId="32CD9DA1" w14:textId="77777777" w:rsidR="002A537E" w:rsidRDefault="002A537E" w:rsidP="00B45854">
            <w:pPr>
              <w:pStyle w:val="KeinLeerraum"/>
            </w:pPr>
            <w:r>
              <w:t>2</w:t>
            </w:r>
          </w:p>
        </w:tc>
      </w:tr>
      <w:tr w:rsidR="002A537E" w14:paraId="7C06778D" w14:textId="77777777" w:rsidTr="00B45854">
        <w:tc>
          <w:tcPr>
            <w:tcW w:w="6450" w:type="dxa"/>
          </w:tcPr>
          <w:p w14:paraId="4431EAE6" w14:textId="77777777" w:rsidR="002A537E" w:rsidRDefault="002A537E" w:rsidP="00B45854">
            <w:pPr>
              <w:pStyle w:val="KeinLeerraum"/>
            </w:pPr>
            <w:r>
              <w:t>6.8</w:t>
            </w:r>
          </w:p>
        </w:tc>
        <w:tc>
          <w:tcPr>
            <w:tcW w:w="1532" w:type="dxa"/>
          </w:tcPr>
          <w:p w14:paraId="4A0D5EC8" w14:textId="77777777" w:rsidR="002A537E" w:rsidRDefault="002A537E" w:rsidP="00B45854">
            <w:pPr>
              <w:pStyle w:val="KeinLeerraum"/>
            </w:pPr>
            <w:r>
              <w:t>Section</w:t>
            </w:r>
          </w:p>
        </w:tc>
        <w:tc>
          <w:tcPr>
            <w:tcW w:w="1640" w:type="dxa"/>
          </w:tcPr>
          <w:p w14:paraId="7DFA07B4" w14:textId="77777777" w:rsidR="002A537E" w:rsidRDefault="002A537E" w:rsidP="00B45854">
            <w:pPr>
              <w:pStyle w:val="KeinLeerraum"/>
            </w:pPr>
            <w:r>
              <w:t>1</w:t>
            </w:r>
          </w:p>
        </w:tc>
      </w:tr>
      <w:tr w:rsidR="002A537E" w14:paraId="10400EAF" w14:textId="77777777" w:rsidTr="00B45854">
        <w:tc>
          <w:tcPr>
            <w:tcW w:w="6450" w:type="dxa"/>
          </w:tcPr>
          <w:p w14:paraId="1F256378" w14:textId="77777777" w:rsidR="002A537E" w:rsidRDefault="002A537E" w:rsidP="00B45854">
            <w:pPr>
              <w:pStyle w:val="KeinLeerraum"/>
            </w:pPr>
            <w:r>
              <w:t>6.9</w:t>
            </w:r>
          </w:p>
        </w:tc>
        <w:tc>
          <w:tcPr>
            <w:tcW w:w="1532" w:type="dxa"/>
          </w:tcPr>
          <w:p w14:paraId="7865C72F" w14:textId="77777777" w:rsidR="002A537E" w:rsidRDefault="002A537E" w:rsidP="00B45854">
            <w:pPr>
              <w:pStyle w:val="KeinLeerraum"/>
            </w:pPr>
            <w:r>
              <w:t>Section</w:t>
            </w:r>
          </w:p>
        </w:tc>
        <w:tc>
          <w:tcPr>
            <w:tcW w:w="1640" w:type="dxa"/>
          </w:tcPr>
          <w:p w14:paraId="7397590C" w14:textId="77777777" w:rsidR="002A537E" w:rsidRDefault="002A537E" w:rsidP="00B45854">
            <w:pPr>
              <w:pStyle w:val="KeinLeerraum"/>
            </w:pPr>
            <w:r>
              <w:t>1</w:t>
            </w:r>
          </w:p>
        </w:tc>
      </w:tr>
      <w:tr w:rsidR="002A537E" w14:paraId="2928F47A" w14:textId="77777777" w:rsidTr="002A537E">
        <w:tc>
          <w:tcPr>
            <w:tcW w:w="6450" w:type="dxa"/>
            <w:shd w:val="clear" w:color="auto" w:fill="F2F2F2" w:themeFill="background1" w:themeFillShade="F2"/>
          </w:tcPr>
          <w:p w14:paraId="048003A7" w14:textId="77777777" w:rsidR="002A537E" w:rsidRPr="002A537E" w:rsidRDefault="002A537E" w:rsidP="00B45854">
            <w:pPr>
              <w:pStyle w:val="KeinLeerraum"/>
              <w:rPr>
                <w:i/>
                <w:iCs/>
              </w:rPr>
            </w:pPr>
            <w:r w:rsidRPr="002A537E">
              <w:rPr>
                <w:i/>
                <w:iCs/>
              </w:rPr>
              <w:t>Chapter 7</w:t>
            </w:r>
          </w:p>
        </w:tc>
        <w:tc>
          <w:tcPr>
            <w:tcW w:w="1532" w:type="dxa"/>
            <w:shd w:val="clear" w:color="auto" w:fill="F2F2F2" w:themeFill="background1" w:themeFillShade="F2"/>
          </w:tcPr>
          <w:p w14:paraId="3E18DA5C" w14:textId="77777777" w:rsidR="002A537E" w:rsidRPr="002A537E" w:rsidRDefault="002A537E" w:rsidP="00B45854">
            <w:pPr>
              <w:pStyle w:val="KeinLeerraum"/>
              <w:rPr>
                <w:i/>
                <w:iCs/>
              </w:rPr>
            </w:pPr>
            <w:r w:rsidRPr="002A537E">
              <w:rPr>
                <w:i/>
                <w:iCs/>
              </w:rPr>
              <w:t>Section</w:t>
            </w:r>
          </w:p>
        </w:tc>
        <w:tc>
          <w:tcPr>
            <w:tcW w:w="1640" w:type="dxa"/>
            <w:shd w:val="clear" w:color="auto" w:fill="F2F2F2" w:themeFill="background1" w:themeFillShade="F2"/>
          </w:tcPr>
          <w:p w14:paraId="5A7DDA34" w14:textId="77777777" w:rsidR="002A537E" w:rsidRPr="002A537E" w:rsidRDefault="002A537E" w:rsidP="00B45854">
            <w:pPr>
              <w:pStyle w:val="KeinLeerraum"/>
              <w:rPr>
                <w:i/>
                <w:iCs/>
              </w:rPr>
            </w:pPr>
            <w:r>
              <w:rPr>
                <w:i/>
                <w:iCs/>
              </w:rPr>
              <w:t>6</w:t>
            </w:r>
          </w:p>
        </w:tc>
      </w:tr>
      <w:tr w:rsidR="002A537E" w14:paraId="2D5ED7DC" w14:textId="77777777" w:rsidTr="00B45854">
        <w:tc>
          <w:tcPr>
            <w:tcW w:w="6450" w:type="dxa"/>
          </w:tcPr>
          <w:p w14:paraId="2337C244" w14:textId="77777777" w:rsidR="002A537E" w:rsidRDefault="002A537E" w:rsidP="00B45854">
            <w:pPr>
              <w:pStyle w:val="KeinLeerraum"/>
            </w:pPr>
            <w:r>
              <w:t>7.5.5</w:t>
            </w:r>
          </w:p>
        </w:tc>
        <w:tc>
          <w:tcPr>
            <w:tcW w:w="1532" w:type="dxa"/>
          </w:tcPr>
          <w:p w14:paraId="2D246B4B" w14:textId="77777777" w:rsidR="002A537E" w:rsidRDefault="002A537E" w:rsidP="00B45854">
            <w:pPr>
              <w:pStyle w:val="KeinLeerraum"/>
            </w:pPr>
            <w:r>
              <w:t>Section</w:t>
            </w:r>
          </w:p>
        </w:tc>
        <w:tc>
          <w:tcPr>
            <w:tcW w:w="1640" w:type="dxa"/>
          </w:tcPr>
          <w:p w14:paraId="6934E5C0" w14:textId="77777777" w:rsidR="002A537E" w:rsidRDefault="002A537E" w:rsidP="00B45854">
            <w:pPr>
              <w:pStyle w:val="KeinLeerraum"/>
            </w:pPr>
            <w:r>
              <w:t>1</w:t>
            </w:r>
          </w:p>
        </w:tc>
      </w:tr>
      <w:tr w:rsidR="002A537E" w14:paraId="59FAF5C4" w14:textId="77777777" w:rsidTr="00B45854">
        <w:tc>
          <w:tcPr>
            <w:tcW w:w="6450" w:type="dxa"/>
          </w:tcPr>
          <w:p w14:paraId="2A8BD5FC" w14:textId="77777777" w:rsidR="002A537E" w:rsidRDefault="002A537E" w:rsidP="00B45854">
            <w:pPr>
              <w:pStyle w:val="KeinLeerraum"/>
            </w:pPr>
            <w:r>
              <w:t>7.9</w:t>
            </w:r>
          </w:p>
        </w:tc>
        <w:tc>
          <w:tcPr>
            <w:tcW w:w="1532" w:type="dxa"/>
          </w:tcPr>
          <w:p w14:paraId="519CEDD3" w14:textId="77777777" w:rsidR="002A537E" w:rsidRDefault="002A537E" w:rsidP="00B45854">
            <w:pPr>
              <w:pStyle w:val="KeinLeerraum"/>
            </w:pPr>
            <w:r>
              <w:t>Section</w:t>
            </w:r>
          </w:p>
        </w:tc>
        <w:tc>
          <w:tcPr>
            <w:tcW w:w="1640" w:type="dxa"/>
          </w:tcPr>
          <w:p w14:paraId="0C5CAA39" w14:textId="77777777" w:rsidR="002A537E" w:rsidRDefault="002A537E" w:rsidP="00B45854">
            <w:pPr>
              <w:pStyle w:val="KeinLeerraum"/>
            </w:pPr>
            <w:r>
              <w:t>1</w:t>
            </w:r>
          </w:p>
        </w:tc>
      </w:tr>
      <w:tr w:rsidR="002A537E" w14:paraId="7F5D6DDA" w14:textId="77777777" w:rsidTr="00B45854">
        <w:tc>
          <w:tcPr>
            <w:tcW w:w="6450" w:type="dxa"/>
          </w:tcPr>
          <w:p w14:paraId="0BB34EBA" w14:textId="77777777" w:rsidR="002A537E" w:rsidRDefault="002A537E" w:rsidP="00B45854">
            <w:pPr>
              <w:pStyle w:val="KeinLeerraum"/>
            </w:pPr>
            <w:r>
              <w:t>7.11</w:t>
            </w:r>
          </w:p>
        </w:tc>
        <w:tc>
          <w:tcPr>
            <w:tcW w:w="1532" w:type="dxa"/>
          </w:tcPr>
          <w:p w14:paraId="78DFE5F9" w14:textId="77777777" w:rsidR="002A537E" w:rsidRDefault="002A537E" w:rsidP="00B45854">
            <w:pPr>
              <w:pStyle w:val="KeinLeerraum"/>
            </w:pPr>
            <w:r>
              <w:t>Section</w:t>
            </w:r>
          </w:p>
        </w:tc>
        <w:tc>
          <w:tcPr>
            <w:tcW w:w="1640" w:type="dxa"/>
          </w:tcPr>
          <w:p w14:paraId="40866855" w14:textId="77777777" w:rsidR="002A537E" w:rsidRDefault="002A537E" w:rsidP="00B45854">
            <w:pPr>
              <w:pStyle w:val="KeinLeerraum"/>
            </w:pPr>
            <w:r>
              <w:t>4</w:t>
            </w:r>
          </w:p>
        </w:tc>
      </w:tr>
      <w:tr w:rsidR="002A537E" w14:paraId="5A949B74" w14:textId="77777777" w:rsidTr="002A537E">
        <w:tc>
          <w:tcPr>
            <w:tcW w:w="6450" w:type="dxa"/>
            <w:shd w:val="clear" w:color="auto" w:fill="F2F2F2" w:themeFill="background1" w:themeFillShade="F2"/>
          </w:tcPr>
          <w:p w14:paraId="3E4C3064" w14:textId="77777777" w:rsidR="002A537E" w:rsidRPr="002A537E" w:rsidRDefault="002A537E" w:rsidP="00B45854">
            <w:pPr>
              <w:pStyle w:val="KeinLeerraum"/>
              <w:rPr>
                <w:i/>
                <w:iCs/>
              </w:rPr>
            </w:pPr>
            <w:r w:rsidRPr="002A537E">
              <w:rPr>
                <w:i/>
                <w:iCs/>
              </w:rPr>
              <w:t>Chapter 11</w:t>
            </w:r>
          </w:p>
        </w:tc>
        <w:tc>
          <w:tcPr>
            <w:tcW w:w="1532" w:type="dxa"/>
            <w:shd w:val="clear" w:color="auto" w:fill="F2F2F2" w:themeFill="background1" w:themeFillShade="F2"/>
          </w:tcPr>
          <w:p w14:paraId="0BE95143" w14:textId="77777777" w:rsidR="002A537E" w:rsidRPr="002A537E" w:rsidRDefault="002A537E" w:rsidP="00B45854">
            <w:pPr>
              <w:pStyle w:val="KeinLeerraum"/>
              <w:rPr>
                <w:i/>
                <w:iCs/>
              </w:rPr>
            </w:pPr>
            <w:r w:rsidRPr="002A537E">
              <w:rPr>
                <w:i/>
                <w:iCs/>
              </w:rPr>
              <w:t>Section</w:t>
            </w:r>
          </w:p>
        </w:tc>
        <w:tc>
          <w:tcPr>
            <w:tcW w:w="1640" w:type="dxa"/>
            <w:shd w:val="clear" w:color="auto" w:fill="F2F2F2" w:themeFill="background1" w:themeFillShade="F2"/>
          </w:tcPr>
          <w:p w14:paraId="10DF1E28" w14:textId="77777777" w:rsidR="002A537E" w:rsidRPr="002A537E" w:rsidRDefault="002A537E" w:rsidP="00B45854">
            <w:pPr>
              <w:pStyle w:val="KeinLeerraum"/>
              <w:rPr>
                <w:i/>
                <w:iCs/>
              </w:rPr>
            </w:pPr>
            <w:r>
              <w:rPr>
                <w:i/>
                <w:iCs/>
              </w:rPr>
              <w:t>5</w:t>
            </w:r>
          </w:p>
        </w:tc>
      </w:tr>
      <w:tr w:rsidR="002A537E" w14:paraId="3EF3E974" w14:textId="77777777" w:rsidTr="00B45854">
        <w:tc>
          <w:tcPr>
            <w:tcW w:w="6450" w:type="dxa"/>
          </w:tcPr>
          <w:p w14:paraId="121C9074" w14:textId="77777777" w:rsidR="002A537E" w:rsidRDefault="002A537E" w:rsidP="00B45854">
            <w:pPr>
              <w:pStyle w:val="KeinLeerraum"/>
            </w:pPr>
            <w:r>
              <w:t>11.2</w:t>
            </w:r>
          </w:p>
        </w:tc>
        <w:tc>
          <w:tcPr>
            <w:tcW w:w="1532" w:type="dxa"/>
          </w:tcPr>
          <w:p w14:paraId="6CDE676A" w14:textId="77777777" w:rsidR="002A537E" w:rsidRDefault="002A537E" w:rsidP="00B45854">
            <w:pPr>
              <w:pStyle w:val="KeinLeerraum"/>
            </w:pPr>
            <w:r>
              <w:t>Section</w:t>
            </w:r>
          </w:p>
        </w:tc>
        <w:tc>
          <w:tcPr>
            <w:tcW w:w="1640" w:type="dxa"/>
          </w:tcPr>
          <w:p w14:paraId="2B322CF8" w14:textId="77777777" w:rsidR="002A537E" w:rsidRDefault="002A537E" w:rsidP="00B45854">
            <w:pPr>
              <w:pStyle w:val="KeinLeerraum"/>
            </w:pPr>
            <w:r>
              <w:t>1</w:t>
            </w:r>
          </w:p>
        </w:tc>
      </w:tr>
      <w:tr w:rsidR="002A537E" w14:paraId="4A65071F" w14:textId="77777777" w:rsidTr="00B45854">
        <w:tc>
          <w:tcPr>
            <w:tcW w:w="6450" w:type="dxa"/>
          </w:tcPr>
          <w:p w14:paraId="2E4FEC4C" w14:textId="77777777" w:rsidR="002A537E" w:rsidRDefault="002A537E" w:rsidP="00B45854">
            <w:pPr>
              <w:pStyle w:val="KeinLeerraum"/>
            </w:pPr>
            <w:r>
              <w:t>11.7</w:t>
            </w:r>
          </w:p>
        </w:tc>
        <w:tc>
          <w:tcPr>
            <w:tcW w:w="1532" w:type="dxa"/>
          </w:tcPr>
          <w:p w14:paraId="4B28DB54" w14:textId="77777777" w:rsidR="002A537E" w:rsidRDefault="002A537E" w:rsidP="00B45854">
            <w:pPr>
              <w:pStyle w:val="KeinLeerraum"/>
            </w:pPr>
            <w:r>
              <w:t>Section</w:t>
            </w:r>
          </w:p>
        </w:tc>
        <w:tc>
          <w:tcPr>
            <w:tcW w:w="1640" w:type="dxa"/>
          </w:tcPr>
          <w:p w14:paraId="7972F66F" w14:textId="77777777" w:rsidR="002A537E" w:rsidRDefault="002A537E" w:rsidP="00B45854">
            <w:pPr>
              <w:pStyle w:val="KeinLeerraum"/>
            </w:pPr>
            <w:r>
              <w:t>1</w:t>
            </w:r>
          </w:p>
        </w:tc>
      </w:tr>
      <w:tr w:rsidR="002A537E" w14:paraId="46F66696" w14:textId="77777777" w:rsidTr="00B45854">
        <w:tc>
          <w:tcPr>
            <w:tcW w:w="6450" w:type="dxa"/>
          </w:tcPr>
          <w:p w14:paraId="20CF0169" w14:textId="77777777" w:rsidR="002A537E" w:rsidRDefault="002A537E" w:rsidP="00B45854">
            <w:pPr>
              <w:pStyle w:val="KeinLeerraum"/>
            </w:pPr>
            <w:r>
              <w:t>11.8</w:t>
            </w:r>
          </w:p>
        </w:tc>
        <w:tc>
          <w:tcPr>
            <w:tcW w:w="1532" w:type="dxa"/>
          </w:tcPr>
          <w:p w14:paraId="4075E81F" w14:textId="77777777" w:rsidR="002A537E" w:rsidRDefault="002A537E" w:rsidP="00B45854">
            <w:pPr>
              <w:pStyle w:val="KeinLeerraum"/>
            </w:pPr>
            <w:r>
              <w:t>Section</w:t>
            </w:r>
          </w:p>
        </w:tc>
        <w:tc>
          <w:tcPr>
            <w:tcW w:w="1640" w:type="dxa"/>
          </w:tcPr>
          <w:p w14:paraId="0656B1FA" w14:textId="77777777" w:rsidR="002A537E" w:rsidRDefault="002A537E" w:rsidP="00B45854">
            <w:pPr>
              <w:pStyle w:val="KeinLeerraum"/>
            </w:pPr>
            <w:r>
              <w:t>1</w:t>
            </w:r>
          </w:p>
        </w:tc>
      </w:tr>
      <w:tr w:rsidR="002A537E" w14:paraId="22F56C47" w14:textId="77777777" w:rsidTr="00B45854">
        <w:tc>
          <w:tcPr>
            <w:tcW w:w="6450" w:type="dxa"/>
          </w:tcPr>
          <w:p w14:paraId="75CA6D1E" w14:textId="77777777" w:rsidR="002A537E" w:rsidRDefault="002A537E" w:rsidP="00B45854">
            <w:pPr>
              <w:pStyle w:val="KeinLeerraum"/>
            </w:pPr>
            <w:r>
              <w:t>11.13</w:t>
            </w:r>
          </w:p>
        </w:tc>
        <w:tc>
          <w:tcPr>
            <w:tcW w:w="1532" w:type="dxa"/>
          </w:tcPr>
          <w:p w14:paraId="71C915ED" w14:textId="77777777" w:rsidR="002A537E" w:rsidRDefault="002A537E" w:rsidP="00B45854">
            <w:pPr>
              <w:pStyle w:val="KeinLeerraum"/>
            </w:pPr>
            <w:r>
              <w:t>Section</w:t>
            </w:r>
          </w:p>
        </w:tc>
        <w:tc>
          <w:tcPr>
            <w:tcW w:w="1640" w:type="dxa"/>
          </w:tcPr>
          <w:p w14:paraId="4A5B1304" w14:textId="77777777" w:rsidR="002A537E" w:rsidRDefault="002A537E" w:rsidP="00B45854">
            <w:pPr>
              <w:pStyle w:val="KeinLeerraum"/>
            </w:pPr>
            <w:r>
              <w:t>2</w:t>
            </w:r>
          </w:p>
        </w:tc>
      </w:tr>
      <w:tr w:rsidR="002A537E" w14:paraId="0FA11B7E" w14:textId="77777777" w:rsidTr="002A537E">
        <w:tc>
          <w:tcPr>
            <w:tcW w:w="6450" w:type="dxa"/>
            <w:shd w:val="clear" w:color="auto" w:fill="F2F2F2" w:themeFill="background1" w:themeFillShade="F2"/>
          </w:tcPr>
          <w:p w14:paraId="3C47A1E1" w14:textId="77777777" w:rsidR="002A537E" w:rsidRPr="002A537E" w:rsidRDefault="002A537E" w:rsidP="00B45854">
            <w:pPr>
              <w:pStyle w:val="KeinLeerraum"/>
              <w:rPr>
                <w:i/>
                <w:iCs/>
              </w:rPr>
            </w:pPr>
            <w:r w:rsidRPr="002A537E">
              <w:rPr>
                <w:i/>
                <w:iCs/>
              </w:rPr>
              <w:t>Chapter 13</w:t>
            </w:r>
          </w:p>
        </w:tc>
        <w:tc>
          <w:tcPr>
            <w:tcW w:w="1532" w:type="dxa"/>
            <w:shd w:val="clear" w:color="auto" w:fill="F2F2F2" w:themeFill="background1" w:themeFillShade="F2"/>
          </w:tcPr>
          <w:p w14:paraId="231A1686" w14:textId="77777777" w:rsidR="002A537E" w:rsidRPr="002A537E" w:rsidRDefault="002A537E" w:rsidP="00B45854">
            <w:pPr>
              <w:pStyle w:val="KeinLeerraum"/>
              <w:rPr>
                <w:i/>
                <w:iCs/>
              </w:rPr>
            </w:pPr>
            <w:r w:rsidRPr="002A537E">
              <w:rPr>
                <w:i/>
                <w:iCs/>
              </w:rPr>
              <w:t>Section</w:t>
            </w:r>
          </w:p>
        </w:tc>
        <w:tc>
          <w:tcPr>
            <w:tcW w:w="1640" w:type="dxa"/>
            <w:shd w:val="clear" w:color="auto" w:fill="F2F2F2" w:themeFill="background1" w:themeFillShade="F2"/>
          </w:tcPr>
          <w:p w14:paraId="3ADEC7BB" w14:textId="77777777" w:rsidR="002A537E" w:rsidRPr="002A537E" w:rsidRDefault="002A537E" w:rsidP="00B45854">
            <w:pPr>
              <w:pStyle w:val="KeinLeerraum"/>
              <w:rPr>
                <w:i/>
                <w:iCs/>
              </w:rPr>
            </w:pPr>
            <w:r w:rsidRPr="002A537E">
              <w:rPr>
                <w:i/>
                <w:iCs/>
              </w:rPr>
              <w:t>1</w:t>
            </w:r>
          </w:p>
        </w:tc>
      </w:tr>
      <w:tr w:rsidR="002A537E" w14:paraId="3EB24512" w14:textId="77777777" w:rsidTr="00B45854">
        <w:tc>
          <w:tcPr>
            <w:tcW w:w="6450" w:type="dxa"/>
          </w:tcPr>
          <w:p w14:paraId="32A859FC" w14:textId="77777777" w:rsidR="002A537E" w:rsidRDefault="002A537E" w:rsidP="00B45854">
            <w:pPr>
              <w:pStyle w:val="KeinLeerraum"/>
            </w:pPr>
            <w:r>
              <w:t>13.13.1.3</w:t>
            </w:r>
          </w:p>
        </w:tc>
        <w:tc>
          <w:tcPr>
            <w:tcW w:w="1532" w:type="dxa"/>
          </w:tcPr>
          <w:p w14:paraId="7F90EEA3" w14:textId="77777777" w:rsidR="002A537E" w:rsidRDefault="002A537E" w:rsidP="00B45854">
            <w:pPr>
              <w:pStyle w:val="KeinLeerraum"/>
            </w:pPr>
            <w:r>
              <w:t>Section</w:t>
            </w:r>
          </w:p>
        </w:tc>
        <w:tc>
          <w:tcPr>
            <w:tcW w:w="1640" w:type="dxa"/>
          </w:tcPr>
          <w:p w14:paraId="761FD81A" w14:textId="77777777" w:rsidR="002A537E" w:rsidRDefault="002A537E" w:rsidP="00B45854">
            <w:pPr>
              <w:pStyle w:val="KeinLeerraum"/>
            </w:pPr>
            <w:r>
              <w:t>1</w:t>
            </w:r>
          </w:p>
        </w:tc>
      </w:tr>
      <w:tr w:rsidR="002A537E" w14:paraId="3098EC65" w14:textId="77777777" w:rsidTr="002A537E">
        <w:tc>
          <w:tcPr>
            <w:tcW w:w="6450" w:type="dxa"/>
            <w:shd w:val="clear" w:color="auto" w:fill="F2F2F2" w:themeFill="background1" w:themeFillShade="F2"/>
          </w:tcPr>
          <w:p w14:paraId="5810A578" w14:textId="77777777" w:rsidR="002A537E" w:rsidRPr="002A537E" w:rsidRDefault="002A537E" w:rsidP="00B45854">
            <w:pPr>
              <w:pStyle w:val="KeinLeerraum"/>
              <w:rPr>
                <w:i/>
                <w:iCs/>
              </w:rPr>
            </w:pPr>
            <w:r w:rsidRPr="002A537E">
              <w:rPr>
                <w:i/>
                <w:iCs/>
              </w:rPr>
              <w:t>Figures</w:t>
            </w:r>
          </w:p>
        </w:tc>
        <w:tc>
          <w:tcPr>
            <w:tcW w:w="1532" w:type="dxa"/>
            <w:shd w:val="clear" w:color="auto" w:fill="F2F2F2" w:themeFill="background1" w:themeFillShade="F2"/>
          </w:tcPr>
          <w:p w14:paraId="11A8D5F2" w14:textId="77777777" w:rsidR="002A537E" w:rsidRPr="002A537E" w:rsidRDefault="002A537E" w:rsidP="00B45854">
            <w:pPr>
              <w:pStyle w:val="KeinLeerraum"/>
              <w:rPr>
                <w:i/>
                <w:iCs/>
              </w:rPr>
            </w:pPr>
            <w:r>
              <w:rPr>
                <w:i/>
                <w:iCs/>
              </w:rPr>
              <w:t>Section</w:t>
            </w:r>
          </w:p>
        </w:tc>
        <w:tc>
          <w:tcPr>
            <w:tcW w:w="1640" w:type="dxa"/>
            <w:shd w:val="clear" w:color="auto" w:fill="F2F2F2" w:themeFill="background1" w:themeFillShade="F2"/>
          </w:tcPr>
          <w:p w14:paraId="1524673B" w14:textId="77777777" w:rsidR="002A537E" w:rsidRPr="002A537E" w:rsidRDefault="002A537E" w:rsidP="00B45854">
            <w:pPr>
              <w:pStyle w:val="KeinLeerraum"/>
              <w:rPr>
                <w:i/>
                <w:iCs/>
              </w:rPr>
            </w:pPr>
            <w:r>
              <w:rPr>
                <w:i/>
                <w:iCs/>
              </w:rPr>
              <w:t>8</w:t>
            </w:r>
          </w:p>
        </w:tc>
      </w:tr>
      <w:tr w:rsidR="002A537E" w14:paraId="1800B8CD" w14:textId="77777777" w:rsidTr="00B45854">
        <w:tc>
          <w:tcPr>
            <w:tcW w:w="6450" w:type="dxa"/>
          </w:tcPr>
          <w:p w14:paraId="75B1ADBD" w14:textId="77777777" w:rsidR="002A537E" w:rsidRDefault="002A537E" w:rsidP="00B45854">
            <w:pPr>
              <w:pStyle w:val="KeinLeerraum"/>
            </w:pPr>
            <w:r>
              <w:t>SPM.7</w:t>
            </w:r>
          </w:p>
        </w:tc>
        <w:tc>
          <w:tcPr>
            <w:tcW w:w="1532" w:type="dxa"/>
          </w:tcPr>
          <w:p w14:paraId="3C631DB4" w14:textId="77777777" w:rsidR="002A537E" w:rsidRDefault="002A537E" w:rsidP="00B45854">
            <w:pPr>
              <w:pStyle w:val="KeinLeerraum"/>
            </w:pPr>
            <w:r>
              <w:t>Figure</w:t>
            </w:r>
          </w:p>
        </w:tc>
        <w:tc>
          <w:tcPr>
            <w:tcW w:w="1640" w:type="dxa"/>
          </w:tcPr>
          <w:p w14:paraId="4177478D" w14:textId="77777777" w:rsidR="002A537E" w:rsidRDefault="002A537E" w:rsidP="00B45854">
            <w:pPr>
              <w:pStyle w:val="KeinLeerraum"/>
            </w:pPr>
            <w:r>
              <w:t>2</w:t>
            </w:r>
          </w:p>
        </w:tc>
      </w:tr>
      <w:tr w:rsidR="002A537E" w14:paraId="3D718973" w14:textId="77777777" w:rsidTr="00B45854">
        <w:tc>
          <w:tcPr>
            <w:tcW w:w="6450" w:type="dxa"/>
          </w:tcPr>
          <w:p w14:paraId="6EBE5C5F" w14:textId="77777777" w:rsidR="002A537E" w:rsidRDefault="002A537E" w:rsidP="00B45854">
            <w:pPr>
              <w:pStyle w:val="KeinLeerraum"/>
            </w:pPr>
            <w:r>
              <w:t>TS.11</w:t>
            </w:r>
          </w:p>
        </w:tc>
        <w:tc>
          <w:tcPr>
            <w:tcW w:w="1532" w:type="dxa"/>
          </w:tcPr>
          <w:p w14:paraId="17EAA8CB" w14:textId="77777777" w:rsidR="002A537E" w:rsidRDefault="002A537E" w:rsidP="00B45854">
            <w:pPr>
              <w:pStyle w:val="KeinLeerraum"/>
            </w:pPr>
            <w:r>
              <w:t>Figure</w:t>
            </w:r>
          </w:p>
        </w:tc>
        <w:tc>
          <w:tcPr>
            <w:tcW w:w="1640" w:type="dxa"/>
          </w:tcPr>
          <w:p w14:paraId="205A2606" w14:textId="77777777" w:rsidR="002A537E" w:rsidRDefault="002A537E" w:rsidP="00B45854">
            <w:pPr>
              <w:pStyle w:val="KeinLeerraum"/>
            </w:pPr>
            <w:r>
              <w:t>1</w:t>
            </w:r>
          </w:p>
        </w:tc>
      </w:tr>
      <w:tr w:rsidR="002A537E" w14:paraId="20F9F246" w14:textId="77777777" w:rsidTr="00B45854">
        <w:tc>
          <w:tcPr>
            <w:tcW w:w="6450" w:type="dxa"/>
          </w:tcPr>
          <w:p w14:paraId="47B2CF61" w14:textId="77777777" w:rsidR="002A537E" w:rsidRDefault="002A537E" w:rsidP="00B45854">
            <w:pPr>
              <w:pStyle w:val="KeinLeerraum"/>
            </w:pPr>
            <w:r>
              <w:t>TS.13</w:t>
            </w:r>
          </w:p>
        </w:tc>
        <w:tc>
          <w:tcPr>
            <w:tcW w:w="1532" w:type="dxa"/>
          </w:tcPr>
          <w:p w14:paraId="31CA8478" w14:textId="77777777" w:rsidR="002A537E" w:rsidRDefault="002A537E" w:rsidP="00B45854">
            <w:pPr>
              <w:pStyle w:val="KeinLeerraum"/>
            </w:pPr>
            <w:r>
              <w:t>Figure</w:t>
            </w:r>
          </w:p>
        </w:tc>
        <w:tc>
          <w:tcPr>
            <w:tcW w:w="1640" w:type="dxa"/>
          </w:tcPr>
          <w:p w14:paraId="4148CD54" w14:textId="77777777" w:rsidR="002A537E" w:rsidRDefault="002A537E" w:rsidP="00B45854">
            <w:pPr>
              <w:pStyle w:val="KeinLeerraum"/>
            </w:pPr>
            <w:r>
              <w:t>1</w:t>
            </w:r>
          </w:p>
        </w:tc>
      </w:tr>
      <w:tr w:rsidR="002A537E" w14:paraId="0EE38BE8" w14:textId="77777777" w:rsidTr="00B45854">
        <w:tc>
          <w:tcPr>
            <w:tcW w:w="6450" w:type="dxa"/>
          </w:tcPr>
          <w:p w14:paraId="2FD02A58" w14:textId="77777777" w:rsidR="002A537E" w:rsidRDefault="002A537E" w:rsidP="00B45854">
            <w:pPr>
              <w:pStyle w:val="KeinLeerraum"/>
            </w:pPr>
            <w:r>
              <w:t>6.32</w:t>
            </w:r>
          </w:p>
        </w:tc>
        <w:tc>
          <w:tcPr>
            <w:tcW w:w="1532" w:type="dxa"/>
          </w:tcPr>
          <w:p w14:paraId="5FF52D4F" w14:textId="77777777" w:rsidR="002A537E" w:rsidRDefault="002A537E" w:rsidP="00B45854">
            <w:pPr>
              <w:pStyle w:val="KeinLeerraum"/>
            </w:pPr>
            <w:r>
              <w:t>Figure</w:t>
            </w:r>
          </w:p>
        </w:tc>
        <w:tc>
          <w:tcPr>
            <w:tcW w:w="1640" w:type="dxa"/>
          </w:tcPr>
          <w:p w14:paraId="5BD82A81" w14:textId="77777777" w:rsidR="002A537E" w:rsidRDefault="002A537E" w:rsidP="00B45854">
            <w:pPr>
              <w:pStyle w:val="KeinLeerraum"/>
            </w:pPr>
            <w:r>
              <w:t>1</w:t>
            </w:r>
          </w:p>
        </w:tc>
      </w:tr>
      <w:tr w:rsidR="002A537E" w14:paraId="00ED209A" w14:textId="77777777" w:rsidTr="00B45854">
        <w:tc>
          <w:tcPr>
            <w:tcW w:w="6450" w:type="dxa"/>
          </w:tcPr>
          <w:p w14:paraId="4A7AEC1E" w14:textId="77777777" w:rsidR="002A537E" w:rsidRDefault="002A537E" w:rsidP="00B45854">
            <w:pPr>
              <w:pStyle w:val="KeinLeerraum"/>
            </w:pPr>
            <w:r>
              <w:t>6.5</w:t>
            </w:r>
          </w:p>
        </w:tc>
        <w:tc>
          <w:tcPr>
            <w:tcW w:w="1532" w:type="dxa"/>
          </w:tcPr>
          <w:p w14:paraId="68C11483" w14:textId="77777777" w:rsidR="002A537E" w:rsidRDefault="002A537E" w:rsidP="00B45854">
            <w:pPr>
              <w:pStyle w:val="KeinLeerraum"/>
            </w:pPr>
            <w:r>
              <w:t>Figure</w:t>
            </w:r>
          </w:p>
        </w:tc>
        <w:tc>
          <w:tcPr>
            <w:tcW w:w="1640" w:type="dxa"/>
          </w:tcPr>
          <w:p w14:paraId="523CC8B8" w14:textId="77777777" w:rsidR="002A537E" w:rsidRDefault="002A537E" w:rsidP="00B45854">
            <w:pPr>
              <w:pStyle w:val="KeinLeerraum"/>
            </w:pPr>
            <w:r>
              <w:t>1</w:t>
            </w:r>
          </w:p>
        </w:tc>
      </w:tr>
      <w:tr w:rsidR="002A537E" w14:paraId="3A339A80" w14:textId="77777777" w:rsidTr="00B45854">
        <w:tc>
          <w:tcPr>
            <w:tcW w:w="6450" w:type="dxa"/>
          </w:tcPr>
          <w:p w14:paraId="24085AAF" w14:textId="77777777" w:rsidR="002A537E" w:rsidRDefault="002A537E" w:rsidP="00B45854">
            <w:pPr>
              <w:pStyle w:val="KeinLeerraum"/>
            </w:pPr>
            <w:r>
              <w:t>6.7</w:t>
            </w:r>
          </w:p>
        </w:tc>
        <w:tc>
          <w:tcPr>
            <w:tcW w:w="1532" w:type="dxa"/>
          </w:tcPr>
          <w:p w14:paraId="6F8BC1E4" w14:textId="77777777" w:rsidR="002A537E" w:rsidRDefault="002A537E" w:rsidP="00B45854">
            <w:pPr>
              <w:pStyle w:val="KeinLeerraum"/>
            </w:pPr>
            <w:r>
              <w:t>Figure</w:t>
            </w:r>
          </w:p>
        </w:tc>
        <w:tc>
          <w:tcPr>
            <w:tcW w:w="1640" w:type="dxa"/>
          </w:tcPr>
          <w:p w14:paraId="5F9A36C2" w14:textId="77777777" w:rsidR="002A537E" w:rsidRDefault="002A537E" w:rsidP="00B45854">
            <w:pPr>
              <w:pStyle w:val="KeinLeerraum"/>
            </w:pPr>
            <w:r>
              <w:t>1</w:t>
            </w:r>
          </w:p>
        </w:tc>
      </w:tr>
      <w:tr w:rsidR="002A537E" w14:paraId="03648989" w14:textId="77777777" w:rsidTr="00B45854">
        <w:tc>
          <w:tcPr>
            <w:tcW w:w="6450" w:type="dxa"/>
          </w:tcPr>
          <w:p w14:paraId="68BAFB29" w14:textId="77777777" w:rsidR="002A537E" w:rsidRDefault="002A537E" w:rsidP="00B45854">
            <w:pPr>
              <w:pStyle w:val="KeinLeerraum"/>
            </w:pPr>
            <w:r>
              <w:t>7.16</w:t>
            </w:r>
          </w:p>
        </w:tc>
        <w:tc>
          <w:tcPr>
            <w:tcW w:w="1532" w:type="dxa"/>
          </w:tcPr>
          <w:p w14:paraId="68424BDA" w14:textId="77777777" w:rsidR="002A537E" w:rsidRDefault="002A537E" w:rsidP="00B45854">
            <w:pPr>
              <w:pStyle w:val="KeinLeerraum"/>
            </w:pPr>
            <w:r>
              <w:t>Figure</w:t>
            </w:r>
          </w:p>
        </w:tc>
        <w:tc>
          <w:tcPr>
            <w:tcW w:w="1640" w:type="dxa"/>
          </w:tcPr>
          <w:p w14:paraId="5264E2FB" w14:textId="77777777" w:rsidR="002A537E" w:rsidRDefault="002A537E" w:rsidP="00B45854">
            <w:pPr>
              <w:pStyle w:val="KeinLeerraum"/>
            </w:pPr>
            <w:r>
              <w:t>1</w:t>
            </w:r>
          </w:p>
        </w:tc>
      </w:tr>
      <w:tr w:rsidR="002A537E" w14:paraId="78B3FDB2" w14:textId="77777777" w:rsidTr="002A537E">
        <w:tc>
          <w:tcPr>
            <w:tcW w:w="6450" w:type="dxa"/>
            <w:shd w:val="clear" w:color="auto" w:fill="F2F2F2" w:themeFill="background1" w:themeFillShade="F2"/>
          </w:tcPr>
          <w:p w14:paraId="42FCF1C9" w14:textId="77777777" w:rsidR="002A537E" w:rsidRPr="002A537E" w:rsidRDefault="002A537E" w:rsidP="00B45854">
            <w:pPr>
              <w:pStyle w:val="KeinLeerraum"/>
              <w:rPr>
                <w:i/>
                <w:iCs/>
              </w:rPr>
            </w:pPr>
            <w:r w:rsidRPr="002A537E">
              <w:rPr>
                <w:i/>
                <w:iCs/>
              </w:rPr>
              <w:t>Tables</w:t>
            </w:r>
          </w:p>
        </w:tc>
        <w:tc>
          <w:tcPr>
            <w:tcW w:w="1532" w:type="dxa"/>
            <w:shd w:val="clear" w:color="auto" w:fill="F2F2F2" w:themeFill="background1" w:themeFillShade="F2"/>
          </w:tcPr>
          <w:p w14:paraId="7CD47B84" w14:textId="77777777" w:rsidR="002A537E" w:rsidRPr="002A537E" w:rsidRDefault="002A537E" w:rsidP="00B45854">
            <w:pPr>
              <w:pStyle w:val="KeinLeerraum"/>
              <w:rPr>
                <w:i/>
                <w:iCs/>
              </w:rPr>
            </w:pPr>
            <w:r w:rsidRPr="002A537E">
              <w:rPr>
                <w:i/>
                <w:iCs/>
              </w:rPr>
              <w:t>Table</w:t>
            </w:r>
          </w:p>
        </w:tc>
        <w:tc>
          <w:tcPr>
            <w:tcW w:w="1640" w:type="dxa"/>
            <w:shd w:val="clear" w:color="auto" w:fill="F2F2F2" w:themeFill="background1" w:themeFillShade="F2"/>
          </w:tcPr>
          <w:p w14:paraId="7E936C70" w14:textId="77777777" w:rsidR="002A537E" w:rsidRPr="002A537E" w:rsidRDefault="002A537E" w:rsidP="00B45854">
            <w:pPr>
              <w:pStyle w:val="KeinLeerraum"/>
              <w:rPr>
                <w:i/>
                <w:iCs/>
              </w:rPr>
            </w:pPr>
            <w:r w:rsidRPr="002A537E">
              <w:rPr>
                <w:i/>
                <w:iCs/>
              </w:rPr>
              <w:t>2</w:t>
            </w:r>
          </w:p>
        </w:tc>
      </w:tr>
      <w:tr w:rsidR="002A537E" w14:paraId="7D05FF81" w14:textId="77777777" w:rsidTr="00B45854">
        <w:tc>
          <w:tcPr>
            <w:tcW w:w="6450" w:type="dxa"/>
          </w:tcPr>
          <w:p w14:paraId="2C187CFE" w14:textId="77777777" w:rsidR="002A537E" w:rsidRDefault="002A537E" w:rsidP="00B45854">
            <w:pPr>
              <w:pStyle w:val="KeinLeerraum"/>
            </w:pPr>
            <w:r>
              <w:t>SPM.2</w:t>
            </w:r>
          </w:p>
        </w:tc>
        <w:tc>
          <w:tcPr>
            <w:tcW w:w="1532" w:type="dxa"/>
          </w:tcPr>
          <w:p w14:paraId="427FE255" w14:textId="77777777" w:rsidR="002A537E" w:rsidRDefault="002A537E" w:rsidP="00B45854">
            <w:pPr>
              <w:pStyle w:val="KeinLeerraum"/>
            </w:pPr>
            <w:r>
              <w:t>Table</w:t>
            </w:r>
          </w:p>
        </w:tc>
        <w:tc>
          <w:tcPr>
            <w:tcW w:w="1640" w:type="dxa"/>
          </w:tcPr>
          <w:p w14:paraId="3F1AAA59" w14:textId="77777777" w:rsidR="002A537E" w:rsidRDefault="002A537E" w:rsidP="00B45854">
            <w:pPr>
              <w:pStyle w:val="KeinLeerraum"/>
            </w:pPr>
            <w:r>
              <w:t>1</w:t>
            </w:r>
          </w:p>
        </w:tc>
      </w:tr>
      <w:tr w:rsidR="002A537E" w14:paraId="2DF4784D" w14:textId="77777777" w:rsidTr="00B45854">
        <w:tc>
          <w:tcPr>
            <w:tcW w:w="6450" w:type="dxa"/>
          </w:tcPr>
          <w:p w14:paraId="6A27FCA2" w14:textId="77777777" w:rsidR="002A537E" w:rsidRDefault="002A537E" w:rsidP="00B45854">
            <w:pPr>
              <w:pStyle w:val="KeinLeerraum"/>
            </w:pPr>
            <w:r>
              <w:t>TS.2</w:t>
            </w:r>
          </w:p>
        </w:tc>
        <w:tc>
          <w:tcPr>
            <w:tcW w:w="1532" w:type="dxa"/>
          </w:tcPr>
          <w:p w14:paraId="1B13CDF6" w14:textId="77777777" w:rsidR="002A537E" w:rsidRDefault="002A537E" w:rsidP="00B45854">
            <w:pPr>
              <w:pStyle w:val="KeinLeerraum"/>
            </w:pPr>
            <w:r>
              <w:t>Table</w:t>
            </w:r>
          </w:p>
        </w:tc>
        <w:tc>
          <w:tcPr>
            <w:tcW w:w="1640" w:type="dxa"/>
          </w:tcPr>
          <w:p w14:paraId="61D11A8D" w14:textId="77777777" w:rsidR="002A537E" w:rsidRDefault="002A537E" w:rsidP="00B45854">
            <w:pPr>
              <w:pStyle w:val="KeinLeerraum"/>
            </w:pPr>
            <w:r>
              <w:t>1</w:t>
            </w:r>
          </w:p>
        </w:tc>
      </w:tr>
    </w:tbl>
    <w:p w14:paraId="16B7FD17" w14:textId="77777777" w:rsidR="002A537E" w:rsidRDefault="002A537E" w:rsidP="00AD2C18"/>
    <w:p w14:paraId="2B750A0A" w14:textId="77777777" w:rsidR="00101EA0" w:rsidRPr="00101EA0" w:rsidRDefault="00101EA0" w:rsidP="00AD2C18">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31"/>
        <w:gridCol w:w="8286"/>
        <w:gridCol w:w="579"/>
      </w:tblGrid>
      <w:tr w:rsidR="00101EA0" w14:paraId="48C745FA" w14:textId="77777777" w:rsidTr="00101EA0">
        <w:tc>
          <w:tcPr>
            <w:tcW w:w="534" w:type="dxa"/>
          </w:tcPr>
          <w:p w14:paraId="440EDB54" w14:textId="77777777" w:rsidR="00101EA0" w:rsidRPr="00F71281" w:rsidRDefault="00101EA0" w:rsidP="00F71281">
            <w:pPr>
              <w:pStyle w:val="KeinLeerraum"/>
              <w:rPr>
                <w:b/>
              </w:rPr>
            </w:pPr>
            <w:r>
              <w:rPr>
                <w:b/>
              </w:rPr>
              <w:lastRenderedPageBreak/>
              <w:t>#</w:t>
            </w:r>
          </w:p>
        </w:tc>
        <w:tc>
          <w:tcPr>
            <w:tcW w:w="8498" w:type="dxa"/>
          </w:tcPr>
          <w:p w14:paraId="0900FA1D" w14:textId="77777777" w:rsidR="00101EA0" w:rsidRPr="00F71281" w:rsidRDefault="00101EA0" w:rsidP="00F71281">
            <w:pPr>
              <w:pStyle w:val="KeinLeerraum"/>
              <w:rPr>
                <w:b/>
              </w:rPr>
            </w:pPr>
            <w:r w:rsidRPr="00F71281">
              <w:rPr>
                <w:b/>
              </w:rPr>
              <w:t>Statements</w:t>
            </w:r>
          </w:p>
        </w:tc>
        <w:tc>
          <w:tcPr>
            <w:tcW w:w="590" w:type="dxa"/>
          </w:tcPr>
          <w:p w14:paraId="0587E0CA" w14:textId="77777777" w:rsidR="00101EA0" w:rsidRDefault="00101EA0" w:rsidP="00F71281">
            <w:pPr>
              <w:pStyle w:val="KeinLeerraum"/>
            </w:pPr>
          </w:p>
        </w:tc>
      </w:tr>
      <w:tr w:rsidR="00101EA0" w14:paraId="63005D52" w14:textId="77777777" w:rsidTr="00101EA0">
        <w:tc>
          <w:tcPr>
            <w:tcW w:w="534" w:type="dxa"/>
          </w:tcPr>
          <w:p w14:paraId="1FD46230" w14:textId="77777777" w:rsidR="00101EA0" w:rsidRDefault="00101EA0" w:rsidP="00F71281">
            <w:pPr>
              <w:pStyle w:val="KeinLeerraum"/>
            </w:pPr>
            <w:r>
              <w:t>1</w:t>
            </w:r>
          </w:p>
        </w:tc>
        <w:tc>
          <w:tcPr>
            <w:tcW w:w="8498" w:type="dxa"/>
          </w:tcPr>
          <w:p w14:paraId="31C7812A" w14:textId="77777777" w:rsidR="00101EA0" w:rsidRDefault="00101EA0" w:rsidP="00F71281">
            <w:pPr>
              <w:pStyle w:val="KeinLeerraum"/>
            </w:pPr>
            <w:r>
              <w:t>Scenarios reaching about 450ppm CO2eq ar</w:t>
            </w:r>
            <w:r w:rsidR="005F4039">
              <w:t>e characterized by more BECCS in</w:t>
            </w:r>
            <w:r>
              <w:t xml:space="preserve"> 2050</w:t>
            </w:r>
          </w:p>
        </w:tc>
        <w:tc>
          <w:tcPr>
            <w:tcW w:w="590" w:type="dxa"/>
          </w:tcPr>
          <w:p w14:paraId="4DB2E4CD" w14:textId="77777777" w:rsidR="00101EA0" w:rsidRDefault="00101EA0" w:rsidP="00F71281">
            <w:pPr>
              <w:pStyle w:val="KeinLeerraum"/>
            </w:pPr>
          </w:p>
        </w:tc>
      </w:tr>
      <w:tr w:rsidR="00101EA0" w14:paraId="736D11BA" w14:textId="77777777" w:rsidTr="00101EA0">
        <w:tc>
          <w:tcPr>
            <w:tcW w:w="534" w:type="dxa"/>
          </w:tcPr>
          <w:p w14:paraId="2008EC41" w14:textId="77777777" w:rsidR="00101EA0" w:rsidRDefault="00101EA0" w:rsidP="00F71281">
            <w:pPr>
              <w:pStyle w:val="KeinLeerraum"/>
            </w:pPr>
            <w:r>
              <w:t>2</w:t>
            </w:r>
          </w:p>
        </w:tc>
        <w:tc>
          <w:tcPr>
            <w:tcW w:w="8498" w:type="dxa"/>
          </w:tcPr>
          <w:p w14:paraId="115C4ECF" w14:textId="77777777" w:rsidR="00101EA0" w:rsidRDefault="00101EA0" w:rsidP="00F71281">
            <w:pPr>
              <w:pStyle w:val="KeinLeerraum"/>
            </w:pPr>
            <w:r>
              <w:t>Land-use change emissions vary widely and depend on assumptions on bioenergy production and afforestation</w:t>
            </w:r>
          </w:p>
        </w:tc>
        <w:tc>
          <w:tcPr>
            <w:tcW w:w="590" w:type="dxa"/>
          </w:tcPr>
          <w:p w14:paraId="1D4822D5" w14:textId="77777777" w:rsidR="00101EA0" w:rsidRDefault="00101EA0" w:rsidP="00F71281">
            <w:pPr>
              <w:pStyle w:val="KeinLeerraum"/>
            </w:pPr>
          </w:p>
        </w:tc>
      </w:tr>
      <w:tr w:rsidR="00101EA0" w14:paraId="3A6FB8C8" w14:textId="77777777" w:rsidTr="00101EA0">
        <w:tc>
          <w:tcPr>
            <w:tcW w:w="534" w:type="dxa"/>
          </w:tcPr>
          <w:p w14:paraId="3A4E104C" w14:textId="77777777" w:rsidR="00101EA0" w:rsidRDefault="00101EA0" w:rsidP="00F71281">
            <w:pPr>
              <w:pStyle w:val="KeinLeerraum"/>
            </w:pPr>
            <w:r>
              <w:t>3</w:t>
            </w:r>
          </w:p>
        </w:tc>
        <w:tc>
          <w:tcPr>
            <w:tcW w:w="8498" w:type="dxa"/>
          </w:tcPr>
          <w:p w14:paraId="5FD3F3AC" w14:textId="77777777" w:rsidR="00101EA0" w:rsidRDefault="00101EA0" w:rsidP="00F71281">
            <w:pPr>
              <w:pStyle w:val="KeinLeerraum"/>
            </w:pPr>
            <w:r>
              <w:t>A large proportion of the new scenarios include CDR</w:t>
            </w:r>
          </w:p>
        </w:tc>
        <w:tc>
          <w:tcPr>
            <w:tcW w:w="590" w:type="dxa"/>
          </w:tcPr>
          <w:p w14:paraId="6137F2F0" w14:textId="77777777" w:rsidR="00101EA0" w:rsidRDefault="00101EA0" w:rsidP="00F71281">
            <w:pPr>
              <w:pStyle w:val="KeinLeerraum"/>
            </w:pPr>
          </w:p>
        </w:tc>
      </w:tr>
      <w:tr w:rsidR="00101EA0" w14:paraId="0F55734B" w14:textId="77777777" w:rsidTr="00101EA0">
        <w:tc>
          <w:tcPr>
            <w:tcW w:w="534" w:type="dxa"/>
          </w:tcPr>
          <w:p w14:paraId="6B109118" w14:textId="77777777" w:rsidR="00101EA0" w:rsidRDefault="00101EA0" w:rsidP="00F71281">
            <w:pPr>
              <w:pStyle w:val="KeinLeerraum"/>
            </w:pPr>
            <w:r>
              <w:t>4</w:t>
            </w:r>
          </w:p>
        </w:tc>
        <w:tc>
          <w:tcPr>
            <w:tcW w:w="8498" w:type="dxa"/>
          </w:tcPr>
          <w:p w14:paraId="759B27A6" w14:textId="77777777" w:rsidR="00101EA0" w:rsidRDefault="00101EA0" w:rsidP="00F71281">
            <w:pPr>
              <w:pStyle w:val="KeinLeerraum"/>
            </w:pPr>
            <w:r>
              <w:t>Scenarios with higher emission in 2050 are characterized by a greater reliance on CDR technologies after 2050</w:t>
            </w:r>
          </w:p>
        </w:tc>
        <w:tc>
          <w:tcPr>
            <w:tcW w:w="590" w:type="dxa"/>
          </w:tcPr>
          <w:p w14:paraId="5C4CF4BA" w14:textId="77777777" w:rsidR="00101EA0" w:rsidRDefault="00101EA0" w:rsidP="00F71281">
            <w:pPr>
              <w:pStyle w:val="KeinLeerraum"/>
            </w:pPr>
          </w:p>
        </w:tc>
      </w:tr>
      <w:tr w:rsidR="00101EA0" w14:paraId="46B0782B" w14:textId="77777777" w:rsidTr="00101EA0">
        <w:tc>
          <w:tcPr>
            <w:tcW w:w="534" w:type="dxa"/>
          </w:tcPr>
          <w:p w14:paraId="5C34B10D" w14:textId="77777777" w:rsidR="00101EA0" w:rsidRDefault="00101EA0" w:rsidP="00F71281">
            <w:pPr>
              <w:pStyle w:val="KeinLeerraum"/>
            </w:pPr>
            <w:r>
              <w:t>5</w:t>
            </w:r>
          </w:p>
        </w:tc>
        <w:tc>
          <w:tcPr>
            <w:tcW w:w="8498" w:type="dxa"/>
          </w:tcPr>
          <w:p w14:paraId="6C793163" w14:textId="77777777" w:rsidR="00101EA0" w:rsidRDefault="00101EA0" w:rsidP="00F71281">
            <w:pPr>
              <w:pStyle w:val="KeinLeerraum"/>
            </w:pPr>
            <w:r>
              <w:t>Overshoot scenarios typically rely on the availability and widespread deployment of BECCS and afforestation in the second half of the century</w:t>
            </w:r>
          </w:p>
        </w:tc>
        <w:tc>
          <w:tcPr>
            <w:tcW w:w="590" w:type="dxa"/>
          </w:tcPr>
          <w:p w14:paraId="006891DD" w14:textId="77777777" w:rsidR="00101EA0" w:rsidRDefault="00101EA0" w:rsidP="00F71281">
            <w:pPr>
              <w:pStyle w:val="KeinLeerraum"/>
            </w:pPr>
          </w:p>
        </w:tc>
      </w:tr>
      <w:tr w:rsidR="00101EA0" w14:paraId="48D4834E" w14:textId="77777777" w:rsidTr="00101EA0">
        <w:tc>
          <w:tcPr>
            <w:tcW w:w="534" w:type="dxa"/>
          </w:tcPr>
          <w:p w14:paraId="7AFEDBE4" w14:textId="77777777" w:rsidR="00101EA0" w:rsidRDefault="00101EA0" w:rsidP="00F71281">
            <w:pPr>
              <w:pStyle w:val="KeinLeerraum"/>
            </w:pPr>
            <w:r>
              <w:t>6</w:t>
            </w:r>
          </w:p>
        </w:tc>
        <w:tc>
          <w:tcPr>
            <w:tcW w:w="8498" w:type="dxa"/>
          </w:tcPr>
          <w:p w14:paraId="1E46B2FD" w14:textId="77777777" w:rsidR="00101EA0" w:rsidRDefault="00101EA0" w:rsidP="00F71281">
            <w:pPr>
              <w:pStyle w:val="KeinLeerraum"/>
            </w:pPr>
            <w:r>
              <w:t>The availability and scale of CDR technologies are uncertain</w:t>
            </w:r>
          </w:p>
        </w:tc>
        <w:tc>
          <w:tcPr>
            <w:tcW w:w="590" w:type="dxa"/>
          </w:tcPr>
          <w:p w14:paraId="194D62D0" w14:textId="77777777" w:rsidR="00101EA0" w:rsidRDefault="00101EA0" w:rsidP="00F71281">
            <w:pPr>
              <w:pStyle w:val="KeinLeerraum"/>
            </w:pPr>
          </w:p>
        </w:tc>
      </w:tr>
      <w:tr w:rsidR="00101EA0" w14:paraId="34D1676A" w14:textId="77777777" w:rsidTr="00101EA0">
        <w:tc>
          <w:tcPr>
            <w:tcW w:w="534" w:type="dxa"/>
          </w:tcPr>
          <w:p w14:paraId="1BBE1497" w14:textId="77777777" w:rsidR="00101EA0" w:rsidRDefault="00101EA0" w:rsidP="00F71281">
            <w:pPr>
              <w:pStyle w:val="KeinLeerraum"/>
            </w:pPr>
            <w:r>
              <w:t>7</w:t>
            </w:r>
          </w:p>
        </w:tc>
        <w:tc>
          <w:tcPr>
            <w:tcW w:w="8498" w:type="dxa"/>
          </w:tcPr>
          <w:p w14:paraId="6628A2BF" w14:textId="77777777" w:rsidR="00101EA0" w:rsidRDefault="00101EA0" w:rsidP="00F71281">
            <w:pPr>
              <w:pStyle w:val="KeinLeerraum"/>
            </w:pPr>
            <w:r>
              <w:t>CDR technologies and methods are associated with challenges and risks</w:t>
            </w:r>
          </w:p>
        </w:tc>
        <w:tc>
          <w:tcPr>
            <w:tcW w:w="590" w:type="dxa"/>
          </w:tcPr>
          <w:p w14:paraId="3FF85493" w14:textId="77777777" w:rsidR="00101EA0" w:rsidRDefault="00101EA0" w:rsidP="00F71281">
            <w:pPr>
              <w:pStyle w:val="KeinLeerraum"/>
            </w:pPr>
          </w:p>
        </w:tc>
      </w:tr>
      <w:tr w:rsidR="00101EA0" w14:paraId="55FC4E04" w14:textId="77777777" w:rsidTr="00101EA0">
        <w:tc>
          <w:tcPr>
            <w:tcW w:w="534" w:type="dxa"/>
          </w:tcPr>
          <w:p w14:paraId="60792971" w14:textId="77777777" w:rsidR="00101EA0" w:rsidRDefault="00101EA0" w:rsidP="00F71281">
            <w:pPr>
              <w:pStyle w:val="KeinLeerraum"/>
            </w:pPr>
            <w:r>
              <w:t>8</w:t>
            </w:r>
          </w:p>
        </w:tc>
        <w:tc>
          <w:tcPr>
            <w:tcW w:w="8498" w:type="dxa"/>
          </w:tcPr>
          <w:p w14:paraId="2337CF63" w14:textId="77777777" w:rsidR="00101EA0" w:rsidRDefault="00101EA0" w:rsidP="00F71281">
            <w:pPr>
              <w:pStyle w:val="KeinLeerraum"/>
            </w:pPr>
            <w:r>
              <w:t>CDR can compensate for residual emission from sectors where mitigation is more expensive</w:t>
            </w:r>
          </w:p>
        </w:tc>
        <w:tc>
          <w:tcPr>
            <w:tcW w:w="590" w:type="dxa"/>
          </w:tcPr>
          <w:p w14:paraId="2F1BBBB1" w14:textId="77777777" w:rsidR="00101EA0" w:rsidRDefault="00101EA0" w:rsidP="00F71281">
            <w:pPr>
              <w:pStyle w:val="KeinLeerraum"/>
            </w:pPr>
          </w:p>
        </w:tc>
      </w:tr>
      <w:tr w:rsidR="00101EA0" w14:paraId="4A3BC88E" w14:textId="77777777" w:rsidTr="00101EA0">
        <w:tc>
          <w:tcPr>
            <w:tcW w:w="534" w:type="dxa"/>
          </w:tcPr>
          <w:p w14:paraId="4B49CBB1" w14:textId="77777777" w:rsidR="00101EA0" w:rsidRDefault="00101EA0" w:rsidP="00F71281">
            <w:pPr>
              <w:pStyle w:val="KeinLeerraum"/>
            </w:pPr>
            <w:r>
              <w:t>9</w:t>
            </w:r>
          </w:p>
        </w:tc>
        <w:tc>
          <w:tcPr>
            <w:tcW w:w="8498" w:type="dxa"/>
          </w:tcPr>
          <w:p w14:paraId="69180FC7" w14:textId="77777777" w:rsidR="00101EA0" w:rsidRDefault="00101EA0" w:rsidP="00F71281">
            <w:pPr>
              <w:pStyle w:val="KeinLeerraum"/>
            </w:pPr>
            <w:r>
              <w:t>There is uncertainty about the potential for large-scale deployment of BECCS and  largescale afforestation</w:t>
            </w:r>
          </w:p>
        </w:tc>
        <w:tc>
          <w:tcPr>
            <w:tcW w:w="590" w:type="dxa"/>
          </w:tcPr>
          <w:p w14:paraId="5B223443" w14:textId="77777777" w:rsidR="00101EA0" w:rsidRDefault="00101EA0" w:rsidP="00F71281">
            <w:pPr>
              <w:pStyle w:val="KeinLeerraum"/>
            </w:pPr>
          </w:p>
        </w:tc>
      </w:tr>
      <w:tr w:rsidR="00101EA0" w14:paraId="569732D6" w14:textId="77777777" w:rsidTr="00101EA0">
        <w:tc>
          <w:tcPr>
            <w:tcW w:w="534" w:type="dxa"/>
          </w:tcPr>
          <w:p w14:paraId="7289BDBC" w14:textId="77777777" w:rsidR="00101EA0" w:rsidRPr="00F71281" w:rsidRDefault="00101EA0" w:rsidP="00F71281">
            <w:pPr>
              <w:pStyle w:val="KeinLeerraum"/>
            </w:pPr>
            <w:r>
              <w:t>10</w:t>
            </w:r>
          </w:p>
        </w:tc>
        <w:tc>
          <w:tcPr>
            <w:tcW w:w="8498" w:type="dxa"/>
          </w:tcPr>
          <w:p w14:paraId="2940C072" w14:textId="77777777" w:rsidR="00101EA0" w:rsidRDefault="00101EA0" w:rsidP="00F71281">
            <w:pPr>
              <w:pStyle w:val="KeinLeerraum"/>
            </w:pPr>
            <w:r w:rsidRPr="00F71281">
              <w:t>CDR methods have biogeochemical and technological limitations to thei</w:t>
            </w:r>
            <w:r>
              <w:t>r potential on the global scale</w:t>
            </w:r>
          </w:p>
        </w:tc>
        <w:tc>
          <w:tcPr>
            <w:tcW w:w="590" w:type="dxa"/>
          </w:tcPr>
          <w:p w14:paraId="3423A5AA" w14:textId="77777777" w:rsidR="00101EA0" w:rsidRDefault="00101EA0" w:rsidP="00F71281">
            <w:pPr>
              <w:pStyle w:val="KeinLeerraum"/>
            </w:pPr>
          </w:p>
        </w:tc>
      </w:tr>
      <w:tr w:rsidR="00101EA0" w14:paraId="432587A8" w14:textId="77777777" w:rsidTr="00101EA0">
        <w:tc>
          <w:tcPr>
            <w:tcW w:w="534" w:type="dxa"/>
          </w:tcPr>
          <w:p w14:paraId="018631E9" w14:textId="77777777" w:rsidR="00101EA0" w:rsidRPr="00F71281" w:rsidRDefault="00101EA0" w:rsidP="00F71281">
            <w:pPr>
              <w:pStyle w:val="KeinLeerraum"/>
            </w:pPr>
            <w:r>
              <w:t>11</w:t>
            </w:r>
          </w:p>
        </w:tc>
        <w:tc>
          <w:tcPr>
            <w:tcW w:w="8498" w:type="dxa"/>
          </w:tcPr>
          <w:p w14:paraId="143555EB" w14:textId="77777777" w:rsidR="00101EA0" w:rsidRDefault="00101EA0" w:rsidP="00F71281">
            <w:pPr>
              <w:pStyle w:val="KeinLeerraum"/>
            </w:pPr>
            <w:r w:rsidRPr="00F71281">
              <w:t>There is insufficient knowledge to quantify how much CO2 emissions could be partially offset by CDR on a century timescale</w:t>
            </w:r>
          </w:p>
        </w:tc>
        <w:tc>
          <w:tcPr>
            <w:tcW w:w="590" w:type="dxa"/>
          </w:tcPr>
          <w:p w14:paraId="5D2DDA88" w14:textId="77777777" w:rsidR="00101EA0" w:rsidRDefault="00101EA0" w:rsidP="00F71281">
            <w:pPr>
              <w:pStyle w:val="KeinLeerraum"/>
            </w:pPr>
          </w:p>
        </w:tc>
      </w:tr>
      <w:tr w:rsidR="00101EA0" w14:paraId="0F093D9B" w14:textId="77777777" w:rsidTr="00101EA0">
        <w:tc>
          <w:tcPr>
            <w:tcW w:w="534" w:type="dxa"/>
          </w:tcPr>
          <w:p w14:paraId="11D21DF0" w14:textId="77777777" w:rsidR="00101EA0" w:rsidRPr="00F71281" w:rsidRDefault="00101EA0" w:rsidP="00F71281">
            <w:pPr>
              <w:pStyle w:val="KeinLeerraum"/>
            </w:pPr>
            <w:r>
              <w:t>12</w:t>
            </w:r>
          </w:p>
        </w:tc>
        <w:tc>
          <w:tcPr>
            <w:tcW w:w="8498" w:type="dxa"/>
          </w:tcPr>
          <w:p w14:paraId="44D334DD" w14:textId="77777777" w:rsidR="00101EA0" w:rsidRPr="00F71281" w:rsidRDefault="00101EA0" w:rsidP="00F71281">
            <w:pPr>
              <w:pStyle w:val="KeinLeerraum"/>
            </w:pPr>
            <w:r w:rsidRPr="00F71281">
              <w:t>Scenarios with annual GHG emissions above 55 GtCO2eq in 2030 are characterized by</w:t>
            </w:r>
            <w:r>
              <w:t xml:space="preserve"> substantially higher rates of emissions reductions from 2030 to 2050 and </w:t>
            </w:r>
            <w:r w:rsidRPr="00F71281">
              <w:t>a larger reliance on CDR technologies in the long-term</w:t>
            </w:r>
          </w:p>
        </w:tc>
        <w:tc>
          <w:tcPr>
            <w:tcW w:w="590" w:type="dxa"/>
          </w:tcPr>
          <w:p w14:paraId="759FD05C" w14:textId="77777777" w:rsidR="00101EA0" w:rsidRDefault="00101EA0" w:rsidP="00F71281">
            <w:pPr>
              <w:pStyle w:val="KeinLeerraum"/>
            </w:pPr>
          </w:p>
        </w:tc>
      </w:tr>
      <w:tr w:rsidR="00101EA0" w14:paraId="0257869A" w14:textId="77777777" w:rsidTr="00101EA0">
        <w:tc>
          <w:tcPr>
            <w:tcW w:w="534" w:type="dxa"/>
          </w:tcPr>
          <w:p w14:paraId="708D113D" w14:textId="77777777" w:rsidR="00101EA0" w:rsidRPr="00F71281" w:rsidRDefault="00101EA0" w:rsidP="00F71281">
            <w:pPr>
              <w:pStyle w:val="KeinLeerraum"/>
            </w:pPr>
            <w:r>
              <w:t>13</w:t>
            </w:r>
          </w:p>
        </w:tc>
        <w:tc>
          <w:tcPr>
            <w:tcW w:w="8498" w:type="dxa"/>
          </w:tcPr>
          <w:p w14:paraId="6EDB3842" w14:textId="77777777" w:rsidR="00101EA0" w:rsidRPr="00F71281" w:rsidRDefault="00101EA0" w:rsidP="00F71281">
            <w:pPr>
              <w:pStyle w:val="KeinLeerraum"/>
            </w:pPr>
            <w:r w:rsidRPr="00F71281">
              <w:t>Many models could not achieve atmospheric concentration levels of about 450 ppm CO2eq by 2100 if additional mitigation is considerably delayed or under limited availability of key technologies, such as bioenergy, CCS, and their combination (BECCS).</w:t>
            </w:r>
          </w:p>
        </w:tc>
        <w:tc>
          <w:tcPr>
            <w:tcW w:w="590" w:type="dxa"/>
          </w:tcPr>
          <w:p w14:paraId="6B0A39C7" w14:textId="77777777" w:rsidR="00101EA0" w:rsidRDefault="00101EA0" w:rsidP="00F71281">
            <w:pPr>
              <w:pStyle w:val="KeinLeerraum"/>
            </w:pPr>
          </w:p>
        </w:tc>
      </w:tr>
      <w:tr w:rsidR="00101EA0" w14:paraId="0FE59654" w14:textId="77777777" w:rsidTr="00101EA0">
        <w:tc>
          <w:tcPr>
            <w:tcW w:w="534" w:type="dxa"/>
          </w:tcPr>
          <w:p w14:paraId="72D3666F" w14:textId="77777777" w:rsidR="00101EA0" w:rsidRPr="00F71281" w:rsidRDefault="00101EA0" w:rsidP="00F71281">
            <w:pPr>
              <w:pStyle w:val="KeinLeerraum"/>
            </w:pPr>
            <w:r>
              <w:t>14</w:t>
            </w:r>
          </w:p>
        </w:tc>
        <w:tc>
          <w:tcPr>
            <w:tcW w:w="8498" w:type="dxa"/>
          </w:tcPr>
          <w:p w14:paraId="330D9BC6" w14:textId="77777777" w:rsidR="00101EA0" w:rsidRPr="00F71281" w:rsidRDefault="00101EA0" w:rsidP="00F71281">
            <w:pPr>
              <w:pStyle w:val="KeinLeerraum"/>
            </w:pPr>
            <w:r w:rsidRPr="00F71281">
              <w:t>The distribution of the mitigation effort across sectors is strongly influenced by the availability and performance of BECCS and large scale afforestation</w:t>
            </w:r>
          </w:p>
        </w:tc>
        <w:tc>
          <w:tcPr>
            <w:tcW w:w="590" w:type="dxa"/>
          </w:tcPr>
          <w:p w14:paraId="2C1DD79E" w14:textId="77777777" w:rsidR="00101EA0" w:rsidRDefault="00101EA0" w:rsidP="00F71281">
            <w:pPr>
              <w:pStyle w:val="KeinLeerraum"/>
            </w:pPr>
          </w:p>
        </w:tc>
      </w:tr>
      <w:tr w:rsidR="00101EA0" w14:paraId="7F544991" w14:textId="77777777" w:rsidTr="00101EA0">
        <w:tc>
          <w:tcPr>
            <w:tcW w:w="534" w:type="dxa"/>
          </w:tcPr>
          <w:p w14:paraId="75C4C464" w14:textId="77777777" w:rsidR="00101EA0" w:rsidRPr="00F71281" w:rsidRDefault="00101EA0" w:rsidP="00F71281">
            <w:pPr>
              <w:pStyle w:val="KeinLeerraum"/>
            </w:pPr>
            <w:r>
              <w:t>15</w:t>
            </w:r>
          </w:p>
        </w:tc>
        <w:tc>
          <w:tcPr>
            <w:tcW w:w="8498" w:type="dxa"/>
          </w:tcPr>
          <w:p w14:paraId="18AF3328" w14:textId="77777777" w:rsidR="00101EA0" w:rsidRPr="00F71281" w:rsidRDefault="00101EA0" w:rsidP="00F71281">
            <w:pPr>
              <w:pStyle w:val="KeinLeerraum"/>
            </w:pPr>
            <w:r w:rsidRPr="00F71281">
              <w:t>Combining bioenergy with CCS (BECCS) offers the prospect of energy supply with large-scale net negative emissions which plays an important role in many low-stabilization scenarios</w:t>
            </w:r>
          </w:p>
        </w:tc>
        <w:tc>
          <w:tcPr>
            <w:tcW w:w="590" w:type="dxa"/>
          </w:tcPr>
          <w:p w14:paraId="144A3EB4" w14:textId="77777777" w:rsidR="00101EA0" w:rsidRDefault="00101EA0" w:rsidP="00F71281">
            <w:pPr>
              <w:pStyle w:val="KeinLeerraum"/>
            </w:pPr>
          </w:p>
        </w:tc>
      </w:tr>
      <w:tr w:rsidR="00101EA0" w14:paraId="55EE7AA3" w14:textId="77777777" w:rsidTr="00101EA0">
        <w:tc>
          <w:tcPr>
            <w:tcW w:w="534" w:type="dxa"/>
          </w:tcPr>
          <w:p w14:paraId="5F973922" w14:textId="77777777" w:rsidR="00101EA0" w:rsidRPr="00101EA0" w:rsidRDefault="00101EA0" w:rsidP="00F71281">
            <w:pPr>
              <w:pStyle w:val="KeinLeerraum"/>
            </w:pPr>
            <w:r>
              <w:t>16</w:t>
            </w:r>
          </w:p>
        </w:tc>
        <w:tc>
          <w:tcPr>
            <w:tcW w:w="8498" w:type="dxa"/>
          </w:tcPr>
          <w:p w14:paraId="4777B820" w14:textId="77777777" w:rsidR="00101EA0" w:rsidRPr="00F71281" w:rsidRDefault="00101EA0" w:rsidP="00F71281">
            <w:pPr>
              <w:pStyle w:val="KeinLeerraum"/>
            </w:pPr>
            <w:r w:rsidRPr="00101EA0">
              <w:t>Most recent estimates indicate a decline in AFOLU CO2 fluxes, largely due to decreasing deforestation rates and increased afforestation</w:t>
            </w:r>
          </w:p>
        </w:tc>
        <w:tc>
          <w:tcPr>
            <w:tcW w:w="590" w:type="dxa"/>
          </w:tcPr>
          <w:p w14:paraId="56DF773E" w14:textId="77777777" w:rsidR="00101EA0" w:rsidRDefault="00101EA0" w:rsidP="00F71281">
            <w:pPr>
              <w:pStyle w:val="KeinLeerraum"/>
            </w:pPr>
          </w:p>
        </w:tc>
      </w:tr>
      <w:tr w:rsidR="00101EA0" w14:paraId="6F20CEEF" w14:textId="77777777" w:rsidTr="00101EA0">
        <w:tc>
          <w:tcPr>
            <w:tcW w:w="534" w:type="dxa"/>
          </w:tcPr>
          <w:p w14:paraId="38E39562" w14:textId="77777777" w:rsidR="00101EA0" w:rsidRPr="00F71281" w:rsidRDefault="00101EA0" w:rsidP="00F71281">
            <w:pPr>
              <w:pStyle w:val="KeinLeerraum"/>
            </w:pPr>
            <w:r>
              <w:t>17</w:t>
            </w:r>
          </w:p>
        </w:tc>
        <w:tc>
          <w:tcPr>
            <w:tcW w:w="8498" w:type="dxa"/>
          </w:tcPr>
          <w:p w14:paraId="0DE6A619" w14:textId="77777777" w:rsidR="00101EA0" w:rsidRPr="00F71281" w:rsidRDefault="00101EA0" w:rsidP="00F71281">
            <w:pPr>
              <w:pStyle w:val="KeinLeerraum"/>
            </w:pPr>
            <w:r>
              <w:t>N</w:t>
            </w:r>
            <w:r w:rsidRPr="00101EA0">
              <w:t>et annual baseline CO2 emissions from AFOLU are projected to decline</w:t>
            </w:r>
            <w:r>
              <w:t xml:space="preserve"> in the future</w:t>
            </w:r>
            <w:r w:rsidRPr="00101EA0">
              <w:t>, with net emissions potentially less than half the 2010 level by 2050 and the possibility of the AFOLU sectors becoming a net CO2 sink before the end of century</w:t>
            </w:r>
          </w:p>
        </w:tc>
        <w:tc>
          <w:tcPr>
            <w:tcW w:w="590" w:type="dxa"/>
          </w:tcPr>
          <w:p w14:paraId="647ECA39" w14:textId="77777777" w:rsidR="00101EA0" w:rsidRDefault="00101EA0" w:rsidP="00F71281">
            <w:pPr>
              <w:pStyle w:val="KeinLeerraum"/>
            </w:pPr>
          </w:p>
        </w:tc>
      </w:tr>
      <w:tr w:rsidR="00101EA0" w14:paraId="0463C81C" w14:textId="77777777" w:rsidTr="00101EA0">
        <w:tc>
          <w:tcPr>
            <w:tcW w:w="534" w:type="dxa"/>
          </w:tcPr>
          <w:p w14:paraId="58AFAC0C" w14:textId="77777777" w:rsidR="00101EA0" w:rsidRPr="00F71281" w:rsidRDefault="00101EA0" w:rsidP="00F71281">
            <w:pPr>
              <w:pStyle w:val="KeinLeerraum"/>
            </w:pPr>
            <w:r>
              <w:t>18</w:t>
            </w:r>
          </w:p>
        </w:tc>
        <w:tc>
          <w:tcPr>
            <w:tcW w:w="8498" w:type="dxa"/>
          </w:tcPr>
          <w:p w14:paraId="666820B3" w14:textId="77777777" w:rsidR="00101EA0" w:rsidRPr="00F71281" w:rsidRDefault="00101EA0" w:rsidP="00101EA0">
            <w:pPr>
              <w:pStyle w:val="KeinLeerraum"/>
            </w:pPr>
            <w:r>
              <w:t>Afforestation is one of t</w:t>
            </w:r>
            <w:r w:rsidRPr="00101EA0">
              <w:t xml:space="preserve">he most cost-effective mitigation options in forestry with large differences across regions. </w:t>
            </w:r>
          </w:p>
        </w:tc>
        <w:tc>
          <w:tcPr>
            <w:tcW w:w="590" w:type="dxa"/>
          </w:tcPr>
          <w:p w14:paraId="43BB52C9" w14:textId="77777777" w:rsidR="00101EA0" w:rsidRDefault="00101EA0" w:rsidP="00F71281">
            <w:pPr>
              <w:pStyle w:val="KeinLeerraum"/>
            </w:pPr>
          </w:p>
        </w:tc>
      </w:tr>
    </w:tbl>
    <w:p w14:paraId="03007A8C" w14:textId="77777777" w:rsidR="00F71281" w:rsidRDefault="00F71281" w:rsidP="00AD2C18"/>
    <w:p w14:paraId="4469EBF4" w14:textId="77777777" w:rsidR="006E3232" w:rsidRPr="003A7E13" w:rsidRDefault="003A7E13">
      <w:pPr>
        <w:rPr>
          <w:rStyle w:val="berschrift1Zchn"/>
        </w:rPr>
      </w:pPr>
      <w:r w:rsidRPr="003A7E13">
        <w:rPr>
          <w:rStyle w:val="berschrift1Zchn"/>
        </w:rPr>
        <w:t>SPM.4 Mitigation pathways and measures in the context of sustainable development</w:t>
      </w:r>
    </w:p>
    <w:p w14:paraId="2E8DD818" w14:textId="77777777" w:rsidR="003A7E13" w:rsidRDefault="003A7E13" w:rsidP="003A7E13">
      <w:pPr>
        <w:pStyle w:val="berschrift2"/>
      </w:pPr>
      <w:bookmarkStart w:id="2" w:name="_Toc525298435"/>
      <w:r>
        <w:t>SPM.4.1</w:t>
      </w:r>
      <w:r w:rsidRPr="003A7E13">
        <w:t xml:space="preserve"> </w:t>
      </w:r>
      <w:r>
        <w:t>Long-term mitigation pathways</w:t>
      </w:r>
      <w:bookmarkEnd w:id="2"/>
    </w:p>
    <w:p w14:paraId="12A7E325" w14:textId="77777777" w:rsidR="003A7E13" w:rsidRDefault="003A7E13" w:rsidP="003A7E13">
      <w:pPr>
        <w:pStyle w:val="berschrift3"/>
      </w:pPr>
      <w:bookmarkStart w:id="3" w:name="_Toc525298436"/>
      <w:r>
        <w:t>Statement 1</w:t>
      </w:r>
      <w:bookmarkEnd w:id="3"/>
    </w:p>
    <w:p w14:paraId="4DC1AE6C" w14:textId="77777777" w:rsidR="006E3232" w:rsidRDefault="006E3232">
      <w:r w:rsidRPr="006E3232">
        <w:rPr>
          <w:b/>
        </w:rPr>
        <w:t xml:space="preserve">Scenarios reaching atmospheric concentration levels of about 450ppm CO2eq by 2100 (consistent with a likely chance to keep temperature change below 2°C relative to pre-industrial levels) include </w:t>
      </w:r>
      <w:r w:rsidRPr="006E3232">
        <w:rPr>
          <w:b/>
        </w:rPr>
        <w:lastRenderedPageBreak/>
        <w:t>substantial cuts in anthropogenic GHG emissions by mid-century through large-scale changes in energy systems and potentially land use (high confidence).</w:t>
      </w:r>
      <w:r>
        <w:t xml:space="preserve"> Scenarios reaching these concentrations by 2100 are characterized by lower global GHG emissions in 2050 than in 2010, 40% to 70% lower globally,</w:t>
      </w:r>
      <w:r w:rsidRPr="006E3232">
        <w:rPr>
          <w:vertAlign w:val="superscript"/>
        </w:rPr>
        <w:t>16</w:t>
      </w:r>
      <w:r>
        <w:t xml:space="preserve"> and emissions levels near zero GtCO2eq or below in 2100. In scenarios reaching about 500 ppm CO2eq by 2100, 2050 emissions levels are 25% to 55% lower than in 2010 globally. In scenarios reaching about 550 ppm CO2eq, emissions in 2050 are from 5% above 2010 levels to 45% below 2010 levels globally (Table SPM.1). At the global level, scenarios reaching about 450 ppm CO2eq are also characterized by more rapid improvements in energy efficiency and a tripling to nearly a quadrupling of the share of zero- and low carbon energy supply from renewables, nuclear energy and fossil energy with carbon dioxide capture and storage (CCS), </w:t>
      </w:r>
      <w:r w:rsidRPr="006E3232">
        <w:rPr>
          <w:b/>
          <w:highlight w:val="yellow"/>
        </w:rPr>
        <w:t>or bioenergy with CCS (</w:t>
      </w:r>
      <w:r w:rsidRPr="00D835E2">
        <w:rPr>
          <w:b/>
          <w:color w:val="F79646" w:themeColor="accent6"/>
          <w:highlight w:val="yellow"/>
        </w:rPr>
        <w:t>BECCS</w:t>
      </w:r>
      <w:r w:rsidRPr="006E3232">
        <w:rPr>
          <w:b/>
          <w:highlight w:val="yellow"/>
        </w:rPr>
        <w:t>) by the year 2050</w:t>
      </w:r>
      <w:r>
        <w:t xml:space="preserve"> (Figure SPM.4, lower panel). These scenarios describe a wide range of changes in land use, reflecting </w:t>
      </w:r>
      <w:r w:rsidRPr="006E3232">
        <w:rPr>
          <w:b/>
          <w:highlight w:val="yellow"/>
        </w:rPr>
        <w:t xml:space="preserve">different assumptions about the scale of bioenergy production, </w:t>
      </w:r>
      <w:r w:rsidRPr="00D835E2">
        <w:rPr>
          <w:b/>
          <w:color w:val="0070C0"/>
          <w:highlight w:val="yellow"/>
        </w:rPr>
        <w:t>afforestation</w:t>
      </w:r>
      <w:r>
        <w:t>, and reduced deforestation. All of these emissions, energy, and land-use changes vary across regions.</w:t>
      </w:r>
      <w:r w:rsidRPr="006E3232">
        <w:rPr>
          <w:vertAlign w:val="superscript"/>
        </w:rPr>
        <w:t>17</w:t>
      </w:r>
      <w:r>
        <w:t xml:space="preserve"> Scenarios reaching higher concentrations include similar changes, but on a slower timescale. On the other hand, scenarios reaching lower concentrations require these changes on a faster timescale. </w:t>
      </w:r>
      <w:r w:rsidRPr="008E2000">
        <w:rPr>
          <w:b/>
          <w:color w:val="FF0000"/>
        </w:rPr>
        <w:t>[6.3, 7.11]</w:t>
      </w:r>
    </w:p>
    <w:p w14:paraId="1A4D56FA" w14:textId="77777777" w:rsidR="006E3232" w:rsidRPr="003A7E13" w:rsidRDefault="006E3232">
      <w:pPr>
        <w:rPr>
          <w:i/>
        </w:rPr>
      </w:pPr>
      <w:r w:rsidRPr="003A7E13">
        <w:rPr>
          <w:i/>
        </w:rPr>
        <w:t xml:space="preserve">Footnote 16 on page 10: </w:t>
      </w:r>
    </w:p>
    <w:p w14:paraId="240E8452" w14:textId="77777777" w:rsidR="006E3232" w:rsidRDefault="006E3232">
      <w:r>
        <w:t xml:space="preserve">“This range differs from the range provided for a similar concentration category in AR4 (50%–85% lower than 2000 for CO2 only). Reasons for this difference include that this report has assessed a substantially larger number of scenarios than in AR4 and looks at all GHGs. </w:t>
      </w:r>
      <w:r w:rsidRPr="006E3232">
        <w:rPr>
          <w:b/>
          <w:highlight w:val="yellow"/>
        </w:rPr>
        <w:t>In addition, a large proportion of the new scenarios include Carbon Dioxide Removal (CDR) technologies (see below)</w:t>
      </w:r>
      <w:r w:rsidRPr="006E3232">
        <w:rPr>
          <w:highlight w:val="yellow"/>
        </w:rPr>
        <w:t>.</w:t>
      </w:r>
      <w:r>
        <w:t xml:space="preserve"> Other factors include the use of 2100 concentration levels instead of stabilization levels and the shift in reference year from 2000 to 2010. </w:t>
      </w:r>
      <w:r w:rsidRPr="006E3232">
        <w:rPr>
          <w:b/>
          <w:highlight w:val="yellow"/>
        </w:rPr>
        <w:t>Scenarios with higher emissions in 2050 are characterized by a greater reliance on CDR technologies beyond mid-century</w:t>
      </w:r>
      <w:r w:rsidRPr="006E3232">
        <w:rPr>
          <w:highlight w:val="yellow"/>
        </w:rPr>
        <w:t>.</w:t>
      </w:r>
      <w:r>
        <w:t>”</w:t>
      </w:r>
    </w:p>
    <w:p w14:paraId="5BF70CE9" w14:textId="77777777" w:rsidR="003A7E13" w:rsidRDefault="003A7E13" w:rsidP="003A7E13">
      <w:pPr>
        <w:pStyle w:val="berschrift3"/>
      </w:pPr>
      <w:bookmarkStart w:id="4" w:name="_Toc525298437"/>
      <w:r>
        <w:t>Statement 2</w:t>
      </w:r>
      <w:bookmarkEnd w:id="4"/>
    </w:p>
    <w:p w14:paraId="2FB73FA8" w14:textId="77777777" w:rsidR="006E3232" w:rsidRPr="008E2000" w:rsidRDefault="006E3232">
      <w:pPr>
        <w:rPr>
          <w:b/>
          <w:color w:val="FF0000"/>
        </w:rPr>
      </w:pPr>
      <w:r w:rsidRPr="006E3232">
        <w:rPr>
          <w:b/>
        </w:rPr>
        <w:t xml:space="preserve">Mitigation scenarios reaching about 450ppm CO2eq in 2100 typically involve temporary overshoot of atmospheric concentrations, as do many scenarios reaching about 500ppm to about 550ppm CO2eq in 2100. </w:t>
      </w:r>
      <w:r w:rsidRPr="003A7E13">
        <w:rPr>
          <w:b/>
          <w:highlight w:val="yellow"/>
        </w:rPr>
        <w:t xml:space="preserve">Depending on the level of the overshoot, overshoot scenarios typically rely on the availability and widespread deployment of </w:t>
      </w:r>
      <w:r w:rsidRPr="00D835E2">
        <w:rPr>
          <w:b/>
          <w:color w:val="F79646" w:themeColor="accent6"/>
          <w:highlight w:val="yellow"/>
        </w:rPr>
        <w:t xml:space="preserve">BECCS </w:t>
      </w:r>
      <w:r w:rsidRPr="003A7E13">
        <w:rPr>
          <w:b/>
          <w:highlight w:val="yellow"/>
        </w:rPr>
        <w:t xml:space="preserve">and </w:t>
      </w:r>
      <w:r w:rsidRPr="00D835E2">
        <w:rPr>
          <w:b/>
          <w:color w:val="0070C0"/>
          <w:highlight w:val="yellow"/>
        </w:rPr>
        <w:t xml:space="preserve">afforestation </w:t>
      </w:r>
      <w:r w:rsidRPr="003A7E13">
        <w:rPr>
          <w:b/>
          <w:highlight w:val="yellow"/>
        </w:rPr>
        <w:t xml:space="preserve">in the second half of the century. The availability and scale of these and other </w:t>
      </w:r>
      <w:r w:rsidRPr="005A402E">
        <w:rPr>
          <w:b/>
          <w:color w:val="00B050"/>
          <w:highlight w:val="yellow"/>
        </w:rPr>
        <w:t xml:space="preserve">Carbon Dioxide Removal </w:t>
      </w:r>
      <w:r w:rsidRPr="003A7E13">
        <w:rPr>
          <w:b/>
          <w:highlight w:val="yellow"/>
        </w:rPr>
        <w:t>(</w:t>
      </w:r>
      <w:r w:rsidRPr="005A402E">
        <w:rPr>
          <w:b/>
          <w:color w:val="00B050"/>
          <w:highlight w:val="yellow"/>
        </w:rPr>
        <w:t>CDR</w:t>
      </w:r>
      <w:r w:rsidRPr="003A7E13">
        <w:rPr>
          <w:b/>
          <w:highlight w:val="yellow"/>
        </w:rPr>
        <w:t xml:space="preserve">) technologies and methods are uncertain and </w:t>
      </w:r>
      <w:r w:rsidRPr="005A402E">
        <w:rPr>
          <w:b/>
          <w:color w:val="00B050"/>
          <w:highlight w:val="yellow"/>
        </w:rPr>
        <w:t xml:space="preserve">CDR </w:t>
      </w:r>
      <w:r w:rsidRPr="003A7E13">
        <w:rPr>
          <w:b/>
          <w:highlight w:val="yellow"/>
        </w:rPr>
        <w:t>technologies and methods are, to varying degrees, associated with challenges and risks</w:t>
      </w:r>
      <w:r w:rsidRPr="006E3232">
        <w:rPr>
          <w:b/>
        </w:rPr>
        <w:t xml:space="preserve"> (high confidence)</w:t>
      </w:r>
      <w:r>
        <w:t xml:space="preserve"> (see Section SPM.4.2).</w:t>
      </w:r>
      <w:r w:rsidRPr="003A7E13">
        <w:rPr>
          <w:vertAlign w:val="superscript"/>
        </w:rPr>
        <w:t>18</w:t>
      </w:r>
      <w:r>
        <w:t xml:space="preserve"> </w:t>
      </w:r>
      <w:r w:rsidRPr="003A7E13">
        <w:rPr>
          <w:b/>
          <w:highlight w:val="yellow"/>
        </w:rPr>
        <w:t>CDR is also prevalent in many scenarios without overshoot to compensate for residual emissions from sectors where mitigation is more expensive</w:t>
      </w:r>
      <w:r>
        <w:t xml:space="preserve">. </w:t>
      </w:r>
      <w:r w:rsidRPr="003A7E13">
        <w:rPr>
          <w:b/>
          <w:highlight w:val="yellow"/>
        </w:rPr>
        <w:t xml:space="preserve">There is uncertainty about the potential for large-scale deployment of </w:t>
      </w:r>
      <w:r w:rsidRPr="00D835E2">
        <w:rPr>
          <w:b/>
          <w:color w:val="F79646" w:themeColor="accent6"/>
          <w:highlight w:val="yellow"/>
        </w:rPr>
        <w:t>BECCS</w:t>
      </w:r>
      <w:r w:rsidRPr="003A7E13">
        <w:rPr>
          <w:b/>
          <w:highlight w:val="yellow"/>
        </w:rPr>
        <w:t xml:space="preserve">, largescale </w:t>
      </w:r>
      <w:r w:rsidRPr="00D835E2">
        <w:rPr>
          <w:b/>
          <w:color w:val="0070C0"/>
          <w:highlight w:val="yellow"/>
        </w:rPr>
        <w:t>afforestation</w:t>
      </w:r>
      <w:r w:rsidRPr="003A7E13">
        <w:rPr>
          <w:b/>
          <w:highlight w:val="yellow"/>
        </w:rPr>
        <w:t>, and other CDR technologies and methods.</w:t>
      </w:r>
      <w:r>
        <w:t xml:space="preserve"> </w:t>
      </w:r>
      <w:r w:rsidRPr="008E2000">
        <w:rPr>
          <w:b/>
          <w:color w:val="FF0000"/>
        </w:rPr>
        <w:t>[2.6, 6.3, 6.9.1, Figure 6.7, 7.11, 11.13]</w:t>
      </w:r>
    </w:p>
    <w:p w14:paraId="2411D0EC" w14:textId="77777777" w:rsidR="003A7E13" w:rsidRDefault="003A7E13">
      <w:r w:rsidRPr="003A7E13">
        <w:rPr>
          <w:i/>
        </w:rPr>
        <w:t>Footnote 18 on page 11:</w:t>
      </w:r>
      <w:r>
        <w:t xml:space="preserve"> </w:t>
      </w:r>
    </w:p>
    <w:p w14:paraId="5A88ACBF" w14:textId="77777777" w:rsidR="003A7E13" w:rsidRDefault="003A7E13">
      <w:r>
        <w:t>“</w:t>
      </w:r>
      <w:r w:rsidRPr="003A7E13">
        <w:rPr>
          <w:b/>
          <w:highlight w:val="yellow"/>
        </w:rPr>
        <w:t xml:space="preserve">According to WGI, </w:t>
      </w:r>
      <w:r w:rsidRPr="005A402E">
        <w:rPr>
          <w:b/>
          <w:color w:val="00B050"/>
          <w:highlight w:val="yellow"/>
        </w:rPr>
        <w:t xml:space="preserve">CDR </w:t>
      </w:r>
      <w:r w:rsidRPr="003A7E13">
        <w:rPr>
          <w:b/>
          <w:highlight w:val="yellow"/>
        </w:rPr>
        <w:t xml:space="preserve">methods have biogeochemical and technological limitations to their potential on the global scale. There is insufficient knowledge to quantify how much CO2 emissions could be partially offset by </w:t>
      </w:r>
      <w:r w:rsidRPr="005A402E">
        <w:rPr>
          <w:b/>
          <w:color w:val="00B050"/>
          <w:highlight w:val="yellow"/>
        </w:rPr>
        <w:t xml:space="preserve">CDR </w:t>
      </w:r>
      <w:r w:rsidRPr="003A7E13">
        <w:rPr>
          <w:b/>
          <w:highlight w:val="yellow"/>
        </w:rPr>
        <w:t xml:space="preserve">on a century timescale. </w:t>
      </w:r>
      <w:r w:rsidRPr="005A402E">
        <w:rPr>
          <w:b/>
          <w:color w:val="00B050"/>
          <w:highlight w:val="yellow"/>
        </w:rPr>
        <w:t xml:space="preserve">CDR </w:t>
      </w:r>
      <w:r w:rsidRPr="003A7E13">
        <w:rPr>
          <w:b/>
          <w:highlight w:val="yellow"/>
        </w:rPr>
        <w:t>methods carry side-effects and long-term consequences on a global scale.</w:t>
      </w:r>
      <w:r>
        <w:t xml:space="preserve"> </w:t>
      </w:r>
      <w:r w:rsidRPr="008E2000">
        <w:rPr>
          <w:b/>
          <w:color w:val="FF0000"/>
        </w:rPr>
        <w:t>[WGI SPM.E.8]</w:t>
      </w:r>
      <w:r>
        <w:t>”</w:t>
      </w:r>
    </w:p>
    <w:p w14:paraId="4858125F" w14:textId="77777777" w:rsidR="003A7E13" w:rsidRDefault="003A7E13" w:rsidP="003A7E13">
      <w:pPr>
        <w:pStyle w:val="berschrift3"/>
      </w:pPr>
      <w:bookmarkStart w:id="5" w:name="_Toc525298438"/>
      <w:r>
        <w:lastRenderedPageBreak/>
        <w:t>Statement 3</w:t>
      </w:r>
      <w:bookmarkEnd w:id="5"/>
    </w:p>
    <w:p w14:paraId="75C5B16E" w14:textId="77777777" w:rsidR="006E3232" w:rsidRPr="006E3232" w:rsidRDefault="003A7E13">
      <w:r w:rsidRPr="003A7E13">
        <w:rPr>
          <w:b/>
        </w:rPr>
        <w:t xml:space="preserve">Delaying mitigation efforts beyond those in place today through 2030 is estimated to substantially increase the difficulty of the transition to low longer-term emissions levels and narrow the range of options consistent with maintaining temperature change below 2°C relative to pre-industrial levels (high confidence). </w:t>
      </w:r>
      <w:r>
        <w:t xml:space="preserve">Cost effective mitigation scenarios that make it at least about as likely as not that temperature change will remain below 2 °C relative to pre-industrial levels (2100 concentrations of about 450 to about 500 ppm CO2eq) are typically characterized by annual GHG emissions in 2030 of roughly between 30 GtCO2eq and 50 GtCO2eq (Figure SPM.5, left panel). </w:t>
      </w:r>
      <w:r w:rsidRPr="00F71281">
        <w:rPr>
          <w:b/>
          <w:highlight w:val="yellow"/>
        </w:rPr>
        <w:t xml:space="preserve">Scenarios with annual GHG emissions above 55 GtCO2eq in 2030 are characterized by substantially higher rates of emissions reductions from 2030 to 2050 (Figure SPM.5, middle panel); much more rapid scale-up of low-carbon energy over this period (Figure SPM.5, right panel); a larger reliance on </w:t>
      </w:r>
      <w:r w:rsidRPr="005A402E">
        <w:rPr>
          <w:b/>
          <w:color w:val="00B050"/>
          <w:highlight w:val="yellow"/>
        </w:rPr>
        <w:t xml:space="preserve">CDR </w:t>
      </w:r>
      <w:r w:rsidRPr="00F71281">
        <w:rPr>
          <w:b/>
          <w:highlight w:val="yellow"/>
        </w:rPr>
        <w:t>technologies in the long-term; and higher transitional and long-term economic impacts</w:t>
      </w:r>
      <w:r>
        <w:t xml:space="preserve"> (</w:t>
      </w:r>
      <w:r w:rsidRPr="008E2000">
        <w:rPr>
          <w:b/>
          <w:color w:val="FF0000"/>
        </w:rPr>
        <w:t>Table SPM.2, orange segment</w:t>
      </w:r>
      <w:r>
        <w:t xml:space="preserve">). Due to these increased mitigation challenges, many models with annual 2030 GHG emissions higher than 55 GtCO2eq could not produce scenarios reaching atmospheric concentration levels that make it about as likely as not that temperature change will remain below 2 °C relative to pre-industrial levels. </w:t>
      </w:r>
      <w:r w:rsidRPr="008E2000">
        <w:rPr>
          <w:b/>
          <w:color w:val="FF0000"/>
        </w:rPr>
        <w:t>[6.4, 7.11, Figures TS.11, TS.13]</w:t>
      </w:r>
    </w:p>
    <w:p w14:paraId="3C34D0E2" w14:textId="77777777" w:rsidR="003A7E13" w:rsidRPr="00ED6FAC" w:rsidRDefault="003A7E13"/>
    <w:p w14:paraId="513E34C2" w14:textId="77777777" w:rsidR="003A7E13" w:rsidRDefault="003A7E13">
      <w:pPr>
        <w:rPr>
          <w:b/>
          <w:color w:val="FF0000"/>
        </w:rPr>
      </w:pPr>
      <w:r>
        <w:t>Figure SPM.5| The implications of different 2030 GHG emissions levels (left panel) for the rate of CO2 emissions reductions from 2030 to 2050 (middle panel) and low-carbon energy upscaling from 2030 to 2050 and 2100 (right panel) in mitigation scenarios reaching about 450 to about 500 (430–530) ppm CO2eq concentrations by 2100. The scenarios are grouped according to different emissions levels by 2030 (coloured in different shades of green). The left panel shows the pathways of GHG emissions (GtCO2eq/yr) leading to these 2030 levels. The black bar shows the estimated uncertainty range of GHG emissions implied by the Cancún Pledges. The middle panel denotes the average annual CO2 emissions reduction rates for the period 2030–2050. It compares the median and interquartile range across scenarios from recent intermodel comparisons with explicit 2030 interim goals to the range of scenarios in the Scenario Database for WGIII AR5. Annual rates of historical emissions change between 1900 –2010 (sustained over a period of 20 years) and average annual emissions change between</w:t>
      </w:r>
      <w:r w:rsidR="004C33EA">
        <w:t xml:space="preserve"> </w:t>
      </w:r>
      <w:r>
        <w:t xml:space="preserve">2000–2010 are shown in grey. The arrows in the right panel show the magnitude of zero and low-carbon energy supply up-scaling from 2030 to 2050 subject to different 2030 GHG emissions levels. Zero- and low-carbon energy supply includes renewables, nuclear energy, fossil energy with carbon dioxide capture and storage (CCS), </w:t>
      </w:r>
      <w:r w:rsidRPr="003A7E13">
        <w:rPr>
          <w:b/>
          <w:highlight w:val="yellow"/>
        </w:rPr>
        <w:t>and bioenergy with CCS (</w:t>
      </w:r>
      <w:r w:rsidRPr="00D835E2">
        <w:rPr>
          <w:b/>
          <w:color w:val="F79646" w:themeColor="accent6"/>
          <w:highlight w:val="yellow"/>
        </w:rPr>
        <w:t>BECCS</w:t>
      </w:r>
      <w:r>
        <w:t xml:space="preserve">). Note: Only scenarios that apply the full, unconstrained mitigation technology portfolio of the underlying models (default technology assumption) are shown. Scenarios with large net negative global emissions (&gt;20 GtCO2/yr), scenarios with exogenous carbon price assumptions, and scenarios with 2010 emissions significantly outside the historical range are excluded. The right-hand panel includes only 68 scenarios, because three of the 71 scenarios shown in the figure do not report some subcategories for primary energy that are required to calculate the share of zero- and low-carbon energy. </w:t>
      </w:r>
      <w:r w:rsidRPr="008E2000">
        <w:rPr>
          <w:b/>
          <w:color w:val="FF0000"/>
        </w:rPr>
        <w:t>[Figures 6.32 and 7.16; 13.13.1.3]</w:t>
      </w:r>
    </w:p>
    <w:p w14:paraId="5A7ADB54" w14:textId="77777777" w:rsidR="003A7E13" w:rsidRDefault="003A7E13">
      <w:r w:rsidRPr="008E2000">
        <w:rPr>
          <w:b/>
        </w:rPr>
        <w:t>Estimates of the aggregate economic costs of mitigation vary widely and are highly sensitive to model design and assumptions as well as the specification of scenarios, including the characterization of technologies and the timing of mitigation (high confidence).</w:t>
      </w:r>
      <w:r>
        <w:t xml:space="preserve"> Scenarios in which all countries of the </w:t>
      </w:r>
      <w:r>
        <w:lastRenderedPageBreak/>
        <w:t xml:space="preserve">world begin mitigation immediately, there is a single global carbon price, and all key technologies are available, have been used as a cost-effective benchmark for estimating macroeconomic mitigation costs (Table SPM.2, yellow segments). Under these assumptions, mitigation scenarios that reach atmospheric concentrations of about 450 ppm CO2eq by 2100 entail losses in global consumption— not including benefits of reduced climate change as well as co-benefits and adverse side-effects of mitigation19—of 1% to 4% (median: 1.7%) in 2030, 2% to 6% (median: 3.4%) in 2050, and 3% to 11% (median: 4.8%) in 2100 relative to consumption in baseline scenarios that grows anywhere from 300% to more than 900% over the century. These numbers correspond to an annualized reduction of consumption growth by 0.04 to 0.14 (median: 0.06) percentage points over the century relative to annualized consumption growth in the baseline that is between 1.6% and 3% per year. Estimates at the high end of these cost ranges are from models that are relatively inflexible to achieve the deep emissions reductions required in the long run to meet these goals and/or include assumptions about market imperfections that would raise costs. Under the absence or limited availability of technologies, mitigation costs can increase substantially depending on the technology considered (Table SPM.2, grey segment). Delaying additional mitigation further increases mitigation costs in the medium- to long-term (Table SPM.2, orange segment). </w:t>
      </w:r>
      <w:r w:rsidRPr="003A7E13">
        <w:rPr>
          <w:b/>
          <w:highlight w:val="yellow"/>
        </w:rPr>
        <w:t>Many models could not achieve atmospheric concentration levels of about 450 ppm CO2eq by 2100 if additional mitigation is considerably delayed or under limited availability of key technologies, such as bioenergy, CCS, and their combination (</w:t>
      </w:r>
      <w:r w:rsidRPr="00D835E2">
        <w:rPr>
          <w:b/>
          <w:color w:val="F79646" w:themeColor="accent6"/>
          <w:highlight w:val="yellow"/>
        </w:rPr>
        <w:t>BECCS</w:t>
      </w:r>
      <w:r w:rsidRPr="003A7E13">
        <w:rPr>
          <w:b/>
          <w:highlight w:val="yellow"/>
        </w:rPr>
        <w:t>).</w:t>
      </w:r>
      <w:r>
        <w:t xml:space="preserve"> </w:t>
      </w:r>
      <w:r w:rsidRPr="008E2000">
        <w:rPr>
          <w:b/>
          <w:color w:val="FF0000"/>
        </w:rPr>
        <w:t>[6.3]</w:t>
      </w:r>
    </w:p>
    <w:p w14:paraId="363D1216" w14:textId="77777777" w:rsidR="008E2000" w:rsidRDefault="008E2000">
      <w:pPr>
        <w:rPr>
          <w:b/>
        </w:rPr>
      </w:pPr>
    </w:p>
    <w:p w14:paraId="5FEBB766" w14:textId="77777777" w:rsidR="008E2000" w:rsidRDefault="008E2000" w:rsidP="008E2000">
      <w:pPr>
        <w:pStyle w:val="berschrift2"/>
      </w:pPr>
      <w:bookmarkStart w:id="6" w:name="_Toc525298439"/>
      <w:r>
        <w:t>SPM.4.2 Sectoral and cross-sectoral mitigation pathways and measures</w:t>
      </w:r>
      <w:bookmarkEnd w:id="6"/>
    </w:p>
    <w:p w14:paraId="70E7A2FC" w14:textId="77777777" w:rsidR="008E2000" w:rsidRDefault="008E2000" w:rsidP="008E2000">
      <w:pPr>
        <w:pStyle w:val="berschrift3"/>
      </w:pPr>
      <w:bookmarkStart w:id="7" w:name="_Toc525298440"/>
      <w:r>
        <w:t>SPM.4.2.1 Cross-sectoral mitigation pathways and measures</w:t>
      </w:r>
      <w:bookmarkEnd w:id="7"/>
    </w:p>
    <w:p w14:paraId="0164A313" w14:textId="77777777" w:rsidR="003A7E13" w:rsidRDefault="003A7E13">
      <w:pPr>
        <w:rPr>
          <w:b/>
          <w:color w:val="FF0000"/>
        </w:rPr>
      </w:pPr>
      <w:r w:rsidRPr="003A7E13">
        <w:rPr>
          <w:b/>
        </w:rPr>
        <w:t>There are strong interdependencies in mitigation scenarios between the pace of introducing mitigation measures in energy supply and energy end-use and developments in the AFOLU sector (high confidence).</w:t>
      </w:r>
      <w:r>
        <w:t xml:space="preserve"> </w:t>
      </w:r>
      <w:r w:rsidRPr="003A7E13">
        <w:rPr>
          <w:b/>
          <w:highlight w:val="yellow"/>
        </w:rPr>
        <w:t xml:space="preserve">The distribution of the mitigation effort across sectors is strongly influenced by the availability and performance of </w:t>
      </w:r>
      <w:r w:rsidRPr="00D835E2">
        <w:rPr>
          <w:b/>
          <w:color w:val="F79646" w:themeColor="accent6"/>
          <w:highlight w:val="yellow"/>
        </w:rPr>
        <w:t xml:space="preserve">BECCS </w:t>
      </w:r>
      <w:r w:rsidRPr="003A7E13">
        <w:rPr>
          <w:b/>
          <w:highlight w:val="yellow"/>
        </w:rPr>
        <w:t xml:space="preserve">and large scale </w:t>
      </w:r>
      <w:r w:rsidRPr="00D835E2">
        <w:rPr>
          <w:b/>
          <w:color w:val="0070C0"/>
          <w:highlight w:val="yellow"/>
        </w:rPr>
        <w:t>afforestation</w:t>
      </w:r>
      <w:r w:rsidRPr="00D835E2">
        <w:rPr>
          <w:color w:val="0070C0"/>
        </w:rPr>
        <w:t xml:space="preserve"> </w:t>
      </w:r>
      <w:r>
        <w:t>(</w:t>
      </w:r>
      <w:r w:rsidRPr="008E2000">
        <w:rPr>
          <w:b/>
          <w:color w:val="FF0000"/>
        </w:rPr>
        <w:t>Figure SPM.7</w:t>
      </w:r>
      <w:r>
        <w:t xml:space="preserve">). This is particularly the case in scenarios reaching CO2eq concentrations of about 450 ppm by 2100. Well-designed systemic and cross-sectoral mitigation strategies are more cost-effective in cutting emissions than a focus on individual technologies and sectors. At the energy system level these include reductions in the GHG emission intensity of the energy supply sector, a switch to low-carbon energy carriers (including low-carbon electricity) and reductions in energy demand in the end-use sectors without compromising development (Figure SPM.8). </w:t>
      </w:r>
      <w:r w:rsidRPr="008E2000">
        <w:rPr>
          <w:b/>
          <w:color w:val="FF0000"/>
        </w:rPr>
        <w:t>[6.3.5, 6.4, 6.8, 7.11, Table TS.2]</w:t>
      </w:r>
    </w:p>
    <w:p w14:paraId="0CD0B765" w14:textId="77777777" w:rsidR="008E2000" w:rsidRPr="008E2000" w:rsidRDefault="008E2000" w:rsidP="008E2000">
      <w:pPr>
        <w:pStyle w:val="berschrift3"/>
      </w:pPr>
      <w:bookmarkStart w:id="8" w:name="_Toc525298441"/>
      <w:r>
        <w:t>SPM.4.2.2. Energy supply</w:t>
      </w:r>
      <w:bookmarkEnd w:id="8"/>
    </w:p>
    <w:p w14:paraId="3E18469B" w14:textId="77777777" w:rsidR="003A7E13" w:rsidRPr="008E2000" w:rsidRDefault="003A7E13">
      <w:r w:rsidRPr="003A7E13">
        <w:rPr>
          <w:b/>
          <w:highlight w:val="yellow"/>
        </w:rPr>
        <w:t>Combining bioenergy with CCS (</w:t>
      </w:r>
      <w:r w:rsidRPr="00D835E2">
        <w:rPr>
          <w:b/>
          <w:color w:val="F79646" w:themeColor="accent6"/>
          <w:highlight w:val="yellow"/>
        </w:rPr>
        <w:t>BECCS</w:t>
      </w:r>
      <w:r w:rsidRPr="003A7E13">
        <w:rPr>
          <w:b/>
          <w:highlight w:val="yellow"/>
        </w:rPr>
        <w:t>) offers the prospect of energy supply with large-scale net negative emissions which plays an important role in many low-stabilization scenarios, while it entails challenges and risks (limited evidence, medium agreement).</w:t>
      </w:r>
      <w:r>
        <w:t xml:space="preserve"> These challenges and risks include those associated with the upstream large-scale provision of the biomass that is used in the CCS facility as well as those associated with the CCS technology itself. </w:t>
      </w:r>
      <w:r w:rsidRPr="008E2000">
        <w:rPr>
          <w:b/>
          <w:color w:val="FF0000"/>
        </w:rPr>
        <w:t>[7.5.5, 7.9, 11.13]</w:t>
      </w:r>
    </w:p>
    <w:p w14:paraId="44596E08" w14:textId="77777777" w:rsidR="00D835E2" w:rsidRDefault="00D835E2" w:rsidP="00D835E2">
      <w:pPr>
        <w:pStyle w:val="berschrift3"/>
      </w:pPr>
      <w:bookmarkStart w:id="9" w:name="_Toc525298442"/>
      <w:r w:rsidRPr="008E2000">
        <w:lastRenderedPageBreak/>
        <w:t xml:space="preserve">SPM.4.2.4 </w:t>
      </w:r>
      <w:r>
        <w:t>Agriculture, Forestry and Other Land Use (AFOLU)</w:t>
      </w:r>
      <w:bookmarkEnd w:id="9"/>
    </w:p>
    <w:p w14:paraId="35DEF03D" w14:textId="77777777" w:rsidR="00D835E2" w:rsidRDefault="00D835E2" w:rsidP="00D835E2">
      <w:pPr>
        <w:rPr>
          <w:b/>
          <w:color w:val="FF0000"/>
        </w:rPr>
      </w:pPr>
      <w:r w:rsidRPr="008E2000">
        <w:rPr>
          <w:b/>
        </w:rPr>
        <w:t>The AFOLU sector accounts for about a quarter (~10–12 GtCO2eq/yr) of net anthropogenic GHG emissions mainly from deforestation, agricultural emissions from soil and nutrient management and livestock (medium evidence, high agreement).</w:t>
      </w:r>
      <w:r>
        <w:t xml:space="preserve"> </w:t>
      </w:r>
      <w:r w:rsidRPr="008E2000">
        <w:rPr>
          <w:b/>
          <w:highlight w:val="yellow"/>
        </w:rPr>
        <w:t xml:space="preserve">Most recent estimates indicate a decline in AFOLU CO2 fluxes, largely due to decreasing deforestation rates and increased </w:t>
      </w:r>
      <w:r w:rsidRPr="00D835E2">
        <w:rPr>
          <w:b/>
          <w:color w:val="0070C0"/>
          <w:highlight w:val="yellow"/>
        </w:rPr>
        <w:t>afforestation</w:t>
      </w:r>
      <w:r>
        <w:t xml:space="preserve">. However, the uncertainty in historical net AFOLU emissions is larger than for other sectors, and additional uncertainties in projected baseline net AFOLU emissions exist. </w:t>
      </w:r>
      <w:r w:rsidRPr="008E2000">
        <w:rPr>
          <w:b/>
          <w:highlight w:val="yellow"/>
        </w:rPr>
        <w:t>Nonetheless, in the future, net annual baseline CO2 emissions from AFOLU are projected to decline, with net emissions potentially less than half the 2010 level by 2050 and the possibility of the AFOLU sectors becoming a net CO2 sink before the end of century (medium evidence, high agreement).</w:t>
      </w:r>
      <w:r>
        <w:t xml:space="preserve"> </w:t>
      </w:r>
      <w:r w:rsidRPr="008E2000">
        <w:rPr>
          <w:b/>
          <w:color w:val="FF0000"/>
        </w:rPr>
        <w:t>(Figure SPM. 7) [6.3.1.4, 11.2, Figure 6.5]</w:t>
      </w:r>
    </w:p>
    <w:p w14:paraId="44B32B01" w14:textId="77777777" w:rsidR="00D835E2" w:rsidRPr="008D1CEE" w:rsidRDefault="00D835E2" w:rsidP="008D1CEE">
      <w:pPr>
        <w:rPr>
          <w:b/>
          <w:color w:val="FF0000"/>
        </w:rPr>
      </w:pPr>
      <w:r w:rsidRPr="008E2000">
        <w:rPr>
          <w:b/>
          <w:highlight w:val="yellow"/>
        </w:rPr>
        <w:t xml:space="preserve">AFOLU plays a central role for food security and sustainable development. The most cost-effective mitigation options in forestry are </w:t>
      </w:r>
      <w:r w:rsidRPr="00D835E2">
        <w:rPr>
          <w:b/>
          <w:color w:val="0070C0"/>
          <w:highlight w:val="yellow"/>
        </w:rPr>
        <w:t>afforestation</w:t>
      </w:r>
      <w:r w:rsidRPr="008E2000">
        <w:rPr>
          <w:b/>
          <w:highlight w:val="yellow"/>
        </w:rPr>
        <w:t>, sustainable forest management and reducing deforestation, with large differences in their relative importance across regions. In agriculture, the most cost-effective mitigation options are cropland management, grazing land management, and restoration of organic soils (medium evidence, high agreement).</w:t>
      </w:r>
      <w:r>
        <w:t xml:space="preserve"> The economic mitigation potential of supply-side measures is estimated to be 7.2 to 11 GtCO2eq/year25 in 2030 for mitigation efforts consistent with carbon prices26 up to 100 USD/tCO2eq, about a third of which can be achieved at a &lt;20 USD/tCO2eq (medium evidence, medium agreement). There are barriers to the implementation of available mitigation options </w:t>
      </w:r>
      <w:r w:rsidRPr="007F0DA1">
        <w:rPr>
          <w:b/>
          <w:bCs/>
          <w:color w:val="FF0000"/>
        </w:rPr>
        <w:t>[11.7, 11.8]</w:t>
      </w:r>
      <w:r>
        <w:t>. Demand-side measures, such as changes in diet and reductions of losses in the food supply chain, have a significant, but uncertain, potential to reduce GHG emissions from food production (medium evidence, medium agreement). Estimates vary from roughly 0.76–8.6 GtCO2eq/yr by 2050 (limited evidence, medium agreement). [11.4, 11.6, Figure 11.14]</w:t>
      </w:r>
    </w:p>
    <w:p w14:paraId="28858CD9" w14:textId="77777777" w:rsidR="00101EA0" w:rsidRDefault="00101EA0">
      <w:pPr>
        <w:spacing w:after="0" w:line="240" w:lineRule="auto"/>
        <w:rPr>
          <w:rFonts w:asciiTheme="majorHAnsi" w:eastAsiaTheme="majorEastAsia" w:hAnsiTheme="majorHAnsi" w:cstheme="majorBidi"/>
          <w:b/>
          <w:bCs/>
          <w:color w:val="365F91" w:themeColor="accent1" w:themeShade="BF"/>
          <w:sz w:val="28"/>
          <w:szCs w:val="28"/>
        </w:rPr>
      </w:pPr>
      <w:r>
        <w:br w:type="page"/>
      </w:r>
    </w:p>
    <w:p w14:paraId="26791F40" w14:textId="77777777" w:rsidR="008E2000" w:rsidRDefault="008E2000" w:rsidP="008E2000">
      <w:pPr>
        <w:pStyle w:val="berschrift1"/>
      </w:pPr>
      <w:bookmarkStart w:id="10" w:name="_Toc525298443"/>
      <w:r w:rsidRPr="008E2000">
        <w:lastRenderedPageBreak/>
        <w:t>IPCC AR5 WGIII – Technical Summary</w:t>
      </w:r>
      <w:bookmarkEnd w:id="10"/>
    </w:p>
    <w:p w14:paraId="0FB0997E" w14:textId="77777777" w:rsidR="00101EA0" w:rsidRPr="00101EA0" w:rsidRDefault="00101EA0" w:rsidP="00101EA0">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1"/>
        <w:gridCol w:w="1825"/>
      </w:tblGrid>
      <w:tr w:rsidR="00FE4BC7" w14:paraId="21748012" w14:textId="77777777" w:rsidTr="003C2A33">
        <w:tc>
          <w:tcPr>
            <w:tcW w:w="7763" w:type="dxa"/>
          </w:tcPr>
          <w:p w14:paraId="04FD35F1" w14:textId="77777777" w:rsidR="00FE4BC7" w:rsidRPr="00FE4BC7" w:rsidRDefault="00FE4BC7" w:rsidP="003C2A33">
            <w:pPr>
              <w:pStyle w:val="KeinLeerraum"/>
              <w:rPr>
                <w:b/>
              </w:rPr>
            </w:pPr>
            <w:r w:rsidRPr="00FE4BC7">
              <w:rPr>
                <w:b/>
              </w:rPr>
              <w:t>Keyword</w:t>
            </w:r>
          </w:p>
        </w:tc>
        <w:tc>
          <w:tcPr>
            <w:tcW w:w="1859" w:type="dxa"/>
          </w:tcPr>
          <w:p w14:paraId="010B16C0" w14:textId="77777777" w:rsidR="00FE4BC7" w:rsidRPr="00FE4BC7" w:rsidRDefault="00FE4BC7" w:rsidP="003C2A33">
            <w:pPr>
              <w:pStyle w:val="KeinLeerraum"/>
              <w:rPr>
                <w:b/>
              </w:rPr>
            </w:pPr>
            <w:r w:rsidRPr="00FE4BC7">
              <w:rPr>
                <w:b/>
              </w:rPr>
              <w:t>Count</w:t>
            </w:r>
          </w:p>
        </w:tc>
      </w:tr>
      <w:tr w:rsidR="00B80049" w14:paraId="7E4D13CE" w14:textId="77777777" w:rsidTr="003C2A33">
        <w:tc>
          <w:tcPr>
            <w:tcW w:w="7763" w:type="dxa"/>
          </w:tcPr>
          <w:p w14:paraId="0D61EE7C" w14:textId="77777777" w:rsidR="00B80049" w:rsidRPr="00B80049" w:rsidRDefault="00B80049" w:rsidP="003C2A33">
            <w:pPr>
              <w:pStyle w:val="KeinLeerraum"/>
              <w:rPr>
                <w:b/>
              </w:rPr>
            </w:pPr>
            <w:r w:rsidRPr="00B80049">
              <w:rPr>
                <w:b/>
                <w:color w:val="7030A0"/>
              </w:rPr>
              <w:t>Negative emission</w:t>
            </w:r>
          </w:p>
        </w:tc>
        <w:tc>
          <w:tcPr>
            <w:tcW w:w="1859" w:type="dxa"/>
          </w:tcPr>
          <w:p w14:paraId="0106D604" w14:textId="77777777" w:rsidR="00B80049" w:rsidRDefault="00B80049" w:rsidP="003C2A33">
            <w:pPr>
              <w:pStyle w:val="KeinLeerraum"/>
            </w:pPr>
            <w:r>
              <w:t>9+</w:t>
            </w:r>
          </w:p>
        </w:tc>
      </w:tr>
      <w:tr w:rsidR="00B80049" w14:paraId="70EEBE7F" w14:textId="77777777" w:rsidTr="003C2A33">
        <w:tc>
          <w:tcPr>
            <w:tcW w:w="7763" w:type="dxa"/>
          </w:tcPr>
          <w:p w14:paraId="6DFDBECE" w14:textId="77777777" w:rsidR="00B80049" w:rsidRPr="00B80049" w:rsidRDefault="00B80049" w:rsidP="003C2A33">
            <w:pPr>
              <w:pStyle w:val="KeinLeerraum"/>
              <w:rPr>
                <w:b/>
              </w:rPr>
            </w:pPr>
            <w:r>
              <w:rPr>
                <w:b/>
                <w:color w:val="00B050"/>
              </w:rPr>
              <w:t>C</w:t>
            </w:r>
            <w:r w:rsidRPr="00B80049">
              <w:rPr>
                <w:b/>
                <w:color w:val="00B050"/>
              </w:rPr>
              <w:t>arbon dioxide removal/CDR</w:t>
            </w:r>
          </w:p>
        </w:tc>
        <w:tc>
          <w:tcPr>
            <w:tcW w:w="1859" w:type="dxa"/>
          </w:tcPr>
          <w:p w14:paraId="3A8DE749" w14:textId="77777777" w:rsidR="00B80049" w:rsidRDefault="00B80049" w:rsidP="003C2A33">
            <w:pPr>
              <w:pStyle w:val="KeinLeerraum"/>
            </w:pPr>
            <w:r>
              <w:t>17</w:t>
            </w:r>
          </w:p>
        </w:tc>
      </w:tr>
      <w:tr w:rsidR="00B80049" w14:paraId="65B8DF22" w14:textId="77777777" w:rsidTr="003C2A33">
        <w:tc>
          <w:tcPr>
            <w:tcW w:w="7763" w:type="dxa"/>
          </w:tcPr>
          <w:p w14:paraId="120F0C52" w14:textId="77777777" w:rsidR="00B80049" w:rsidRPr="00B80049" w:rsidRDefault="00B80049" w:rsidP="003C2A33">
            <w:pPr>
              <w:pStyle w:val="KeinLeerraum"/>
              <w:rPr>
                <w:b/>
              </w:rPr>
            </w:pPr>
            <w:r w:rsidRPr="00B80049">
              <w:rPr>
                <w:b/>
                <w:color w:val="F79646" w:themeColor="accent6"/>
              </w:rPr>
              <w:t>Bioenergy with carbon and capture/BECCS</w:t>
            </w:r>
          </w:p>
        </w:tc>
        <w:tc>
          <w:tcPr>
            <w:tcW w:w="1859" w:type="dxa"/>
          </w:tcPr>
          <w:p w14:paraId="665854C4" w14:textId="77777777" w:rsidR="00B80049" w:rsidRDefault="00B80049" w:rsidP="003C2A33">
            <w:pPr>
              <w:pStyle w:val="KeinLeerraum"/>
            </w:pPr>
            <w:r>
              <w:t>11</w:t>
            </w:r>
          </w:p>
        </w:tc>
      </w:tr>
      <w:tr w:rsidR="00B80049" w14:paraId="572D1113" w14:textId="77777777" w:rsidTr="003C2A33">
        <w:tc>
          <w:tcPr>
            <w:tcW w:w="7763" w:type="dxa"/>
          </w:tcPr>
          <w:p w14:paraId="005505D4" w14:textId="77777777" w:rsidR="00B80049" w:rsidRPr="00B80049" w:rsidRDefault="00B80049" w:rsidP="003C2A33">
            <w:pPr>
              <w:pStyle w:val="KeinLeerraum"/>
              <w:rPr>
                <w:b/>
              </w:rPr>
            </w:pPr>
            <w:r w:rsidRPr="00B80049">
              <w:rPr>
                <w:b/>
                <w:color w:val="0070C0"/>
              </w:rPr>
              <w:t>Afforestation</w:t>
            </w:r>
          </w:p>
        </w:tc>
        <w:tc>
          <w:tcPr>
            <w:tcW w:w="1859" w:type="dxa"/>
          </w:tcPr>
          <w:p w14:paraId="58CD4DC3" w14:textId="77777777" w:rsidR="00B80049" w:rsidRDefault="00B80049" w:rsidP="003C2A33">
            <w:pPr>
              <w:pStyle w:val="KeinLeerraum"/>
            </w:pPr>
            <w:r>
              <w:t>9</w:t>
            </w:r>
          </w:p>
        </w:tc>
      </w:tr>
    </w:tbl>
    <w:p w14:paraId="76F4E8F4" w14:textId="77777777" w:rsidR="00FE4BC7" w:rsidRDefault="00FE4BC7" w:rsidP="00FE4BC7"/>
    <w:tbl>
      <w:tblPr>
        <w:tblStyle w:val="Tabellenraster"/>
        <w:tblW w:w="0" w:type="auto"/>
        <w:tblLook w:val="04A0" w:firstRow="1" w:lastRow="0" w:firstColumn="1" w:lastColumn="0" w:noHBand="0" w:noVBand="1"/>
      </w:tblPr>
      <w:tblGrid>
        <w:gridCol w:w="6275"/>
        <w:gridCol w:w="1510"/>
        <w:gridCol w:w="1611"/>
      </w:tblGrid>
      <w:tr w:rsidR="002A537E" w14:paraId="08924F19" w14:textId="77777777" w:rsidTr="00B45854">
        <w:tc>
          <w:tcPr>
            <w:tcW w:w="6450" w:type="dxa"/>
          </w:tcPr>
          <w:p w14:paraId="2C99DDCA" w14:textId="77777777" w:rsidR="002A537E" w:rsidRPr="00FE4BC7" w:rsidRDefault="002A537E" w:rsidP="00B45854">
            <w:pPr>
              <w:pStyle w:val="KeinLeerraum"/>
              <w:rPr>
                <w:b/>
              </w:rPr>
            </w:pPr>
            <w:r>
              <w:rPr>
                <w:b/>
              </w:rPr>
              <w:t>IPCC references</w:t>
            </w:r>
          </w:p>
        </w:tc>
        <w:tc>
          <w:tcPr>
            <w:tcW w:w="1532" w:type="dxa"/>
          </w:tcPr>
          <w:p w14:paraId="25DE5FAF" w14:textId="77777777" w:rsidR="002A537E" w:rsidRPr="00FE4BC7" w:rsidRDefault="002A537E" w:rsidP="00B45854">
            <w:pPr>
              <w:pStyle w:val="KeinLeerraum"/>
              <w:rPr>
                <w:b/>
              </w:rPr>
            </w:pPr>
            <w:r>
              <w:rPr>
                <w:b/>
              </w:rPr>
              <w:t>Type</w:t>
            </w:r>
          </w:p>
        </w:tc>
        <w:tc>
          <w:tcPr>
            <w:tcW w:w="1640" w:type="dxa"/>
          </w:tcPr>
          <w:p w14:paraId="5F09731F" w14:textId="77777777" w:rsidR="002A537E" w:rsidRPr="00FE4BC7" w:rsidRDefault="002A537E" w:rsidP="00B45854">
            <w:pPr>
              <w:pStyle w:val="KeinLeerraum"/>
              <w:rPr>
                <w:b/>
              </w:rPr>
            </w:pPr>
            <w:r w:rsidRPr="00FE4BC7">
              <w:rPr>
                <w:b/>
              </w:rPr>
              <w:t>Count</w:t>
            </w:r>
          </w:p>
        </w:tc>
      </w:tr>
      <w:tr w:rsidR="002A537E" w14:paraId="559BD413" w14:textId="77777777" w:rsidTr="00B45854">
        <w:tc>
          <w:tcPr>
            <w:tcW w:w="6450" w:type="dxa"/>
          </w:tcPr>
          <w:p w14:paraId="6FF11598" w14:textId="77777777" w:rsidR="002A537E" w:rsidRDefault="002A537E" w:rsidP="00B45854">
            <w:pPr>
              <w:pStyle w:val="KeinLeerraum"/>
            </w:pPr>
            <w:r>
              <w:t>6.3</w:t>
            </w:r>
          </w:p>
        </w:tc>
        <w:tc>
          <w:tcPr>
            <w:tcW w:w="1532" w:type="dxa"/>
          </w:tcPr>
          <w:p w14:paraId="0ED66C2C" w14:textId="77777777" w:rsidR="002A537E" w:rsidRDefault="002A537E" w:rsidP="00B45854">
            <w:pPr>
              <w:pStyle w:val="KeinLeerraum"/>
            </w:pPr>
            <w:r>
              <w:t>Section</w:t>
            </w:r>
          </w:p>
        </w:tc>
        <w:tc>
          <w:tcPr>
            <w:tcW w:w="1640" w:type="dxa"/>
          </w:tcPr>
          <w:p w14:paraId="53008284" w14:textId="77777777" w:rsidR="002A537E" w:rsidRDefault="002A537E" w:rsidP="00B45854">
            <w:pPr>
              <w:pStyle w:val="KeinLeerraum"/>
            </w:pPr>
            <w:r>
              <w:t>2</w:t>
            </w:r>
          </w:p>
        </w:tc>
      </w:tr>
      <w:tr w:rsidR="002A537E" w14:paraId="762AC56B" w14:textId="77777777" w:rsidTr="00B45854">
        <w:tc>
          <w:tcPr>
            <w:tcW w:w="6450" w:type="dxa"/>
          </w:tcPr>
          <w:p w14:paraId="5623B9BD" w14:textId="77777777" w:rsidR="002A537E" w:rsidRDefault="002A537E" w:rsidP="00B45854">
            <w:pPr>
              <w:pStyle w:val="KeinLeerraum"/>
            </w:pPr>
            <w:r>
              <w:t>6.8</w:t>
            </w:r>
          </w:p>
        </w:tc>
        <w:tc>
          <w:tcPr>
            <w:tcW w:w="1532" w:type="dxa"/>
          </w:tcPr>
          <w:p w14:paraId="33996386" w14:textId="77777777" w:rsidR="002A537E" w:rsidRDefault="002A537E" w:rsidP="00B45854">
            <w:pPr>
              <w:pStyle w:val="KeinLeerraum"/>
            </w:pPr>
            <w:r>
              <w:t>Section</w:t>
            </w:r>
          </w:p>
        </w:tc>
        <w:tc>
          <w:tcPr>
            <w:tcW w:w="1640" w:type="dxa"/>
          </w:tcPr>
          <w:p w14:paraId="1E8BD9AF" w14:textId="77777777" w:rsidR="002A537E" w:rsidRDefault="002A537E" w:rsidP="00B45854">
            <w:pPr>
              <w:pStyle w:val="KeinLeerraum"/>
            </w:pPr>
            <w:r>
              <w:t>1</w:t>
            </w:r>
          </w:p>
        </w:tc>
      </w:tr>
      <w:tr w:rsidR="002A537E" w14:paraId="65FC3BCE" w14:textId="77777777" w:rsidTr="00B45854">
        <w:tc>
          <w:tcPr>
            <w:tcW w:w="6450" w:type="dxa"/>
          </w:tcPr>
          <w:p w14:paraId="61E49893" w14:textId="77777777" w:rsidR="002A537E" w:rsidRDefault="002A537E" w:rsidP="00B45854">
            <w:pPr>
              <w:pStyle w:val="KeinLeerraum"/>
            </w:pPr>
            <w:r>
              <w:t>6.9</w:t>
            </w:r>
          </w:p>
        </w:tc>
        <w:tc>
          <w:tcPr>
            <w:tcW w:w="1532" w:type="dxa"/>
          </w:tcPr>
          <w:p w14:paraId="19BE1F3D" w14:textId="77777777" w:rsidR="002A537E" w:rsidRDefault="002A537E" w:rsidP="00B45854">
            <w:pPr>
              <w:pStyle w:val="KeinLeerraum"/>
            </w:pPr>
            <w:r>
              <w:t>Section</w:t>
            </w:r>
          </w:p>
        </w:tc>
        <w:tc>
          <w:tcPr>
            <w:tcW w:w="1640" w:type="dxa"/>
          </w:tcPr>
          <w:p w14:paraId="2DC126DA" w14:textId="77777777" w:rsidR="002A537E" w:rsidRDefault="002A537E" w:rsidP="00B45854">
            <w:pPr>
              <w:pStyle w:val="KeinLeerraum"/>
            </w:pPr>
            <w:r>
              <w:t>2</w:t>
            </w:r>
          </w:p>
        </w:tc>
      </w:tr>
      <w:tr w:rsidR="002A537E" w14:paraId="1F97EBA9" w14:textId="77777777" w:rsidTr="00B45854">
        <w:tc>
          <w:tcPr>
            <w:tcW w:w="6450" w:type="dxa"/>
          </w:tcPr>
          <w:p w14:paraId="188F3A09" w14:textId="77777777" w:rsidR="002A537E" w:rsidRDefault="002A537E" w:rsidP="00B45854">
            <w:pPr>
              <w:pStyle w:val="KeinLeerraum"/>
            </w:pPr>
            <w:r>
              <w:t>7.5.5</w:t>
            </w:r>
          </w:p>
        </w:tc>
        <w:tc>
          <w:tcPr>
            <w:tcW w:w="1532" w:type="dxa"/>
          </w:tcPr>
          <w:p w14:paraId="49B229D6" w14:textId="77777777" w:rsidR="002A537E" w:rsidRDefault="002A537E" w:rsidP="00B45854">
            <w:pPr>
              <w:pStyle w:val="KeinLeerraum"/>
            </w:pPr>
            <w:r>
              <w:t>Section</w:t>
            </w:r>
          </w:p>
        </w:tc>
        <w:tc>
          <w:tcPr>
            <w:tcW w:w="1640" w:type="dxa"/>
          </w:tcPr>
          <w:p w14:paraId="52FBC3EB" w14:textId="77777777" w:rsidR="002A537E" w:rsidRDefault="002A537E" w:rsidP="00B45854">
            <w:pPr>
              <w:pStyle w:val="KeinLeerraum"/>
            </w:pPr>
            <w:r>
              <w:t>1</w:t>
            </w:r>
          </w:p>
        </w:tc>
      </w:tr>
      <w:tr w:rsidR="002A537E" w14:paraId="6C6D4FC1" w14:textId="77777777" w:rsidTr="00B45854">
        <w:tc>
          <w:tcPr>
            <w:tcW w:w="6450" w:type="dxa"/>
          </w:tcPr>
          <w:p w14:paraId="22386B58" w14:textId="77777777" w:rsidR="002A537E" w:rsidRDefault="002A537E" w:rsidP="00B45854">
            <w:pPr>
              <w:pStyle w:val="KeinLeerraum"/>
            </w:pPr>
            <w:r>
              <w:t>7.9</w:t>
            </w:r>
          </w:p>
        </w:tc>
        <w:tc>
          <w:tcPr>
            <w:tcW w:w="1532" w:type="dxa"/>
          </w:tcPr>
          <w:p w14:paraId="697AC43E" w14:textId="77777777" w:rsidR="002A537E" w:rsidRDefault="002A537E" w:rsidP="00B45854">
            <w:pPr>
              <w:pStyle w:val="KeinLeerraum"/>
            </w:pPr>
            <w:r>
              <w:t>Section</w:t>
            </w:r>
          </w:p>
        </w:tc>
        <w:tc>
          <w:tcPr>
            <w:tcW w:w="1640" w:type="dxa"/>
          </w:tcPr>
          <w:p w14:paraId="25C75DFC" w14:textId="77777777" w:rsidR="002A537E" w:rsidRDefault="002A537E" w:rsidP="00B45854">
            <w:pPr>
              <w:pStyle w:val="KeinLeerraum"/>
            </w:pPr>
            <w:r>
              <w:t>1</w:t>
            </w:r>
          </w:p>
        </w:tc>
      </w:tr>
      <w:tr w:rsidR="002A537E" w14:paraId="1DF8A93D" w14:textId="77777777" w:rsidTr="00B45854">
        <w:tc>
          <w:tcPr>
            <w:tcW w:w="6450" w:type="dxa"/>
          </w:tcPr>
          <w:p w14:paraId="38999CB2" w14:textId="77777777" w:rsidR="002A537E" w:rsidRDefault="002A537E" w:rsidP="00B45854">
            <w:pPr>
              <w:pStyle w:val="KeinLeerraum"/>
            </w:pPr>
            <w:r>
              <w:t>7.11</w:t>
            </w:r>
          </w:p>
        </w:tc>
        <w:tc>
          <w:tcPr>
            <w:tcW w:w="1532" w:type="dxa"/>
          </w:tcPr>
          <w:p w14:paraId="781D1C9F" w14:textId="77777777" w:rsidR="002A537E" w:rsidRDefault="002A537E" w:rsidP="00B45854">
            <w:pPr>
              <w:pStyle w:val="KeinLeerraum"/>
            </w:pPr>
            <w:r>
              <w:t>Section</w:t>
            </w:r>
          </w:p>
        </w:tc>
        <w:tc>
          <w:tcPr>
            <w:tcW w:w="1640" w:type="dxa"/>
          </w:tcPr>
          <w:p w14:paraId="0FDFF64D" w14:textId="77777777" w:rsidR="002A537E" w:rsidRDefault="002A537E" w:rsidP="00B45854">
            <w:pPr>
              <w:pStyle w:val="KeinLeerraum"/>
            </w:pPr>
            <w:r>
              <w:t>1</w:t>
            </w:r>
          </w:p>
        </w:tc>
      </w:tr>
      <w:tr w:rsidR="002A537E" w14:paraId="5251487B" w14:textId="77777777" w:rsidTr="00B45854">
        <w:tc>
          <w:tcPr>
            <w:tcW w:w="6450" w:type="dxa"/>
          </w:tcPr>
          <w:p w14:paraId="678144A7" w14:textId="77777777" w:rsidR="002A537E" w:rsidRDefault="002A537E" w:rsidP="00B45854">
            <w:pPr>
              <w:pStyle w:val="KeinLeerraum"/>
            </w:pPr>
            <w:r>
              <w:t>11.13</w:t>
            </w:r>
          </w:p>
        </w:tc>
        <w:tc>
          <w:tcPr>
            <w:tcW w:w="1532" w:type="dxa"/>
          </w:tcPr>
          <w:p w14:paraId="65339D0C" w14:textId="77777777" w:rsidR="002A537E" w:rsidRDefault="002A537E" w:rsidP="00B45854">
            <w:pPr>
              <w:pStyle w:val="KeinLeerraum"/>
            </w:pPr>
            <w:r>
              <w:t>Section</w:t>
            </w:r>
          </w:p>
        </w:tc>
        <w:tc>
          <w:tcPr>
            <w:tcW w:w="1640" w:type="dxa"/>
          </w:tcPr>
          <w:p w14:paraId="081CC229" w14:textId="77777777" w:rsidR="002A537E" w:rsidRDefault="002A537E" w:rsidP="00B45854">
            <w:pPr>
              <w:pStyle w:val="KeinLeerraum"/>
            </w:pPr>
            <w:r>
              <w:t>2</w:t>
            </w:r>
          </w:p>
        </w:tc>
      </w:tr>
      <w:tr w:rsidR="002A537E" w14:paraId="054DBA8E" w14:textId="77777777" w:rsidTr="00B45854">
        <w:tc>
          <w:tcPr>
            <w:tcW w:w="6450" w:type="dxa"/>
          </w:tcPr>
          <w:p w14:paraId="13566942" w14:textId="77777777" w:rsidR="002A537E" w:rsidRDefault="002A537E" w:rsidP="00B45854">
            <w:pPr>
              <w:pStyle w:val="KeinLeerraum"/>
            </w:pPr>
            <w:r>
              <w:t>13.13.1.3</w:t>
            </w:r>
          </w:p>
        </w:tc>
        <w:tc>
          <w:tcPr>
            <w:tcW w:w="1532" w:type="dxa"/>
          </w:tcPr>
          <w:p w14:paraId="7510C2E5" w14:textId="77777777" w:rsidR="002A537E" w:rsidRDefault="002A537E" w:rsidP="00B45854">
            <w:pPr>
              <w:pStyle w:val="KeinLeerraum"/>
            </w:pPr>
            <w:r>
              <w:t>Section</w:t>
            </w:r>
          </w:p>
        </w:tc>
        <w:tc>
          <w:tcPr>
            <w:tcW w:w="1640" w:type="dxa"/>
          </w:tcPr>
          <w:p w14:paraId="1F11B4B1" w14:textId="77777777" w:rsidR="002A537E" w:rsidRDefault="002A537E" w:rsidP="00B45854">
            <w:pPr>
              <w:pStyle w:val="KeinLeerraum"/>
            </w:pPr>
            <w:r>
              <w:t>2</w:t>
            </w:r>
          </w:p>
        </w:tc>
      </w:tr>
      <w:tr w:rsidR="002A537E" w14:paraId="64D03CDB" w14:textId="77777777" w:rsidTr="00B45854">
        <w:tc>
          <w:tcPr>
            <w:tcW w:w="6450" w:type="dxa"/>
          </w:tcPr>
          <w:p w14:paraId="11FA7B4F" w14:textId="77777777" w:rsidR="002A537E" w:rsidRDefault="002A537E" w:rsidP="00B45854">
            <w:pPr>
              <w:pStyle w:val="KeinLeerraum"/>
            </w:pPr>
            <w:r>
              <w:t>TS.8 (left panel)</w:t>
            </w:r>
          </w:p>
        </w:tc>
        <w:tc>
          <w:tcPr>
            <w:tcW w:w="1532" w:type="dxa"/>
          </w:tcPr>
          <w:p w14:paraId="51592F22" w14:textId="77777777" w:rsidR="002A537E" w:rsidRDefault="002A537E" w:rsidP="00B45854">
            <w:pPr>
              <w:pStyle w:val="KeinLeerraum"/>
            </w:pPr>
            <w:r>
              <w:t>Figure</w:t>
            </w:r>
          </w:p>
        </w:tc>
        <w:tc>
          <w:tcPr>
            <w:tcW w:w="1640" w:type="dxa"/>
          </w:tcPr>
          <w:p w14:paraId="65721659" w14:textId="77777777" w:rsidR="002A537E" w:rsidRDefault="002A537E" w:rsidP="00B45854">
            <w:pPr>
              <w:pStyle w:val="KeinLeerraum"/>
            </w:pPr>
            <w:r>
              <w:t>1</w:t>
            </w:r>
          </w:p>
        </w:tc>
      </w:tr>
      <w:tr w:rsidR="002A537E" w14:paraId="3F8298F1" w14:textId="77777777" w:rsidTr="00B45854">
        <w:tc>
          <w:tcPr>
            <w:tcW w:w="6450" w:type="dxa"/>
          </w:tcPr>
          <w:p w14:paraId="23BB864F" w14:textId="77777777" w:rsidR="002A537E" w:rsidRDefault="002A537E" w:rsidP="00B45854">
            <w:pPr>
              <w:pStyle w:val="KeinLeerraum"/>
            </w:pPr>
            <w:r>
              <w:t>TS.17</w:t>
            </w:r>
          </w:p>
        </w:tc>
        <w:tc>
          <w:tcPr>
            <w:tcW w:w="1532" w:type="dxa"/>
          </w:tcPr>
          <w:p w14:paraId="6C1C5BFD" w14:textId="77777777" w:rsidR="002A537E" w:rsidRDefault="002A537E" w:rsidP="00B45854">
            <w:pPr>
              <w:pStyle w:val="KeinLeerraum"/>
            </w:pPr>
            <w:r>
              <w:t>Figure</w:t>
            </w:r>
          </w:p>
        </w:tc>
        <w:tc>
          <w:tcPr>
            <w:tcW w:w="1640" w:type="dxa"/>
          </w:tcPr>
          <w:p w14:paraId="1701EA34" w14:textId="77777777" w:rsidR="002A537E" w:rsidRDefault="002A537E" w:rsidP="00B45854">
            <w:pPr>
              <w:pStyle w:val="KeinLeerraum"/>
            </w:pPr>
            <w:r>
              <w:t>1</w:t>
            </w:r>
          </w:p>
        </w:tc>
      </w:tr>
      <w:tr w:rsidR="002A537E" w14:paraId="0458DE79" w14:textId="77777777" w:rsidTr="00B45854">
        <w:tc>
          <w:tcPr>
            <w:tcW w:w="6450" w:type="dxa"/>
          </w:tcPr>
          <w:p w14:paraId="10323D68" w14:textId="77777777" w:rsidR="002A537E" w:rsidRDefault="002A537E" w:rsidP="00B45854">
            <w:pPr>
              <w:pStyle w:val="KeinLeerraum"/>
            </w:pPr>
            <w:r>
              <w:t>6.7</w:t>
            </w:r>
          </w:p>
        </w:tc>
        <w:tc>
          <w:tcPr>
            <w:tcW w:w="1532" w:type="dxa"/>
          </w:tcPr>
          <w:p w14:paraId="726A68D0" w14:textId="77777777" w:rsidR="002A537E" w:rsidRDefault="002A537E" w:rsidP="00B45854">
            <w:pPr>
              <w:pStyle w:val="KeinLeerraum"/>
            </w:pPr>
            <w:r>
              <w:t>Figure</w:t>
            </w:r>
          </w:p>
        </w:tc>
        <w:tc>
          <w:tcPr>
            <w:tcW w:w="1640" w:type="dxa"/>
          </w:tcPr>
          <w:p w14:paraId="7743EFF1" w14:textId="77777777" w:rsidR="002A537E" w:rsidRDefault="002A537E" w:rsidP="00B45854">
            <w:pPr>
              <w:pStyle w:val="KeinLeerraum"/>
            </w:pPr>
            <w:r>
              <w:t>1</w:t>
            </w:r>
          </w:p>
        </w:tc>
      </w:tr>
      <w:tr w:rsidR="002A537E" w14:paraId="386D8D6F" w14:textId="77777777" w:rsidTr="00B45854">
        <w:tc>
          <w:tcPr>
            <w:tcW w:w="6450" w:type="dxa"/>
          </w:tcPr>
          <w:p w14:paraId="605B8D6A" w14:textId="77777777" w:rsidR="002A537E" w:rsidRDefault="002A537E" w:rsidP="00B45854">
            <w:pPr>
              <w:pStyle w:val="KeinLeerraum"/>
            </w:pPr>
            <w:r>
              <w:t>6.31</w:t>
            </w:r>
          </w:p>
        </w:tc>
        <w:tc>
          <w:tcPr>
            <w:tcW w:w="1532" w:type="dxa"/>
          </w:tcPr>
          <w:p w14:paraId="334D03F5" w14:textId="77777777" w:rsidR="002A537E" w:rsidRDefault="002A537E" w:rsidP="00B45854">
            <w:pPr>
              <w:pStyle w:val="KeinLeerraum"/>
            </w:pPr>
            <w:r>
              <w:t>Figure</w:t>
            </w:r>
          </w:p>
        </w:tc>
        <w:tc>
          <w:tcPr>
            <w:tcW w:w="1640" w:type="dxa"/>
          </w:tcPr>
          <w:p w14:paraId="2C9DAFC9" w14:textId="77777777" w:rsidR="002A537E" w:rsidRDefault="002A537E" w:rsidP="00B45854">
            <w:pPr>
              <w:pStyle w:val="KeinLeerraum"/>
            </w:pPr>
            <w:r>
              <w:t>1</w:t>
            </w:r>
          </w:p>
        </w:tc>
      </w:tr>
      <w:tr w:rsidR="002A537E" w14:paraId="59BAAC0E" w14:textId="77777777" w:rsidTr="00B45854">
        <w:tc>
          <w:tcPr>
            <w:tcW w:w="6450" w:type="dxa"/>
          </w:tcPr>
          <w:p w14:paraId="5DD7A5E0" w14:textId="77777777" w:rsidR="002A537E" w:rsidRDefault="002A537E" w:rsidP="00B45854">
            <w:pPr>
              <w:pStyle w:val="KeinLeerraum"/>
            </w:pPr>
            <w:r>
              <w:t>6.32</w:t>
            </w:r>
          </w:p>
        </w:tc>
        <w:tc>
          <w:tcPr>
            <w:tcW w:w="1532" w:type="dxa"/>
          </w:tcPr>
          <w:p w14:paraId="35037850" w14:textId="77777777" w:rsidR="002A537E" w:rsidRDefault="002A537E" w:rsidP="00B45854">
            <w:pPr>
              <w:pStyle w:val="KeinLeerraum"/>
            </w:pPr>
            <w:r>
              <w:t>Figure</w:t>
            </w:r>
          </w:p>
        </w:tc>
        <w:tc>
          <w:tcPr>
            <w:tcW w:w="1640" w:type="dxa"/>
          </w:tcPr>
          <w:p w14:paraId="612B6B27" w14:textId="77777777" w:rsidR="002A537E" w:rsidRDefault="002A537E" w:rsidP="00B45854">
            <w:pPr>
              <w:pStyle w:val="KeinLeerraum"/>
            </w:pPr>
            <w:r>
              <w:t>1</w:t>
            </w:r>
          </w:p>
        </w:tc>
      </w:tr>
      <w:tr w:rsidR="002A537E" w14:paraId="1C0C338A" w14:textId="77777777" w:rsidTr="00B45854">
        <w:tc>
          <w:tcPr>
            <w:tcW w:w="6450" w:type="dxa"/>
          </w:tcPr>
          <w:p w14:paraId="69677CB6" w14:textId="77777777" w:rsidR="002A537E" w:rsidRDefault="002A537E" w:rsidP="00B45854">
            <w:pPr>
              <w:pStyle w:val="KeinLeerraum"/>
            </w:pPr>
            <w:r>
              <w:t>7.16</w:t>
            </w:r>
          </w:p>
        </w:tc>
        <w:tc>
          <w:tcPr>
            <w:tcW w:w="1532" w:type="dxa"/>
          </w:tcPr>
          <w:p w14:paraId="422833F9" w14:textId="77777777" w:rsidR="002A537E" w:rsidRDefault="002A537E" w:rsidP="00B45854">
            <w:pPr>
              <w:pStyle w:val="KeinLeerraum"/>
            </w:pPr>
            <w:r>
              <w:t>Figure</w:t>
            </w:r>
          </w:p>
        </w:tc>
        <w:tc>
          <w:tcPr>
            <w:tcW w:w="1640" w:type="dxa"/>
          </w:tcPr>
          <w:p w14:paraId="1B5EB9D7" w14:textId="77777777" w:rsidR="002A537E" w:rsidRDefault="002A537E" w:rsidP="00B45854">
            <w:pPr>
              <w:pStyle w:val="KeinLeerraum"/>
            </w:pPr>
            <w:r>
              <w:t>1</w:t>
            </w:r>
          </w:p>
        </w:tc>
      </w:tr>
      <w:tr w:rsidR="002A537E" w14:paraId="496BB3B3" w14:textId="77777777" w:rsidTr="00B45854">
        <w:tc>
          <w:tcPr>
            <w:tcW w:w="6450" w:type="dxa"/>
          </w:tcPr>
          <w:p w14:paraId="1B220515" w14:textId="77777777" w:rsidR="002A537E" w:rsidRDefault="002A537E" w:rsidP="00B45854">
            <w:pPr>
              <w:pStyle w:val="KeinLeerraum"/>
            </w:pPr>
            <w:r>
              <w:t>TS.1</w:t>
            </w:r>
          </w:p>
        </w:tc>
        <w:tc>
          <w:tcPr>
            <w:tcW w:w="1532" w:type="dxa"/>
          </w:tcPr>
          <w:p w14:paraId="0329C934" w14:textId="77777777" w:rsidR="002A537E" w:rsidRDefault="002A537E" w:rsidP="00B45854">
            <w:pPr>
              <w:pStyle w:val="KeinLeerraum"/>
            </w:pPr>
            <w:r>
              <w:t>Table</w:t>
            </w:r>
          </w:p>
        </w:tc>
        <w:tc>
          <w:tcPr>
            <w:tcW w:w="1640" w:type="dxa"/>
          </w:tcPr>
          <w:p w14:paraId="751889CF" w14:textId="77777777" w:rsidR="002A537E" w:rsidRDefault="002A537E" w:rsidP="00B45854">
            <w:pPr>
              <w:pStyle w:val="KeinLeerraum"/>
            </w:pPr>
            <w:r>
              <w:t>1</w:t>
            </w:r>
          </w:p>
        </w:tc>
      </w:tr>
    </w:tbl>
    <w:p w14:paraId="43D9C15B" w14:textId="77777777" w:rsidR="002A537E" w:rsidRDefault="002A537E" w:rsidP="00FE4BC7">
      <w:pPr>
        <w:rPr>
          <w:rStyle w:val="berschrift1Zchn"/>
        </w:rPr>
      </w:pPr>
    </w:p>
    <w:p w14:paraId="13DB860B" w14:textId="77777777" w:rsidR="00AD2C18" w:rsidRDefault="00101EA0" w:rsidP="00FE4BC7">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31"/>
        <w:gridCol w:w="8286"/>
        <w:gridCol w:w="579"/>
      </w:tblGrid>
      <w:tr w:rsidR="00101EA0" w14:paraId="14C98CB1" w14:textId="77777777" w:rsidTr="003C2A33">
        <w:tc>
          <w:tcPr>
            <w:tcW w:w="534" w:type="dxa"/>
          </w:tcPr>
          <w:p w14:paraId="67B2207F" w14:textId="77777777" w:rsidR="00101EA0" w:rsidRPr="00F71281" w:rsidRDefault="00101EA0" w:rsidP="003C2A33">
            <w:pPr>
              <w:pStyle w:val="KeinLeerraum"/>
              <w:rPr>
                <w:b/>
              </w:rPr>
            </w:pPr>
            <w:r>
              <w:rPr>
                <w:b/>
              </w:rPr>
              <w:t>#</w:t>
            </w:r>
          </w:p>
        </w:tc>
        <w:tc>
          <w:tcPr>
            <w:tcW w:w="8498" w:type="dxa"/>
          </w:tcPr>
          <w:p w14:paraId="3795936F" w14:textId="77777777" w:rsidR="00101EA0" w:rsidRPr="00F71281" w:rsidRDefault="00101EA0" w:rsidP="003C2A33">
            <w:pPr>
              <w:pStyle w:val="KeinLeerraum"/>
              <w:rPr>
                <w:b/>
              </w:rPr>
            </w:pPr>
            <w:r w:rsidRPr="00F71281">
              <w:rPr>
                <w:b/>
              </w:rPr>
              <w:t>Statements</w:t>
            </w:r>
          </w:p>
        </w:tc>
        <w:tc>
          <w:tcPr>
            <w:tcW w:w="590" w:type="dxa"/>
          </w:tcPr>
          <w:p w14:paraId="0045E75D" w14:textId="77777777" w:rsidR="00101EA0" w:rsidRDefault="00101EA0" w:rsidP="003C2A33">
            <w:pPr>
              <w:pStyle w:val="KeinLeerraum"/>
            </w:pPr>
          </w:p>
        </w:tc>
      </w:tr>
      <w:tr w:rsidR="00101EA0" w14:paraId="710A8E33" w14:textId="77777777" w:rsidTr="003C2A33">
        <w:tc>
          <w:tcPr>
            <w:tcW w:w="534" w:type="dxa"/>
          </w:tcPr>
          <w:p w14:paraId="132714BB" w14:textId="77777777" w:rsidR="00101EA0" w:rsidRDefault="00101EA0" w:rsidP="003C2A33">
            <w:pPr>
              <w:pStyle w:val="KeinLeerraum"/>
            </w:pPr>
            <w:r>
              <w:t>1</w:t>
            </w:r>
          </w:p>
        </w:tc>
        <w:tc>
          <w:tcPr>
            <w:tcW w:w="8498" w:type="dxa"/>
          </w:tcPr>
          <w:p w14:paraId="5D531524" w14:textId="77777777" w:rsidR="00101EA0" w:rsidRDefault="00101EA0" w:rsidP="003C2A33">
            <w:pPr>
              <w:pStyle w:val="KeinLeerraum"/>
            </w:pPr>
            <w:r>
              <w:t>Scenarios reaching about 450ppm CO2eq are characterized by more BECCS by 2050</w:t>
            </w:r>
          </w:p>
        </w:tc>
        <w:tc>
          <w:tcPr>
            <w:tcW w:w="590" w:type="dxa"/>
          </w:tcPr>
          <w:p w14:paraId="575EF5DA" w14:textId="77777777" w:rsidR="00101EA0" w:rsidRDefault="00101EA0" w:rsidP="003C2A33">
            <w:pPr>
              <w:pStyle w:val="KeinLeerraum"/>
            </w:pPr>
          </w:p>
        </w:tc>
      </w:tr>
      <w:tr w:rsidR="00101EA0" w14:paraId="043B784F" w14:textId="77777777" w:rsidTr="003C2A33">
        <w:tc>
          <w:tcPr>
            <w:tcW w:w="534" w:type="dxa"/>
          </w:tcPr>
          <w:p w14:paraId="3CFE2AD8" w14:textId="77777777" w:rsidR="00101EA0" w:rsidRDefault="00101EA0" w:rsidP="003C2A33">
            <w:pPr>
              <w:pStyle w:val="KeinLeerraum"/>
            </w:pPr>
            <w:r>
              <w:t>2</w:t>
            </w:r>
          </w:p>
        </w:tc>
        <w:tc>
          <w:tcPr>
            <w:tcW w:w="8498" w:type="dxa"/>
          </w:tcPr>
          <w:p w14:paraId="7DBE8518" w14:textId="77777777" w:rsidR="00101EA0" w:rsidRDefault="00101EA0" w:rsidP="003C2A33">
            <w:pPr>
              <w:pStyle w:val="KeinLeerraum"/>
            </w:pPr>
            <w:r>
              <w:t>Land-use change emissions vary widely and depend on assumptions on bioenergy production and afforestation</w:t>
            </w:r>
          </w:p>
        </w:tc>
        <w:tc>
          <w:tcPr>
            <w:tcW w:w="590" w:type="dxa"/>
          </w:tcPr>
          <w:p w14:paraId="1104E7C0" w14:textId="77777777" w:rsidR="00101EA0" w:rsidRDefault="00101EA0" w:rsidP="003C2A33">
            <w:pPr>
              <w:pStyle w:val="KeinLeerraum"/>
            </w:pPr>
          </w:p>
        </w:tc>
      </w:tr>
      <w:tr w:rsidR="00101EA0" w14:paraId="7EC8CECF" w14:textId="77777777" w:rsidTr="003C2A33">
        <w:tc>
          <w:tcPr>
            <w:tcW w:w="534" w:type="dxa"/>
          </w:tcPr>
          <w:p w14:paraId="78833414" w14:textId="77777777" w:rsidR="00101EA0" w:rsidRDefault="00101EA0" w:rsidP="003C2A33">
            <w:pPr>
              <w:pStyle w:val="KeinLeerraum"/>
            </w:pPr>
            <w:r>
              <w:t>3</w:t>
            </w:r>
          </w:p>
        </w:tc>
        <w:tc>
          <w:tcPr>
            <w:tcW w:w="8498" w:type="dxa"/>
          </w:tcPr>
          <w:p w14:paraId="5C71EB1C" w14:textId="77777777" w:rsidR="00101EA0" w:rsidRDefault="00101EA0" w:rsidP="003C2A33">
            <w:pPr>
              <w:pStyle w:val="KeinLeerraum"/>
            </w:pPr>
            <w:r>
              <w:t>A large proportion of the new scenarios include CDR</w:t>
            </w:r>
          </w:p>
        </w:tc>
        <w:tc>
          <w:tcPr>
            <w:tcW w:w="590" w:type="dxa"/>
          </w:tcPr>
          <w:p w14:paraId="19557727" w14:textId="77777777" w:rsidR="00101EA0" w:rsidRDefault="00101EA0" w:rsidP="003C2A33">
            <w:pPr>
              <w:pStyle w:val="KeinLeerraum"/>
            </w:pPr>
          </w:p>
        </w:tc>
      </w:tr>
      <w:tr w:rsidR="00101EA0" w14:paraId="4A0FDB76" w14:textId="77777777" w:rsidTr="003C2A33">
        <w:tc>
          <w:tcPr>
            <w:tcW w:w="534" w:type="dxa"/>
          </w:tcPr>
          <w:p w14:paraId="78B2CB83" w14:textId="77777777" w:rsidR="00101EA0" w:rsidRDefault="00101EA0" w:rsidP="003C2A33">
            <w:pPr>
              <w:pStyle w:val="KeinLeerraum"/>
            </w:pPr>
            <w:r>
              <w:t>4</w:t>
            </w:r>
          </w:p>
        </w:tc>
        <w:tc>
          <w:tcPr>
            <w:tcW w:w="8498" w:type="dxa"/>
          </w:tcPr>
          <w:p w14:paraId="7E366B94" w14:textId="77777777" w:rsidR="00101EA0" w:rsidRDefault="00101EA0" w:rsidP="003C2A33">
            <w:pPr>
              <w:pStyle w:val="KeinLeerraum"/>
            </w:pPr>
            <w:r>
              <w:t>Scenarios with higher emission in 2050 are characterized by a greater reliance on CDR technologies after 2050</w:t>
            </w:r>
          </w:p>
        </w:tc>
        <w:tc>
          <w:tcPr>
            <w:tcW w:w="590" w:type="dxa"/>
          </w:tcPr>
          <w:p w14:paraId="08CA0AE0" w14:textId="77777777" w:rsidR="00101EA0" w:rsidRDefault="00101EA0" w:rsidP="003C2A33">
            <w:pPr>
              <w:pStyle w:val="KeinLeerraum"/>
            </w:pPr>
          </w:p>
        </w:tc>
      </w:tr>
      <w:tr w:rsidR="00101EA0" w14:paraId="45F19C96" w14:textId="77777777" w:rsidTr="003C2A33">
        <w:tc>
          <w:tcPr>
            <w:tcW w:w="534" w:type="dxa"/>
          </w:tcPr>
          <w:p w14:paraId="5D631E86" w14:textId="77777777" w:rsidR="00101EA0" w:rsidRDefault="00101EA0" w:rsidP="003C2A33">
            <w:pPr>
              <w:pStyle w:val="KeinLeerraum"/>
            </w:pPr>
            <w:r>
              <w:t>5</w:t>
            </w:r>
          </w:p>
        </w:tc>
        <w:tc>
          <w:tcPr>
            <w:tcW w:w="8498" w:type="dxa"/>
          </w:tcPr>
          <w:p w14:paraId="3E96E0A8" w14:textId="77777777" w:rsidR="00101EA0" w:rsidRDefault="00101EA0" w:rsidP="003C2A33">
            <w:pPr>
              <w:pStyle w:val="KeinLeerraum"/>
            </w:pPr>
            <w:r>
              <w:t>Overshoot scenarios typically rely on the availability and widespread deployment of BECCS and afforestation in the second half of the century</w:t>
            </w:r>
          </w:p>
        </w:tc>
        <w:tc>
          <w:tcPr>
            <w:tcW w:w="590" w:type="dxa"/>
          </w:tcPr>
          <w:p w14:paraId="3D356F0A" w14:textId="77777777" w:rsidR="00101EA0" w:rsidRDefault="00101EA0" w:rsidP="003C2A33">
            <w:pPr>
              <w:pStyle w:val="KeinLeerraum"/>
            </w:pPr>
          </w:p>
        </w:tc>
      </w:tr>
      <w:tr w:rsidR="00101EA0" w14:paraId="1D747242" w14:textId="77777777" w:rsidTr="003C2A33">
        <w:tc>
          <w:tcPr>
            <w:tcW w:w="534" w:type="dxa"/>
          </w:tcPr>
          <w:p w14:paraId="61110B0B" w14:textId="77777777" w:rsidR="00101EA0" w:rsidRDefault="00101EA0" w:rsidP="003C2A33">
            <w:pPr>
              <w:pStyle w:val="KeinLeerraum"/>
            </w:pPr>
            <w:r>
              <w:t>6</w:t>
            </w:r>
          </w:p>
        </w:tc>
        <w:tc>
          <w:tcPr>
            <w:tcW w:w="8498" w:type="dxa"/>
          </w:tcPr>
          <w:p w14:paraId="65E19C0E" w14:textId="77777777" w:rsidR="00101EA0" w:rsidRDefault="00101EA0" w:rsidP="003C2A33">
            <w:pPr>
              <w:pStyle w:val="KeinLeerraum"/>
            </w:pPr>
            <w:r>
              <w:t>The availability and scale of CDR technologies are uncertain</w:t>
            </w:r>
          </w:p>
        </w:tc>
        <w:tc>
          <w:tcPr>
            <w:tcW w:w="590" w:type="dxa"/>
          </w:tcPr>
          <w:p w14:paraId="1B2CB6FB" w14:textId="77777777" w:rsidR="00101EA0" w:rsidRDefault="00101EA0" w:rsidP="003C2A33">
            <w:pPr>
              <w:pStyle w:val="KeinLeerraum"/>
            </w:pPr>
          </w:p>
        </w:tc>
      </w:tr>
      <w:tr w:rsidR="00101EA0" w14:paraId="44B10762" w14:textId="77777777" w:rsidTr="003C2A33">
        <w:tc>
          <w:tcPr>
            <w:tcW w:w="534" w:type="dxa"/>
          </w:tcPr>
          <w:p w14:paraId="175014DD" w14:textId="77777777" w:rsidR="00101EA0" w:rsidRDefault="00101EA0" w:rsidP="003C2A33">
            <w:pPr>
              <w:pStyle w:val="KeinLeerraum"/>
            </w:pPr>
            <w:r>
              <w:t>7</w:t>
            </w:r>
          </w:p>
        </w:tc>
        <w:tc>
          <w:tcPr>
            <w:tcW w:w="8498" w:type="dxa"/>
          </w:tcPr>
          <w:p w14:paraId="763D0F50" w14:textId="77777777" w:rsidR="00101EA0" w:rsidRDefault="00101EA0" w:rsidP="003C2A33">
            <w:pPr>
              <w:pStyle w:val="KeinLeerraum"/>
            </w:pPr>
            <w:r>
              <w:t>CDR technologies and methods are associated with challenges and risks</w:t>
            </w:r>
          </w:p>
        </w:tc>
        <w:tc>
          <w:tcPr>
            <w:tcW w:w="590" w:type="dxa"/>
          </w:tcPr>
          <w:p w14:paraId="1F8176A3" w14:textId="77777777" w:rsidR="00101EA0" w:rsidRDefault="00101EA0" w:rsidP="003C2A33">
            <w:pPr>
              <w:pStyle w:val="KeinLeerraum"/>
            </w:pPr>
          </w:p>
        </w:tc>
      </w:tr>
      <w:tr w:rsidR="00101EA0" w14:paraId="32CF0B02" w14:textId="77777777" w:rsidTr="003C2A33">
        <w:tc>
          <w:tcPr>
            <w:tcW w:w="534" w:type="dxa"/>
          </w:tcPr>
          <w:p w14:paraId="56750EF8" w14:textId="77777777" w:rsidR="00101EA0" w:rsidRDefault="00101EA0" w:rsidP="003C2A33">
            <w:pPr>
              <w:pStyle w:val="KeinLeerraum"/>
            </w:pPr>
            <w:r>
              <w:t>8</w:t>
            </w:r>
          </w:p>
        </w:tc>
        <w:tc>
          <w:tcPr>
            <w:tcW w:w="8498" w:type="dxa"/>
          </w:tcPr>
          <w:p w14:paraId="63CC2E29" w14:textId="77777777" w:rsidR="00101EA0" w:rsidRDefault="00101EA0" w:rsidP="003C2A33">
            <w:pPr>
              <w:pStyle w:val="KeinLeerraum"/>
            </w:pPr>
            <w:r>
              <w:t>CDR can compensate for residual emission from sectors where mitigation is more expensive</w:t>
            </w:r>
          </w:p>
        </w:tc>
        <w:tc>
          <w:tcPr>
            <w:tcW w:w="590" w:type="dxa"/>
          </w:tcPr>
          <w:p w14:paraId="2B13D494" w14:textId="77777777" w:rsidR="00101EA0" w:rsidRDefault="00101EA0" w:rsidP="003C2A33">
            <w:pPr>
              <w:pStyle w:val="KeinLeerraum"/>
            </w:pPr>
          </w:p>
        </w:tc>
      </w:tr>
      <w:tr w:rsidR="00101EA0" w14:paraId="7CE16A49" w14:textId="77777777" w:rsidTr="003C2A33">
        <w:tc>
          <w:tcPr>
            <w:tcW w:w="534" w:type="dxa"/>
          </w:tcPr>
          <w:p w14:paraId="4BE60C04" w14:textId="77777777" w:rsidR="00101EA0" w:rsidRDefault="00101EA0" w:rsidP="003C2A33">
            <w:pPr>
              <w:pStyle w:val="KeinLeerraum"/>
            </w:pPr>
            <w:r>
              <w:t>9</w:t>
            </w:r>
          </w:p>
        </w:tc>
        <w:tc>
          <w:tcPr>
            <w:tcW w:w="8498" w:type="dxa"/>
          </w:tcPr>
          <w:p w14:paraId="5367C972" w14:textId="77777777" w:rsidR="00101EA0" w:rsidRDefault="00101EA0" w:rsidP="003C2A33">
            <w:pPr>
              <w:pStyle w:val="KeinLeerraum"/>
            </w:pPr>
            <w:r>
              <w:t>There is uncertainty about the potential for large-scale deployment of BECCS and  largescale afforestation</w:t>
            </w:r>
          </w:p>
        </w:tc>
        <w:tc>
          <w:tcPr>
            <w:tcW w:w="590" w:type="dxa"/>
          </w:tcPr>
          <w:p w14:paraId="4FA80C01" w14:textId="77777777" w:rsidR="00101EA0" w:rsidRDefault="00101EA0" w:rsidP="003C2A33">
            <w:pPr>
              <w:pStyle w:val="KeinLeerraum"/>
            </w:pPr>
          </w:p>
        </w:tc>
      </w:tr>
      <w:tr w:rsidR="00101EA0" w14:paraId="7B975E2C" w14:textId="77777777" w:rsidTr="003C2A33">
        <w:tc>
          <w:tcPr>
            <w:tcW w:w="534" w:type="dxa"/>
          </w:tcPr>
          <w:p w14:paraId="6EB7703F" w14:textId="77777777" w:rsidR="00101EA0" w:rsidRPr="00F71281" w:rsidRDefault="00101EA0" w:rsidP="003C2A33">
            <w:pPr>
              <w:pStyle w:val="KeinLeerraum"/>
            </w:pPr>
            <w:r>
              <w:t>10</w:t>
            </w:r>
          </w:p>
        </w:tc>
        <w:tc>
          <w:tcPr>
            <w:tcW w:w="8498" w:type="dxa"/>
          </w:tcPr>
          <w:p w14:paraId="0E5A194D" w14:textId="77777777" w:rsidR="00101EA0" w:rsidRDefault="00101EA0" w:rsidP="003C2A33">
            <w:pPr>
              <w:pStyle w:val="KeinLeerraum"/>
            </w:pPr>
            <w:r w:rsidRPr="00F71281">
              <w:t>CDR methods have biogeochemical and technological limitations to thei</w:t>
            </w:r>
            <w:r>
              <w:t>r potential on the global scale</w:t>
            </w:r>
          </w:p>
        </w:tc>
        <w:tc>
          <w:tcPr>
            <w:tcW w:w="590" w:type="dxa"/>
          </w:tcPr>
          <w:p w14:paraId="31894E8E" w14:textId="77777777" w:rsidR="00101EA0" w:rsidRDefault="00101EA0" w:rsidP="003C2A33">
            <w:pPr>
              <w:pStyle w:val="KeinLeerraum"/>
            </w:pPr>
          </w:p>
        </w:tc>
      </w:tr>
      <w:tr w:rsidR="00101EA0" w14:paraId="08B77019" w14:textId="77777777" w:rsidTr="003C2A33">
        <w:tc>
          <w:tcPr>
            <w:tcW w:w="534" w:type="dxa"/>
          </w:tcPr>
          <w:p w14:paraId="7904ADD9" w14:textId="77777777" w:rsidR="00101EA0" w:rsidRPr="00F71281" w:rsidRDefault="00101EA0" w:rsidP="003C2A33">
            <w:pPr>
              <w:pStyle w:val="KeinLeerraum"/>
            </w:pPr>
            <w:r>
              <w:lastRenderedPageBreak/>
              <w:t>11</w:t>
            </w:r>
          </w:p>
        </w:tc>
        <w:tc>
          <w:tcPr>
            <w:tcW w:w="8498" w:type="dxa"/>
          </w:tcPr>
          <w:p w14:paraId="438E6561" w14:textId="77777777" w:rsidR="00101EA0" w:rsidRDefault="00101EA0" w:rsidP="003C2A33">
            <w:pPr>
              <w:pStyle w:val="KeinLeerraum"/>
            </w:pPr>
            <w:r w:rsidRPr="00F71281">
              <w:t>There is insufficient knowledge to quantify how much CO2 emissions could be partially offset by CDR on a century timescale</w:t>
            </w:r>
          </w:p>
        </w:tc>
        <w:tc>
          <w:tcPr>
            <w:tcW w:w="590" w:type="dxa"/>
          </w:tcPr>
          <w:p w14:paraId="48D40458" w14:textId="77777777" w:rsidR="00101EA0" w:rsidRDefault="00101EA0" w:rsidP="003C2A33">
            <w:pPr>
              <w:pStyle w:val="KeinLeerraum"/>
            </w:pPr>
          </w:p>
        </w:tc>
      </w:tr>
      <w:tr w:rsidR="00101EA0" w14:paraId="5E26678D" w14:textId="77777777" w:rsidTr="003C2A33">
        <w:tc>
          <w:tcPr>
            <w:tcW w:w="534" w:type="dxa"/>
          </w:tcPr>
          <w:p w14:paraId="0054378B" w14:textId="77777777" w:rsidR="00101EA0" w:rsidRPr="00F71281" w:rsidRDefault="00101EA0" w:rsidP="003C2A33">
            <w:pPr>
              <w:pStyle w:val="KeinLeerraum"/>
            </w:pPr>
            <w:r>
              <w:t>12</w:t>
            </w:r>
          </w:p>
        </w:tc>
        <w:tc>
          <w:tcPr>
            <w:tcW w:w="8498" w:type="dxa"/>
          </w:tcPr>
          <w:p w14:paraId="39E37569" w14:textId="77777777" w:rsidR="00101EA0" w:rsidRPr="00F71281" w:rsidRDefault="00101EA0" w:rsidP="003C2A33">
            <w:pPr>
              <w:pStyle w:val="KeinLeerraum"/>
            </w:pPr>
            <w:r w:rsidRPr="00F71281">
              <w:t>Scenarios with annual GHG emissions above 55 GtCO2eq in 2030 are characterized by</w:t>
            </w:r>
            <w:r>
              <w:t xml:space="preserve"> substantially higher rates of emissions reductions from 2030 to 2050 and </w:t>
            </w:r>
            <w:r w:rsidRPr="00F71281">
              <w:t>a larger reliance on CDR technologies in the long-term</w:t>
            </w:r>
          </w:p>
        </w:tc>
        <w:tc>
          <w:tcPr>
            <w:tcW w:w="590" w:type="dxa"/>
          </w:tcPr>
          <w:p w14:paraId="661C1389" w14:textId="77777777" w:rsidR="00101EA0" w:rsidRDefault="00101EA0" w:rsidP="003C2A33">
            <w:pPr>
              <w:pStyle w:val="KeinLeerraum"/>
            </w:pPr>
          </w:p>
        </w:tc>
      </w:tr>
      <w:tr w:rsidR="00101EA0" w14:paraId="17C7E475" w14:textId="77777777" w:rsidTr="003C2A33">
        <w:tc>
          <w:tcPr>
            <w:tcW w:w="534" w:type="dxa"/>
          </w:tcPr>
          <w:p w14:paraId="025F84F0" w14:textId="77777777" w:rsidR="00101EA0" w:rsidRPr="00F71281" w:rsidRDefault="00101EA0" w:rsidP="003C2A33">
            <w:pPr>
              <w:pStyle w:val="KeinLeerraum"/>
            </w:pPr>
            <w:r>
              <w:t>13</w:t>
            </w:r>
          </w:p>
        </w:tc>
        <w:tc>
          <w:tcPr>
            <w:tcW w:w="8498" w:type="dxa"/>
          </w:tcPr>
          <w:p w14:paraId="257B9034" w14:textId="77777777" w:rsidR="00101EA0" w:rsidRPr="00F71281" w:rsidRDefault="00101EA0" w:rsidP="003C2A33">
            <w:pPr>
              <w:pStyle w:val="KeinLeerraum"/>
            </w:pPr>
            <w:r w:rsidRPr="00F71281">
              <w:t>Many models could not achieve atmospheric concentration levels of about 450 ppm CO2eq by 2100 if additional mitigation is considerably delayed or under limited availability of key technologies, such as bioenergy, CCS, and their combination (BECCS).</w:t>
            </w:r>
          </w:p>
        </w:tc>
        <w:tc>
          <w:tcPr>
            <w:tcW w:w="590" w:type="dxa"/>
          </w:tcPr>
          <w:p w14:paraId="1057EA65" w14:textId="77777777" w:rsidR="00101EA0" w:rsidRDefault="00101EA0" w:rsidP="003C2A33">
            <w:pPr>
              <w:pStyle w:val="KeinLeerraum"/>
            </w:pPr>
          </w:p>
        </w:tc>
      </w:tr>
      <w:tr w:rsidR="00101EA0" w14:paraId="545F0F51" w14:textId="77777777" w:rsidTr="003C2A33">
        <w:tc>
          <w:tcPr>
            <w:tcW w:w="534" w:type="dxa"/>
          </w:tcPr>
          <w:p w14:paraId="6A942615" w14:textId="77777777" w:rsidR="00101EA0" w:rsidRPr="00F71281" w:rsidRDefault="00101EA0" w:rsidP="003C2A33">
            <w:pPr>
              <w:pStyle w:val="KeinLeerraum"/>
            </w:pPr>
            <w:r>
              <w:t>14</w:t>
            </w:r>
          </w:p>
        </w:tc>
        <w:tc>
          <w:tcPr>
            <w:tcW w:w="8498" w:type="dxa"/>
          </w:tcPr>
          <w:p w14:paraId="5085DBB4" w14:textId="77777777" w:rsidR="00101EA0" w:rsidRPr="00F71281" w:rsidRDefault="00101EA0" w:rsidP="003C2A33">
            <w:pPr>
              <w:pStyle w:val="KeinLeerraum"/>
            </w:pPr>
            <w:r w:rsidRPr="00F71281">
              <w:t>The distribution of the mitigation effort across sectors is strongly influenced by the availability and performance of BECCS and large scale afforestation</w:t>
            </w:r>
          </w:p>
        </w:tc>
        <w:tc>
          <w:tcPr>
            <w:tcW w:w="590" w:type="dxa"/>
          </w:tcPr>
          <w:p w14:paraId="3A4A6DB2" w14:textId="77777777" w:rsidR="00101EA0" w:rsidRDefault="00101EA0" w:rsidP="003C2A33">
            <w:pPr>
              <w:pStyle w:val="KeinLeerraum"/>
            </w:pPr>
          </w:p>
        </w:tc>
      </w:tr>
      <w:tr w:rsidR="00101EA0" w14:paraId="7894364F" w14:textId="77777777" w:rsidTr="003C2A33">
        <w:tc>
          <w:tcPr>
            <w:tcW w:w="534" w:type="dxa"/>
          </w:tcPr>
          <w:p w14:paraId="5DDB8578" w14:textId="77777777" w:rsidR="00101EA0" w:rsidRPr="00F71281" w:rsidRDefault="00101EA0" w:rsidP="003C2A33">
            <w:pPr>
              <w:pStyle w:val="KeinLeerraum"/>
            </w:pPr>
            <w:r>
              <w:t>15</w:t>
            </w:r>
          </w:p>
        </w:tc>
        <w:tc>
          <w:tcPr>
            <w:tcW w:w="8498" w:type="dxa"/>
          </w:tcPr>
          <w:p w14:paraId="499C2DC7" w14:textId="77777777" w:rsidR="00101EA0" w:rsidRPr="00F71281" w:rsidRDefault="00101EA0" w:rsidP="003C2A33">
            <w:pPr>
              <w:pStyle w:val="KeinLeerraum"/>
            </w:pPr>
            <w:r w:rsidRPr="00F71281">
              <w:t>Combining bioenergy with CCS (BECCS) offers the prospect of energy supply with large-scale net negative emissions which plays an important role in many low-stabilization scenarios</w:t>
            </w:r>
          </w:p>
        </w:tc>
        <w:tc>
          <w:tcPr>
            <w:tcW w:w="590" w:type="dxa"/>
          </w:tcPr>
          <w:p w14:paraId="0794F553" w14:textId="77777777" w:rsidR="00101EA0" w:rsidRDefault="00101EA0" w:rsidP="003C2A33">
            <w:pPr>
              <w:pStyle w:val="KeinLeerraum"/>
            </w:pPr>
          </w:p>
        </w:tc>
      </w:tr>
      <w:tr w:rsidR="00101EA0" w14:paraId="21765C02" w14:textId="77777777" w:rsidTr="003C2A33">
        <w:tc>
          <w:tcPr>
            <w:tcW w:w="534" w:type="dxa"/>
          </w:tcPr>
          <w:p w14:paraId="68F467A3" w14:textId="77777777" w:rsidR="00101EA0" w:rsidRPr="00101EA0" w:rsidRDefault="00101EA0" w:rsidP="003C2A33">
            <w:pPr>
              <w:pStyle w:val="KeinLeerraum"/>
            </w:pPr>
            <w:r>
              <w:t>16</w:t>
            </w:r>
          </w:p>
        </w:tc>
        <w:tc>
          <w:tcPr>
            <w:tcW w:w="8498" w:type="dxa"/>
          </w:tcPr>
          <w:p w14:paraId="0338CAA2" w14:textId="77777777" w:rsidR="00101EA0" w:rsidRPr="00F71281" w:rsidRDefault="00101EA0" w:rsidP="003C2A33">
            <w:pPr>
              <w:pStyle w:val="KeinLeerraum"/>
            </w:pPr>
            <w:r w:rsidRPr="00101EA0">
              <w:t>Most recent estimates indicate a decline in AFOLU CO2 fluxes, largely due to decreasing deforestation rates and increased afforestation</w:t>
            </w:r>
          </w:p>
        </w:tc>
        <w:tc>
          <w:tcPr>
            <w:tcW w:w="590" w:type="dxa"/>
          </w:tcPr>
          <w:p w14:paraId="34C26A57" w14:textId="77777777" w:rsidR="00101EA0" w:rsidRDefault="00101EA0" w:rsidP="003C2A33">
            <w:pPr>
              <w:pStyle w:val="KeinLeerraum"/>
            </w:pPr>
          </w:p>
        </w:tc>
      </w:tr>
      <w:tr w:rsidR="00101EA0" w14:paraId="5D682C86" w14:textId="77777777" w:rsidTr="003C2A33">
        <w:tc>
          <w:tcPr>
            <w:tcW w:w="534" w:type="dxa"/>
          </w:tcPr>
          <w:p w14:paraId="54B47F62" w14:textId="77777777" w:rsidR="00101EA0" w:rsidRPr="00F71281" w:rsidRDefault="00101EA0" w:rsidP="003C2A33">
            <w:pPr>
              <w:pStyle w:val="KeinLeerraum"/>
            </w:pPr>
            <w:r>
              <w:t>17</w:t>
            </w:r>
          </w:p>
        </w:tc>
        <w:tc>
          <w:tcPr>
            <w:tcW w:w="8498" w:type="dxa"/>
          </w:tcPr>
          <w:p w14:paraId="2B87B775" w14:textId="77777777" w:rsidR="00101EA0" w:rsidRPr="00F71281" w:rsidRDefault="00101EA0" w:rsidP="003C2A33">
            <w:pPr>
              <w:pStyle w:val="KeinLeerraum"/>
            </w:pPr>
            <w:r>
              <w:t>N</w:t>
            </w:r>
            <w:r w:rsidRPr="00101EA0">
              <w:t>et annual baseline CO2 emissions from AFOLU are projected to decline</w:t>
            </w:r>
            <w:r>
              <w:t xml:space="preserve"> in the future</w:t>
            </w:r>
            <w:r w:rsidRPr="00101EA0">
              <w:t>, with net emissions potentially less than half the 2010 level by 2050 and the possibility of the AFOLU sectors becoming a net CO2 sink before the end of century</w:t>
            </w:r>
          </w:p>
        </w:tc>
        <w:tc>
          <w:tcPr>
            <w:tcW w:w="590" w:type="dxa"/>
          </w:tcPr>
          <w:p w14:paraId="1095C9B7" w14:textId="77777777" w:rsidR="00101EA0" w:rsidRDefault="00101EA0" w:rsidP="003C2A33">
            <w:pPr>
              <w:pStyle w:val="KeinLeerraum"/>
            </w:pPr>
          </w:p>
        </w:tc>
      </w:tr>
      <w:tr w:rsidR="00101EA0" w14:paraId="77CE1199" w14:textId="77777777" w:rsidTr="003C2A33">
        <w:tc>
          <w:tcPr>
            <w:tcW w:w="534" w:type="dxa"/>
          </w:tcPr>
          <w:p w14:paraId="0080EF9E" w14:textId="77777777" w:rsidR="00101EA0" w:rsidRPr="00F71281" w:rsidRDefault="00101EA0" w:rsidP="003C2A33">
            <w:pPr>
              <w:pStyle w:val="KeinLeerraum"/>
            </w:pPr>
            <w:r>
              <w:t>18</w:t>
            </w:r>
          </w:p>
        </w:tc>
        <w:tc>
          <w:tcPr>
            <w:tcW w:w="8498" w:type="dxa"/>
          </w:tcPr>
          <w:p w14:paraId="6D753931" w14:textId="77777777" w:rsidR="00101EA0" w:rsidRPr="00F71281" w:rsidRDefault="00101EA0" w:rsidP="003C2A33">
            <w:pPr>
              <w:pStyle w:val="KeinLeerraum"/>
            </w:pPr>
            <w:r>
              <w:t>Afforestation is one of t</w:t>
            </w:r>
            <w:r w:rsidRPr="00101EA0">
              <w:t xml:space="preserve">he most cost-effective mitigation options in forestry with large differences across regions. </w:t>
            </w:r>
          </w:p>
        </w:tc>
        <w:tc>
          <w:tcPr>
            <w:tcW w:w="590" w:type="dxa"/>
          </w:tcPr>
          <w:p w14:paraId="452000DE" w14:textId="77777777" w:rsidR="00101EA0" w:rsidRDefault="00101EA0" w:rsidP="003C2A33">
            <w:pPr>
              <w:pStyle w:val="KeinLeerraum"/>
            </w:pPr>
          </w:p>
        </w:tc>
      </w:tr>
    </w:tbl>
    <w:p w14:paraId="37860954" w14:textId="77777777" w:rsidR="00101EA0" w:rsidRPr="00101EA0" w:rsidRDefault="00101EA0" w:rsidP="00FE4BC7">
      <w:pPr>
        <w:rPr>
          <w:rStyle w:val="berschrift1Zchn"/>
        </w:rPr>
      </w:pPr>
    </w:p>
    <w:p w14:paraId="2C20A0FA" w14:textId="77777777" w:rsidR="00AD2C18" w:rsidRDefault="00AD2C18" w:rsidP="00FE4BC7"/>
    <w:p w14:paraId="7ACC58E7" w14:textId="77777777" w:rsidR="00FE4BC7" w:rsidRPr="00FE4BC7" w:rsidRDefault="00FE4BC7" w:rsidP="00FE4BC7">
      <w:pPr>
        <w:rPr>
          <w:rStyle w:val="berschrift1Zchn"/>
        </w:rPr>
      </w:pPr>
      <w:r w:rsidRPr="00FE4BC7">
        <w:rPr>
          <w:rStyle w:val="berschrift1Zchn"/>
        </w:rPr>
        <w:t>TS.3 Mitigation pathways and measures in the context of sustainable development</w:t>
      </w:r>
    </w:p>
    <w:p w14:paraId="0C7B9E11" w14:textId="77777777" w:rsidR="00FE4BC7" w:rsidRDefault="00FE4BC7" w:rsidP="00FE4BC7">
      <w:pPr>
        <w:pStyle w:val="berschrift2"/>
      </w:pPr>
      <w:bookmarkStart w:id="11" w:name="_Toc525298444"/>
      <w:r>
        <w:t>TS.3.1 Mitigation pathways</w:t>
      </w:r>
      <w:bookmarkEnd w:id="11"/>
    </w:p>
    <w:p w14:paraId="7D6BA74C" w14:textId="77777777" w:rsidR="00FE4BC7" w:rsidRDefault="00FE4BC7" w:rsidP="00FE4BC7">
      <w:pPr>
        <w:pStyle w:val="berschrift3"/>
      </w:pPr>
      <w:bookmarkStart w:id="12" w:name="_Toc525298445"/>
      <w:r>
        <w:t>TS.3.1.2 Short- and long-term requirements of mitigation pathways</w:t>
      </w:r>
      <w:bookmarkEnd w:id="12"/>
    </w:p>
    <w:p w14:paraId="25FE067F" w14:textId="77777777" w:rsidR="008E2000" w:rsidRDefault="00FE4BC7" w:rsidP="00FE4BC7">
      <w:pPr>
        <w:rPr>
          <w:b/>
          <w:color w:val="FF0000"/>
        </w:rPr>
      </w:pPr>
      <w:r w:rsidRPr="00FE4BC7">
        <w:rPr>
          <w:b/>
          <w:highlight w:val="yellow"/>
        </w:rPr>
        <w:t>Depending on the level of overshoot, many overshoot scenarios rely on the availability and widespread deployment of bioenergy with carbon dioxide capture and storage (</w:t>
      </w:r>
      <w:r w:rsidRPr="00FE4BC7">
        <w:rPr>
          <w:b/>
          <w:color w:val="F79646" w:themeColor="accent6"/>
          <w:highlight w:val="yellow"/>
        </w:rPr>
        <w:t>BECCS</w:t>
      </w:r>
      <w:r w:rsidRPr="00FE4BC7">
        <w:rPr>
          <w:b/>
          <w:highlight w:val="yellow"/>
        </w:rPr>
        <w:t xml:space="preserve">) and/or </w:t>
      </w:r>
      <w:r w:rsidRPr="00FE4BC7">
        <w:rPr>
          <w:b/>
          <w:color w:val="0070C0"/>
          <w:highlight w:val="yellow"/>
        </w:rPr>
        <w:t xml:space="preserve">afforestation </w:t>
      </w:r>
      <w:r w:rsidRPr="00FE4BC7">
        <w:rPr>
          <w:b/>
          <w:highlight w:val="yellow"/>
        </w:rPr>
        <w:t>in the second half of the century (high confidence).</w:t>
      </w:r>
      <w:r>
        <w:t xml:space="preserve"> </w:t>
      </w:r>
      <w:r w:rsidRPr="00FE4BC7">
        <w:rPr>
          <w:b/>
          <w:highlight w:val="yellow"/>
        </w:rPr>
        <w:t xml:space="preserve">These and other </w:t>
      </w:r>
      <w:r w:rsidRPr="00FE4BC7">
        <w:rPr>
          <w:b/>
          <w:color w:val="00B050"/>
          <w:highlight w:val="yellow"/>
        </w:rPr>
        <w:t>carbon dioxide removal (CDR)</w:t>
      </w:r>
      <w:r w:rsidRPr="00FE4BC7">
        <w:rPr>
          <w:b/>
          <w:highlight w:val="yellow"/>
        </w:rPr>
        <w:t xml:space="preserve"> technologies and methods remove CO2 from the atmosphere (</w:t>
      </w:r>
      <w:r w:rsidRPr="00FE4BC7">
        <w:rPr>
          <w:b/>
          <w:color w:val="7030A0"/>
          <w:highlight w:val="yellow"/>
        </w:rPr>
        <w:t>negative emissions</w:t>
      </w:r>
      <w:r w:rsidRPr="00FE4BC7">
        <w:rPr>
          <w:b/>
          <w:highlight w:val="yellow"/>
        </w:rPr>
        <w:t>).</w:t>
      </w:r>
      <w:r>
        <w:t xml:space="preserve"> </w:t>
      </w:r>
      <w:r w:rsidRPr="00FE4BC7">
        <w:rPr>
          <w:b/>
          <w:highlight w:val="yellow"/>
        </w:rPr>
        <w:t xml:space="preserve">Scenarios with overshoot of greater than 0.4 W/m2 (&gt;  35–50 ppm CO2eq concentration) typically deploy </w:t>
      </w:r>
      <w:r w:rsidRPr="00FE4BC7">
        <w:rPr>
          <w:b/>
          <w:color w:val="00B050"/>
          <w:highlight w:val="yellow"/>
        </w:rPr>
        <w:t xml:space="preserve">CDR </w:t>
      </w:r>
      <w:r w:rsidRPr="00FE4BC7">
        <w:rPr>
          <w:b/>
          <w:highlight w:val="yellow"/>
        </w:rPr>
        <w:t xml:space="preserve">technologies to an extent that net global CO2 emissions become negative in the second-half of the century (Figure TS.8, right panel). </w:t>
      </w:r>
      <w:r w:rsidRPr="00FE4BC7">
        <w:rPr>
          <w:b/>
          <w:color w:val="00B050"/>
          <w:highlight w:val="yellow"/>
        </w:rPr>
        <w:t xml:space="preserve">CDR </w:t>
      </w:r>
      <w:r w:rsidRPr="00FE4BC7">
        <w:rPr>
          <w:b/>
          <w:highlight w:val="yellow"/>
        </w:rPr>
        <w:t xml:space="preserve">is also prevalent in many scenarios without concentration overshoot to compensate for residual emissions from sectors where mitigation is more expensive. The availability and potential of </w:t>
      </w:r>
      <w:r w:rsidRPr="00FE4BC7">
        <w:rPr>
          <w:b/>
          <w:color w:val="F79646" w:themeColor="accent6"/>
          <w:highlight w:val="yellow"/>
        </w:rPr>
        <w:t>BECCS</w:t>
      </w:r>
      <w:r w:rsidRPr="00FE4BC7">
        <w:rPr>
          <w:b/>
          <w:highlight w:val="yellow"/>
        </w:rPr>
        <w:t xml:space="preserve">, </w:t>
      </w:r>
      <w:r w:rsidRPr="00FE4BC7">
        <w:rPr>
          <w:b/>
          <w:color w:val="0070C0"/>
          <w:highlight w:val="yellow"/>
        </w:rPr>
        <w:t>afforestation</w:t>
      </w:r>
      <w:r w:rsidRPr="00FE4BC7">
        <w:rPr>
          <w:b/>
          <w:highlight w:val="yellow"/>
        </w:rPr>
        <w:t xml:space="preserve">, and other </w:t>
      </w:r>
      <w:r w:rsidRPr="00FE4BC7">
        <w:rPr>
          <w:b/>
          <w:color w:val="00B050"/>
          <w:highlight w:val="yellow"/>
        </w:rPr>
        <w:t xml:space="preserve">CDR </w:t>
      </w:r>
      <w:r w:rsidRPr="00FE4BC7">
        <w:rPr>
          <w:b/>
          <w:highlight w:val="yellow"/>
        </w:rPr>
        <w:t xml:space="preserve">technologies and methods are uncertain and </w:t>
      </w:r>
      <w:r w:rsidRPr="00FE4BC7">
        <w:rPr>
          <w:b/>
          <w:color w:val="00B050"/>
          <w:highlight w:val="yellow"/>
        </w:rPr>
        <w:t xml:space="preserve">CDR </w:t>
      </w:r>
      <w:r w:rsidRPr="00FE4BC7">
        <w:rPr>
          <w:b/>
          <w:highlight w:val="yellow"/>
        </w:rPr>
        <w:t xml:space="preserve">technologies and methods are, to varying degrees, associated with challenges and risks. There is uncertainty about the potential for large-scale deployment of </w:t>
      </w:r>
      <w:r w:rsidRPr="00FE4BC7">
        <w:rPr>
          <w:b/>
          <w:color w:val="F79646" w:themeColor="accent6"/>
          <w:highlight w:val="yellow"/>
        </w:rPr>
        <w:t>BECCS</w:t>
      </w:r>
      <w:r w:rsidRPr="00FE4BC7">
        <w:rPr>
          <w:b/>
          <w:highlight w:val="yellow"/>
        </w:rPr>
        <w:t xml:space="preserve">, large-scale </w:t>
      </w:r>
      <w:r w:rsidRPr="00FE4BC7">
        <w:rPr>
          <w:b/>
          <w:color w:val="0070C0"/>
          <w:highlight w:val="yellow"/>
        </w:rPr>
        <w:t>afforestation</w:t>
      </w:r>
      <w:r w:rsidRPr="00FE4BC7">
        <w:rPr>
          <w:b/>
          <w:highlight w:val="yellow"/>
        </w:rPr>
        <w:t xml:space="preserve">, and other </w:t>
      </w:r>
      <w:r w:rsidRPr="00FE4BC7">
        <w:rPr>
          <w:b/>
          <w:color w:val="00B050"/>
          <w:highlight w:val="yellow"/>
        </w:rPr>
        <w:t xml:space="preserve">CDR </w:t>
      </w:r>
      <w:r w:rsidRPr="00FE4BC7">
        <w:rPr>
          <w:b/>
          <w:highlight w:val="yellow"/>
        </w:rPr>
        <w:t>technologies and methods.</w:t>
      </w:r>
      <w:r>
        <w:t xml:space="preserve"> </w:t>
      </w:r>
      <w:r w:rsidRPr="00FE4BC7">
        <w:rPr>
          <w:b/>
          <w:color w:val="FF0000"/>
        </w:rPr>
        <w:t>[6.3, 6.9]</w:t>
      </w:r>
    </w:p>
    <w:p w14:paraId="1D4C0198" w14:textId="77777777" w:rsidR="00AD2C18" w:rsidRDefault="00AD2C18" w:rsidP="00FE4BC7">
      <w:r w:rsidRPr="00AD2C18">
        <w:rPr>
          <w:b/>
          <w:highlight w:val="yellow"/>
        </w:rPr>
        <w:t>Reaching atmospheric concentration levels of about 450 to about 500ppm CO2eq by 2100 will require substantial cuts in anthropogenic GHG emissions by mid-century (high confidence).</w:t>
      </w:r>
      <w:r>
        <w:t xml:space="preserve"> Scenarios reaching about 450ppm CO2eq by 2100 are associated with GHG emissions reductions of about 40% to 70% by </w:t>
      </w:r>
      <w:r>
        <w:lastRenderedPageBreak/>
        <w:t xml:space="preserve">2050 compared to 2010 and emissions levels near zero GtCO2eq or below in 2100.11 </w:t>
      </w:r>
      <w:r w:rsidRPr="00AD2C18">
        <w:rPr>
          <w:b/>
          <w:highlight w:val="yellow"/>
        </w:rPr>
        <w:t xml:space="preserve">Scenarios with GHG emissions reductions in 2050 at the lower end of this range are characterized by a greater reliance on </w:t>
      </w:r>
      <w:r w:rsidRPr="00AD2C18">
        <w:rPr>
          <w:b/>
          <w:color w:val="00B050"/>
          <w:highlight w:val="yellow"/>
        </w:rPr>
        <w:t xml:space="preserve">CDR </w:t>
      </w:r>
      <w:r w:rsidRPr="00AD2C18">
        <w:rPr>
          <w:b/>
          <w:highlight w:val="yellow"/>
        </w:rPr>
        <w:t>technologies beyond midcentury.</w:t>
      </w:r>
      <w:r>
        <w:t xml:space="preserve"> The majority of scenarios that reach about 500ppm CO2eq in 2100 without overshooting roughly 530ppm CO2eq at any point during the century are associated with GHG emissions reductions of 40% to 55% by 2050 compared to 2010 (</w:t>
      </w:r>
      <w:r w:rsidRPr="00AD2C18">
        <w:rPr>
          <w:b/>
          <w:color w:val="FF0000"/>
        </w:rPr>
        <w:t>Figure TS.8, left panel; Table TS.1</w:t>
      </w:r>
      <w:r>
        <w:t>). In contrast, in some scenarios in which concentrations rise to well above 530ppm CO2eq during the century before descending to concentrations below this level by 2100, emissions rise to as high as 20% above 2010 levels in 2050. However, these high-overshoot scenarios are characterized by negative global emissions of well over 20 GtCO2 per year in the second half of the century (Figure TS.8, right panel). Cumulative CO2 emissions between 2011 and 2100 are 630–1180 GtCO2 in scenarios reaching about 450ppm CO2eq in 2100; they are 960–1550 GtCO2 in scenarios reaching about 500ppm CO2eq in 2100. The variation in cumulative CO2 emissions across scenarios is due to differences in the contribution of non-CO2 GHGs and other radiatively active substances as well as the timing of mitigation (Table TS.1). [</w:t>
      </w:r>
      <w:r w:rsidRPr="00AD2C18">
        <w:rPr>
          <w:b/>
          <w:color w:val="FF0000"/>
        </w:rPr>
        <w:t>6.3</w:t>
      </w:r>
      <w:r>
        <w:t>]</w:t>
      </w:r>
    </w:p>
    <w:p w14:paraId="07E5D454" w14:textId="77777777" w:rsidR="00FE4BC7" w:rsidRDefault="00FE4BC7" w:rsidP="00FE4BC7">
      <w:r>
        <w:t xml:space="preserve">Figure TS.8| Development of total GHG emissions for different long-term concentration levels (left panel) and for scenarios reaching about 450 to about 500 (430–530) ppm CO2eq in 2100 </w:t>
      </w:r>
      <w:r w:rsidRPr="00FE4BC7">
        <w:rPr>
          <w:b/>
          <w:highlight w:val="yellow"/>
        </w:rPr>
        <w:t xml:space="preserve">with and without net </w:t>
      </w:r>
      <w:r w:rsidRPr="00FE4BC7">
        <w:rPr>
          <w:b/>
          <w:color w:val="7030A0"/>
          <w:highlight w:val="yellow"/>
        </w:rPr>
        <w:t xml:space="preserve">negative CO2 emissions </w:t>
      </w:r>
      <w:r w:rsidRPr="00FE4BC7">
        <w:rPr>
          <w:b/>
          <w:highlight w:val="yellow"/>
        </w:rPr>
        <w:t>larger than 20 GtCO2/yr</w:t>
      </w:r>
      <w:r w:rsidRPr="00FE4BC7">
        <w:rPr>
          <w:b/>
        </w:rPr>
        <w:t xml:space="preserve"> </w:t>
      </w:r>
      <w:r>
        <w:t>(right panel). Ranges are given for the 10th–90th percentile of scenarios. [</w:t>
      </w:r>
      <w:r w:rsidRPr="00AD2C18">
        <w:rPr>
          <w:b/>
          <w:color w:val="FF0000"/>
        </w:rPr>
        <w:t>Figure 6.7</w:t>
      </w:r>
      <w:r>
        <w:t>]</w:t>
      </w:r>
    </w:p>
    <w:p w14:paraId="170F3F29" w14:textId="77777777" w:rsidR="00FE4BC7" w:rsidRDefault="00FE4BC7" w:rsidP="00FE4BC7">
      <w:r>
        <w:t xml:space="preserve">Figure TS.9| The implications of different 2030 GHG emissions levels for the rate of CO2 emissions reductions from 2030 to 2050 in mitigation scenarios reaching about 450 to about 500 (430–530) ppm CO2eq concentrations by 2100. The scenarios are grouped according to different emissions levels by 2030 (coloured in different shades of green). The left panel shows the pathways of GHG emissions (GtCO2eq/yr) leading to these 2030 levels. The black bar shows the estimated uncertainty range of GHG emissions implied by the Cancún Pledges. Black dot with whiskers gives historic GHG emission levels and associated uncertainties in 2010 as reported in Figure TS.1. The right panel denotes the average annual CO2 emissions reduction rates for the period 2030–2050. It compares the median and interquartile range across scenarios from recent intermodel comparisons with explicit 2030 interim goals to the range of scenarios in the Scenario Database for WGIII AR5. Annual rates of historical emissions change between 1900–2010 (sustained over a period of 20 years) and the average annual emissions change between 2000–2010 are shown in grey. </w:t>
      </w:r>
      <w:r w:rsidRPr="00FE4BC7">
        <w:rPr>
          <w:b/>
          <w:highlight w:val="yellow"/>
        </w:rPr>
        <w:t xml:space="preserve">Note: Scenarios with large </w:t>
      </w:r>
      <w:r w:rsidRPr="00FE4BC7">
        <w:rPr>
          <w:b/>
          <w:color w:val="7030A0"/>
          <w:highlight w:val="yellow"/>
        </w:rPr>
        <w:t xml:space="preserve">net negative global emissions </w:t>
      </w:r>
      <w:r w:rsidRPr="00FE4BC7">
        <w:rPr>
          <w:b/>
          <w:highlight w:val="yellow"/>
        </w:rPr>
        <w:t>(&gt; 20 GtCO2/yr) are not included in the WGIII AR5 scenario range, but rather shown as independent points</w:t>
      </w:r>
      <w:r>
        <w:t>. Only scenarios that apply the full, unconstrained mitigation technology portfolio of the underlying models (default technology assumption) are shown. Scenarios with exogenous carbon price assumptions or other policies affecting the timing of mitigation (other than 2030 interim targets) as well as scenarios with 2010 emissions significantly outside the historical range are excluded. [</w:t>
      </w:r>
      <w:r w:rsidRPr="00AD2C18">
        <w:rPr>
          <w:b/>
          <w:color w:val="FF0000"/>
        </w:rPr>
        <w:t>Figure 6.32, 13.13.1.3</w:t>
      </w:r>
      <w:r>
        <w:t>]</w:t>
      </w:r>
    </w:p>
    <w:p w14:paraId="3EF6B48D" w14:textId="77777777" w:rsidR="00FE4BC7" w:rsidRDefault="00FE4BC7" w:rsidP="00FE4BC7">
      <w:r>
        <w:t xml:space="preserve">Figure TS.10| The up-scaling of low-carbon energy in scenarios meeting different 2100 CO2eq concentration levels (left panel). The right panel shows the rate of up-scaling subject to different 2030 GHG emissions levels in mitigation scenarios reaching about 450 to about 500 (430–530) ppm CO2eq concentrations by 2100. </w:t>
      </w:r>
      <w:r w:rsidRPr="00FE4BC7">
        <w:rPr>
          <w:b/>
          <w:highlight w:val="yellow"/>
        </w:rPr>
        <w:t xml:space="preserve">Colored bars show the interquartile range and white bars indicate the full range across the scenarios, excluding those with large, </w:t>
      </w:r>
      <w:r w:rsidRPr="00FE4BC7">
        <w:rPr>
          <w:b/>
          <w:color w:val="7030A0"/>
          <w:highlight w:val="yellow"/>
        </w:rPr>
        <w:t xml:space="preserve">global net negative CO2 emissions </w:t>
      </w:r>
      <w:r w:rsidRPr="00FE4BC7">
        <w:rPr>
          <w:b/>
          <w:highlight w:val="yellow"/>
        </w:rPr>
        <w:t>(&gt; 20 GtCO2/yr).</w:t>
      </w:r>
      <w:r>
        <w:t xml:space="preserve"> Scenarios with large net negative global emissions are shown as individual points. The arrows </w:t>
      </w:r>
      <w:r>
        <w:lastRenderedPageBreak/>
        <w:t>indicate the magnitude of zero- and low-carbon energy supply up-scaling from 2030 to 2050. Zero- and lowcarbon energy supply includes renewables, nuclear energy, fossil energy with carbon dioxide capture and storage (CCS), and bioenergy with CCS (BECCS). Note: Only scenarios that apply the full, unconstrained mitigation technology portfolio of the underlying models (default technology assumption) are shown. Scenarios with exogenous carbon price assumptions are excluded in both panels. In the right panel, scenarios with policies affecting the timing of mitigation other than 2030 interim targets are also excluded. [</w:t>
      </w:r>
      <w:r w:rsidRPr="00AD2C18">
        <w:rPr>
          <w:b/>
          <w:color w:val="FF0000"/>
        </w:rPr>
        <w:t>Figure 7.16</w:t>
      </w:r>
      <w:r>
        <w:t>]</w:t>
      </w:r>
    </w:p>
    <w:p w14:paraId="197968F4" w14:textId="77777777" w:rsidR="00FE4BC7" w:rsidRDefault="00FE4BC7" w:rsidP="00FE4BC7">
      <w:r>
        <w:t xml:space="preserve">Figure TS.11| Near-term GHG emissions from mitigation scenarios reaching about 450 to about 500 (430–530) ppm CO2eq concentrations by 2100. The Figure includes only scenarios for which temperature exceedance probabilities were calculated. Individual model results are indicated with a data point when 2 °C exceedance probability is below 50% as assessed by a simple carbon cycle/climate model (MAGICC). </w:t>
      </w:r>
      <w:r w:rsidRPr="00FE4BC7">
        <w:rPr>
          <w:b/>
          <w:highlight w:val="yellow"/>
        </w:rPr>
        <w:t xml:space="preserve">Colours refer to scenario classification in terms of whether </w:t>
      </w:r>
      <w:r w:rsidRPr="00FE4BC7">
        <w:rPr>
          <w:b/>
          <w:color w:val="7030A0"/>
          <w:highlight w:val="yellow"/>
        </w:rPr>
        <w:t xml:space="preserve">net CO2 emissions become negative </w:t>
      </w:r>
      <w:r w:rsidRPr="00FE4BC7">
        <w:rPr>
          <w:b/>
          <w:highlight w:val="yellow"/>
        </w:rPr>
        <w:t>before 2100 (negative vs. no negative) and the timing of international participation in climate mitigation (immediate vs. delay until 2020 vs. delay until 2030)</w:t>
      </w:r>
      <w:r>
        <w:t>. Number of reported individual results is shown in legend. The range of global GHG emissions in 2020 implied by the Cancún Pledges is based on analysis of alternative interpretations of national pledges. Note: In the WGIII AR5 scenario database, only four reported scenarios were produced based on delayed mitigation without net negative emissions while still lying below 530 ppm CO2eq by 2100. They do not appear in the figure, because the model had insufficient coverage of non-gas species to enable a temperature calculation. Delay in these scenarios extended only to 2020, and their emissions fell in the same range as the ‘No Negative/Immediate’ category. Delay scenarios include both delayed global mitigation and fragmented action scenarios. [</w:t>
      </w:r>
      <w:r w:rsidRPr="00AD2C18">
        <w:rPr>
          <w:b/>
          <w:color w:val="FF0000"/>
        </w:rPr>
        <w:t>Figure 6.31, 13.13.1.3</w:t>
      </w:r>
      <w:r>
        <w:t>]</w:t>
      </w:r>
    </w:p>
    <w:p w14:paraId="61BC2969" w14:textId="77777777" w:rsidR="00AD2C18" w:rsidRDefault="00AD2C18" w:rsidP="00AD2C18">
      <w:pPr>
        <w:pStyle w:val="berschrift2"/>
        <w:rPr>
          <w:highlight w:val="yellow"/>
        </w:rPr>
      </w:pPr>
      <w:bookmarkStart w:id="13" w:name="_Toc525298446"/>
      <w:r>
        <w:t>TS.3.2 Sectoral and cross-sectoral mitigation measures</w:t>
      </w:r>
      <w:bookmarkEnd w:id="13"/>
    </w:p>
    <w:p w14:paraId="0A8D9A02" w14:textId="77777777" w:rsidR="00FE4BC7" w:rsidRDefault="00FE4BC7" w:rsidP="00FE4BC7">
      <w:r w:rsidRPr="00FE4BC7">
        <w:rPr>
          <w:b/>
          <w:highlight w:val="yellow"/>
        </w:rPr>
        <w:t xml:space="preserve">The availability of </w:t>
      </w:r>
      <w:r w:rsidRPr="00AD2C18">
        <w:rPr>
          <w:b/>
          <w:color w:val="00B050"/>
          <w:highlight w:val="yellow"/>
        </w:rPr>
        <w:t xml:space="preserve">CDR </w:t>
      </w:r>
      <w:r w:rsidRPr="00FE4BC7">
        <w:rPr>
          <w:b/>
          <w:highlight w:val="yellow"/>
        </w:rPr>
        <w:t>technologies affects the size of the mitigation challenge for the energy end-use sectors (robust evidence, high agreement) [</w:t>
      </w:r>
      <w:r w:rsidRPr="00AD2C18">
        <w:rPr>
          <w:b/>
          <w:color w:val="FF0000"/>
          <w:highlight w:val="yellow"/>
        </w:rPr>
        <w:t>6.8, 7.11</w:t>
      </w:r>
      <w:r w:rsidRPr="00FE4BC7">
        <w:rPr>
          <w:b/>
          <w:highlight w:val="yellow"/>
        </w:rPr>
        <w:t>].</w:t>
      </w:r>
      <w:r>
        <w:t xml:space="preserve"> There are strong interdependencies in mitigation scenarios between the required pace of decarbonization of energy supply and end-use sectors. The more rapid decarbonization of supply generally provides more flexibility for the end-use sectors. </w:t>
      </w:r>
      <w:r w:rsidRPr="00AD2C18">
        <w:rPr>
          <w:b/>
          <w:highlight w:val="yellow"/>
        </w:rPr>
        <w:t xml:space="preserve">However, barriers to decarbonizing the supply side, resulting for example from a limited availability of CCS to achieve </w:t>
      </w:r>
      <w:r w:rsidRPr="00AD2C18">
        <w:rPr>
          <w:b/>
          <w:color w:val="7030A0"/>
          <w:highlight w:val="yellow"/>
        </w:rPr>
        <w:t xml:space="preserve">negative emissions </w:t>
      </w:r>
      <w:r w:rsidRPr="00AD2C18">
        <w:rPr>
          <w:b/>
          <w:highlight w:val="yellow"/>
        </w:rPr>
        <w:t xml:space="preserve">when </w:t>
      </w:r>
      <w:r w:rsidRPr="00AD2C18">
        <w:rPr>
          <w:b/>
          <w:color w:val="F79646" w:themeColor="accent6"/>
          <w:highlight w:val="yellow"/>
        </w:rPr>
        <w:t>combined with bioenergy</w:t>
      </w:r>
      <w:r w:rsidRPr="00AD2C18">
        <w:rPr>
          <w:b/>
          <w:highlight w:val="yellow"/>
        </w:rPr>
        <w:t>, require a more rapid and pervasive decarbonisation of the energy end-use sectors in scenarios achieving lowCO2eq concentration levels</w:t>
      </w:r>
      <w:r>
        <w:t xml:space="preserve"> (</w:t>
      </w:r>
      <w:r w:rsidRPr="00AD2C18">
        <w:rPr>
          <w:b/>
          <w:color w:val="FF0000"/>
        </w:rPr>
        <w:t>Figure TS.17</w:t>
      </w:r>
      <w:r>
        <w:t>). The availability of mature large-scale biomass supply for energy, or carbon sequestration technologies in the AFOLU sector also provides flexibility for the development of mitigation technologies in the energy supply and energy enduse sectors [11.3] (limited evidence, medium agreement), though there may be adverse impacts on sustainable development.</w:t>
      </w:r>
    </w:p>
    <w:p w14:paraId="7559F1AD" w14:textId="77777777" w:rsidR="00AD2C18" w:rsidRDefault="00AD2C18" w:rsidP="00AD2C18">
      <w:pPr>
        <w:pStyle w:val="berschrift3"/>
      </w:pPr>
      <w:bookmarkStart w:id="14" w:name="_Toc525298447"/>
      <w:r>
        <w:t>TS.3.2.2 Energy supply</w:t>
      </w:r>
      <w:bookmarkEnd w:id="14"/>
    </w:p>
    <w:p w14:paraId="16996778" w14:textId="77777777" w:rsidR="00AD2C18" w:rsidRPr="008E2000" w:rsidRDefault="00AD2C18" w:rsidP="00FE4BC7">
      <w:r w:rsidRPr="00AD2C18">
        <w:rPr>
          <w:b/>
          <w:highlight w:val="yellow"/>
        </w:rPr>
        <w:t>Combining bioenergy with CCS (</w:t>
      </w:r>
      <w:r w:rsidRPr="00AD2C18">
        <w:rPr>
          <w:b/>
          <w:color w:val="F79646" w:themeColor="accent6"/>
          <w:highlight w:val="yellow"/>
        </w:rPr>
        <w:t>BECCS</w:t>
      </w:r>
      <w:r w:rsidRPr="00AD2C18">
        <w:rPr>
          <w:b/>
          <w:highlight w:val="yellow"/>
        </w:rPr>
        <w:t xml:space="preserve">) offers the prospect of energy supply with large-scale net </w:t>
      </w:r>
      <w:r w:rsidRPr="00AD2C18">
        <w:rPr>
          <w:b/>
          <w:color w:val="7030A0"/>
          <w:highlight w:val="yellow"/>
        </w:rPr>
        <w:t>negative emissions</w:t>
      </w:r>
      <w:r w:rsidRPr="00AD2C18">
        <w:rPr>
          <w:b/>
          <w:highlight w:val="yellow"/>
        </w:rPr>
        <w:t>, which plays an important role in many low-stabilization scenarios, while it entails challenges and risks (limited evidence, medium agreement).</w:t>
      </w:r>
      <w:r>
        <w:t xml:space="preserve"> Until 2050, bottom-up studies estimate the economic potential to be between 2–10 GtCO2 per year [</w:t>
      </w:r>
      <w:r w:rsidRPr="00AD2C18">
        <w:rPr>
          <w:b/>
          <w:color w:val="FF0000"/>
        </w:rPr>
        <w:t>11.13</w:t>
      </w:r>
      <w:r>
        <w:t xml:space="preserve">]. Some mitigation scenarios show higher deployment of BECCS towards the end of the century. Technological challenges and risks include those associated with the upstream provision of the biomass that is used in the CCS facility, as well as </w:t>
      </w:r>
      <w:r>
        <w:lastRenderedPageBreak/>
        <w:t>those associated with the CCS technology itself. Currently, no large-scale projects have been financed. [</w:t>
      </w:r>
      <w:r w:rsidRPr="00AD2C18">
        <w:rPr>
          <w:b/>
          <w:color w:val="FF0000"/>
        </w:rPr>
        <w:t>6.9, 7.5.5, 7.9, 11.13</w:t>
      </w:r>
      <w:r>
        <w:t>]</w:t>
      </w:r>
    </w:p>
    <w:p w14:paraId="1623368C" w14:textId="77777777" w:rsidR="008D387A" w:rsidRPr="008E2000" w:rsidRDefault="00101EA0" w:rsidP="008D387A">
      <w:pPr>
        <w:pStyle w:val="berschrift1"/>
      </w:pPr>
      <w:r>
        <w:br w:type="page"/>
      </w:r>
      <w:bookmarkStart w:id="15" w:name="_Toc525298448"/>
      <w:r w:rsidR="008D387A" w:rsidRPr="008E2000">
        <w:lastRenderedPageBreak/>
        <w:t xml:space="preserve">IPCC AR5 WGIII </w:t>
      </w:r>
      <w:r w:rsidR="008D387A">
        <w:t>– Chapter 2: Integrated Risk and Uncertainty Assessment of Climate Change Response Policies</w:t>
      </w:r>
      <w:bookmarkEnd w:id="15"/>
    </w:p>
    <w:p w14:paraId="5FF04511" w14:textId="77777777" w:rsidR="008D387A" w:rsidRPr="00101EA0" w:rsidRDefault="008D387A" w:rsidP="008D387A">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1"/>
        <w:gridCol w:w="1825"/>
      </w:tblGrid>
      <w:tr w:rsidR="008D387A" w14:paraId="2479859D" w14:textId="77777777" w:rsidTr="000C6565">
        <w:tc>
          <w:tcPr>
            <w:tcW w:w="7763" w:type="dxa"/>
          </w:tcPr>
          <w:p w14:paraId="1F967D76" w14:textId="77777777" w:rsidR="008D387A" w:rsidRPr="00FE4BC7" w:rsidRDefault="008D387A" w:rsidP="000C6565">
            <w:pPr>
              <w:pStyle w:val="KeinLeerraum"/>
              <w:rPr>
                <w:b/>
              </w:rPr>
            </w:pPr>
            <w:r w:rsidRPr="00FE4BC7">
              <w:rPr>
                <w:b/>
              </w:rPr>
              <w:t>Keyword</w:t>
            </w:r>
          </w:p>
        </w:tc>
        <w:tc>
          <w:tcPr>
            <w:tcW w:w="1859" w:type="dxa"/>
          </w:tcPr>
          <w:p w14:paraId="6B57DB00" w14:textId="77777777" w:rsidR="008D387A" w:rsidRPr="00FE4BC7" w:rsidRDefault="008D387A" w:rsidP="000C6565">
            <w:pPr>
              <w:pStyle w:val="KeinLeerraum"/>
              <w:rPr>
                <w:b/>
              </w:rPr>
            </w:pPr>
            <w:r w:rsidRPr="00FE4BC7">
              <w:rPr>
                <w:b/>
              </w:rPr>
              <w:t>Count</w:t>
            </w:r>
          </w:p>
        </w:tc>
      </w:tr>
      <w:tr w:rsidR="008D387A" w14:paraId="4467F78D" w14:textId="77777777" w:rsidTr="000C6565">
        <w:tc>
          <w:tcPr>
            <w:tcW w:w="7763" w:type="dxa"/>
          </w:tcPr>
          <w:p w14:paraId="6507A030" w14:textId="77777777" w:rsidR="008D387A" w:rsidRPr="00B80049" w:rsidRDefault="008D387A" w:rsidP="000C6565">
            <w:pPr>
              <w:pStyle w:val="KeinLeerraum"/>
              <w:rPr>
                <w:b/>
              </w:rPr>
            </w:pPr>
            <w:r w:rsidRPr="00B80049">
              <w:rPr>
                <w:b/>
                <w:color w:val="7030A0"/>
              </w:rPr>
              <w:t>Negative emission</w:t>
            </w:r>
          </w:p>
        </w:tc>
        <w:tc>
          <w:tcPr>
            <w:tcW w:w="1859" w:type="dxa"/>
          </w:tcPr>
          <w:p w14:paraId="70994E91" w14:textId="77777777" w:rsidR="008D387A" w:rsidRDefault="008D387A" w:rsidP="000C6565">
            <w:pPr>
              <w:pStyle w:val="KeinLeerraum"/>
            </w:pPr>
            <w:r>
              <w:t>0</w:t>
            </w:r>
          </w:p>
        </w:tc>
      </w:tr>
      <w:tr w:rsidR="008D387A" w14:paraId="025CDD5B" w14:textId="77777777" w:rsidTr="000C6565">
        <w:tc>
          <w:tcPr>
            <w:tcW w:w="7763" w:type="dxa"/>
          </w:tcPr>
          <w:p w14:paraId="6390C532" w14:textId="77777777" w:rsidR="008D387A" w:rsidRPr="00B80049" w:rsidRDefault="008D387A" w:rsidP="000C6565">
            <w:pPr>
              <w:pStyle w:val="KeinLeerraum"/>
              <w:rPr>
                <w:b/>
              </w:rPr>
            </w:pPr>
            <w:r>
              <w:rPr>
                <w:b/>
                <w:color w:val="00B050"/>
              </w:rPr>
              <w:t>C</w:t>
            </w:r>
            <w:r w:rsidRPr="00B80049">
              <w:rPr>
                <w:b/>
                <w:color w:val="00B050"/>
              </w:rPr>
              <w:t>arbon dioxide removal/CDR</w:t>
            </w:r>
          </w:p>
        </w:tc>
        <w:tc>
          <w:tcPr>
            <w:tcW w:w="1859" w:type="dxa"/>
          </w:tcPr>
          <w:p w14:paraId="43E9FB5C" w14:textId="77777777" w:rsidR="008D387A" w:rsidRDefault="008D387A" w:rsidP="000C6565">
            <w:pPr>
              <w:pStyle w:val="KeinLeerraum"/>
            </w:pPr>
            <w:r>
              <w:t>0</w:t>
            </w:r>
          </w:p>
        </w:tc>
      </w:tr>
      <w:tr w:rsidR="008D387A" w14:paraId="3F9923EC" w14:textId="77777777" w:rsidTr="000C6565">
        <w:tc>
          <w:tcPr>
            <w:tcW w:w="7763" w:type="dxa"/>
          </w:tcPr>
          <w:p w14:paraId="3FA492DF" w14:textId="77777777" w:rsidR="008D387A" w:rsidRPr="00B80049" w:rsidRDefault="008D387A" w:rsidP="000C6565">
            <w:pPr>
              <w:pStyle w:val="KeinLeerraum"/>
              <w:rPr>
                <w:b/>
              </w:rPr>
            </w:pPr>
            <w:r w:rsidRPr="00B80049">
              <w:rPr>
                <w:b/>
                <w:color w:val="F79646" w:themeColor="accent6"/>
              </w:rPr>
              <w:t>Bioenergy with carbon and capture/BECCS</w:t>
            </w:r>
          </w:p>
        </w:tc>
        <w:tc>
          <w:tcPr>
            <w:tcW w:w="1859" w:type="dxa"/>
          </w:tcPr>
          <w:p w14:paraId="27A3524D" w14:textId="77777777" w:rsidR="008D387A" w:rsidRDefault="008D387A" w:rsidP="000C6565">
            <w:pPr>
              <w:pStyle w:val="KeinLeerraum"/>
            </w:pPr>
            <w:r>
              <w:t>0</w:t>
            </w:r>
          </w:p>
        </w:tc>
      </w:tr>
      <w:tr w:rsidR="008D387A" w14:paraId="0F0C45FA" w14:textId="77777777" w:rsidTr="000C6565">
        <w:tc>
          <w:tcPr>
            <w:tcW w:w="7763" w:type="dxa"/>
          </w:tcPr>
          <w:p w14:paraId="7103E74D" w14:textId="77777777" w:rsidR="008D387A" w:rsidRPr="00B80049" w:rsidRDefault="008D387A" w:rsidP="000C6565">
            <w:pPr>
              <w:pStyle w:val="KeinLeerraum"/>
              <w:rPr>
                <w:b/>
              </w:rPr>
            </w:pPr>
            <w:r w:rsidRPr="00B80049">
              <w:rPr>
                <w:b/>
                <w:color w:val="0070C0"/>
              </w:rPr>
              <w:t>Afforestation</w:t>
            </w:r>
          </w:p>
        </w:tc>
        <w:tc>
          <w:tcPr>
            <w:tcW w:w="1859" w:type="dxa"/>
          </w:tcPr>
          <w:p w14:paraId="3DCD7B9F" w14:textId="77777777" w:rsidR="008D387A" w:rsidRDefault="008D387A" w:rsidP="000C6565">
            <w:pPr>
              <w:pStyle w:val="KeinLeerraum"/>
            </w:pPr>
            <w:r>
              <w:t>0</w:t>
            </w:r>
          </w:p>
        </w:tc>
      </w:tr>
    </w:tbl>
    <w:p w14:paraId="64E538AC" w14:textId="77777777" w:rsidR="008D387A" w:rsidRDefault="008D387A" w:rsidP="008D387A"/>
    <w:tbl>
      <w:tblPr>
        <w:tblStyle w:val="Tabellenraster"/>
        <w:tblW w:w="0" w:type="auto"/>
        <w:tblLook w:val="04A0" w:firstRow="1" w:lastRow="0" w:firstColumn="1" w:lastColumn="0" w:noHBand="0" w:noVBand="1"/>
      </w:tblPr>
      <w:tblGrid>
        <w:gridCol w:w="6275"/>
        <w:gridCol w:w="1510"/>
        <w:gridCol w:w="1611"/>
      </w:tblGrid>
      <w:tr w:rsidR="008D387A" w14:paraId="01D7D9E9" w14:textId="77777777" w:rsidTr="000C6565">
        <w:tc>
          <w:tcPr>
            <w:tcW w:w="6450" w:type="dxa"/>
          </w:tcPr>
          <w:p w14:paraId="48BC08CF" w14:textId="77777777" w:rsidR="008D387A" w:rsidRPr="00FE4BC7" w:rsidRDefault="008D387A" w:rsidP="000C6565">
            <w:pPr>
              <w:pStyle w:val="KeinLeerraum"/>
              <w:rPr>
                <w:b/>
              </w:rPr>
            </w:pPr>
            <w:r>
              <w:rPr>
                <w:b/>
              </w:rPr>
              <w:t>IPCC references</w:t>
            </w:r>
          </w:p>
        </w:tc>
        <w:tc>
          <w:tcPr>
            <w:tcW w:w="1532" w:type="dxa"/>
          </w:tcPr>
          <w:p w14:paraId="70AABD5F" w14:textId="77777777" w:rsidR="008D387A" w:rsidRPr="00FE4BC7" w:rsidRDefault="008D387A" w:rsidP="000C6565">
            <w:pPr>
              <w:pStyle w:val="KeinLeerraum"/>
              <w:rPr>
                <w:b/>
              </w:rPr>
            </w:pPr>
            <w:r>
              <w:rPr>
                <w:b/>
              </w:rPr>
              <w:t>Type</w:t>
            </w:r>
          </w:p>
        </w:tc>
        <w:tc>
          <w:tcPr>
            <w:tcW w:w="1640" w:type="dxa"/>
          </w:tcPr>
          <w:p w14:paraId="612FCCFC" w14:textId="77777777" w:rsidR="008D387A" w:rsidRPr="00FE4BC7" w:rsidRDefault="008D387A" w:rsidP="000C6565">
            <w:pPr>
              <w:pStyle w:val="KeinLeerraum"/>
              <w:rPr>
                <w:b/>
              </w:rPr>
            </w:pPr>
            <w:r w:rsidRPr="00FE4BC7">
              <w:rPr>
                <w:b/>
              </w:rPr>
              <w:t>Count</w:t>
            </w:r>
          </w:p>
        </w:tc>
      </w:tr>
      <w:tr w:rsidR="008D387A" w14:paraId="530913F6" w14:textId="77777777" w:rsidTr="000C6565">
        <w:tc>
          <w:tcPr>
            <w:tcW w:w="6450" w:type="dxa"/>
          </w:tcPr>
          <w:p w14:paraId="50CF6482" w14:textId="77777777" w:rsidR="008D387A" w:rsidRDefault="008D387A" w:rsidP="000C6565">
            <w:pPr>
              <w:pStyle w:val="KeinLeerraum"/>
            </w:pPr>
          </w:p>
        </w:tc>
        <w:tc>
          <w:tcPr>
            <w:tcW w:w="1532" w:type="dxa"/>
          </w:tcPr>
          <w:p w14:paraId="3F4FB728" w14:textId="77777777" w:rsidR="008D387A" w:rsidRDefault="008D387A" w:rsidP="000C6565">
            <w:pPr>
              <w:pStyle w:val="KeinLeerraum"/>
            </w:pPr>
            <w:r>
              <w:t>Section</w:t>
            </w:r>
          </w:p>
        </w:tc>
        <w:tc>
          <w:tcPr>
            <w:tcW w:w="1640" w:type="dxa"/>
          </w:tcPr>
          <w:p w14:paraId="70324189" w14:textId="77777777" w:rsidR="008D387A" w:rsidRDefault="008D387A" w:rsidP="000C6565">
            <w:pPr>
              <w:pStyle w:val="KeinLeerraum"/>
            </w:pPr>
          </w:p>
        </w:tc>
      </w:tr>
      <w:tr w:rsidR="008D387A" w14:paraId="2BACB44C" w14:textId="77777777" w:rsidTr="000C6565">
        <w:tc>
          <w:tcPr>
            <w:tcW w:w="6450" w:type="dxa"/>
          </w:tcPr>
          <w:p w14:paraId="1E4FB37D" w14:textId="77777777" w:rsidR="008D387A" w:rsidRDefault="008D387A" w:rsidP="000C6565">
            <w:pPr>
              <w:pStyle w:val="KeinLeerraum"/>
            </w:pPr>
          </w:p>
        </w:tc>
        <w:tc>
          <w:tcPr>
            <w:tcW w:w="1532" w:type="dxa"/>
          </w:tcPr>
          <w:p w14:paraId="72A58432" w14:textId="77777777" w:rsidR="008D387A" w:rsidRDefault="008D387A" w:rsidP="000C6565">
            <w:pPr>
              <w:pStyle w:val="KeinLeerraum"/>
            </w:pPr>
            <w:r>
              <w:t>Section</w:t>
            </w:r>
          </w:p>
        </w:tc>
        <w:tc>
          <w:tcPr>
            <w:tcW w:w="1640" w:type="dxa"/>
          </w:tcPr>
          <w:p w14:paraId="52CD5E6F" w14:textId="77777777" w:rsidR="008D387A" w:rsidRDefault="008D387A" w:rsidP="000C6565">
            <w:pPr>
              <w:pStyle w:val="KeinLeerraum"/>
            </w:pPr>
          </w:p>
        </w:tc>
      </w:tr>
      <w:tr w:rsidR="008D387A" w14:paraId="4BCF3049" w14:textId="77777777" w:rsidTr="000C6565">
        <w:tc>
          <w:tcPr>
            <w:tcW w:w="6450" w:type="dxa"/>
          </w:tcPr>
          <w:p w14:paraId="1B8D97A3" w14:textId="77777777" w:rsidR="008D387A" w:rsidRDefault="008D387A" w:rsidP="000C6565">
            <w:pPr>
              <w:pStyle w:val="KeinLeerraum"/>
            </w:pPr>
          </w:p>
        </w:tc>
        <w:tc>
          <w:tcPr>
            <w:tcW w:w="1532" w:type="dxa"/>
          </w:tcPr>
          <w:p w14:paraId="21FEFB65" w14:textId="77777777" w:rsidR="008D387A" w:rsidRDefault="008D387A" w:rsidP="000C6565">
            <w:pPr>
              <w:pStyle w:val="KeinLeerraum"/>
            </w:pPr>
            <w:r>
              <w:t>Section</w:t>
            </w:r>
          </w:p>
        </w:tc>
        <w:tc>
          <w:tcPr>
            <w:tcW w:w="1640" w:type="dxa"/>
          </w:tcPr>
          <w:p w14:paraId="4DFF077D" w14:textId="77777777" w:rsidR="008D387A" w:rsidRDefault="008D387A" w:rsidP="000C6565">
            <w:pPr>
              <w:pStyle w:val="KeinLeerraum"/>
            </w:pPr>
          </w:p>
        </w:tc>
      </w:tr>
      <w:tr w:rsidR="008D387A" w14:paraId="0CDB6BEB" w14:textId="77777777" w:rsidTr="000C6565">
        <w:tc>
          <w:tcPr>
            <w:tcW w:w="6450" w:type="dxa"/>
          </w:tcPr>
          <w:p w14:paraId="667C2D3E" w14:textId="77777777" w:rsidR="008D387A" w:rsidRDefault="008D387A" w:rsidP="000C6565">
            <w:pPr>
              <w:pStyle w:val="KeinLeerraum"/>
            </w:pPr>
          </w:p>
        </w:tc>
        <w:tc>
          <w:tcPr>
            <w:tcW w:w="1532" w:type="dxa"/>
          </w:tcPr>
          <w:p w14:paraId="44E0A3BA" w14:textId="77777777" w:rsidR="008D387A" w:rsidRDefault="008D387A" w:rsidP="000C6565">
            <w:pPr>
              <w:pStyle w:val="KeinLeerraum"/>
            </w:pPr>
            <w:r>
              <w:t>Section</w:t>
            </w:r>
          </w:p>
        </w:tc>
        <w:tc>
          <w:tcPr>
            <w:tcW w:w="1640" w:type="dxa"/>
          </w:tcPr>
          <w:p w14:paraId="78F5E83D" w14:textId="77777777" w:rsidR="008D387A" w:rsidRDefault="008D387A" w:rsidP="000C6565">
            <w:pPr>
              <w:pStyle w:val="KeinLeerraum"/>
            </w:pPr>
          </w:p>
        </w:tc>
      </w:tr>
      <w:tr w:rsidR="008D387A" w14:paraId="35B8759E" w14:textId="77777777" w:rsidTr="000C6565">
        <w:tc>
          <w:tcPr>
            <w:tcW w:w="6450" w:type="dxa"/>
          </w:tcPr>
          <w:p w14:paraId="58C7BE4F" w14:textId="77777777" w:rsidR="008D387A" w:rsidRDefault="008D387A" w:rsidP="000C6565">
            <w:pPr>
              <w:pStyle w:val="KeinLeerraum"/>
            </w:pPr>
          </w:p>
        </w:tc>
        <w:tc>
          <w:tcPr>
            <w:tcW w:w="1532" w:type="dxa"/>
          </w:tcPr>
          <w:p w14:paraId="01DCAF6D" w14:textId="77777777" w:rsidR="008D387A" w:rsidRDefault="008D387A" w:rsidP="000C6565">
            <w:pPr>
              <w:pStyle w:val="KeinLeerraum"/>
            </w:pPr>
            <w:r>
              <w:t>Section</w:t>
            </w:r>
          </w:p>
        </w:tc>
        <w:tc>
          <w:tcPr>
            <w:tcW w:w="1640" w:type="dxa"/>
          </w:tcPr>
          <w:p w14:paraId="0A428A18" w14:textId="77777777" w:rsidR="008D387A" w:rsidRDefault="008D387A" w:rsidP="000C6565">
            <w:pPr>
              <w:pStyle w:val="KeinLeerraum"/>
            </w:pPr>
          </w:p>
        </w:tc>
      </w:tr>
      <w:tr w:rsidR="008D387A" w14:paraId="4A6FF511" w14:textId="77777777" w:rsidTr="000C6565">
        <w:tc>
          <w:tcPr>
            <w:tcW w:w="6450" w:type="dxa"/>
          </w:tcPr>
          <w:p w14:paraId="0084F008" w14:textId="77777777" w:rsidR="008D387A" w:rsidRDefault="008D387A" w:rsidP="000C6565">
            <w:pPr>
              <w:pStyle w:val="KeinLeerraum"/>
            </w:pPr>
          </w:p>
        </w:tc>
        <w:tc>
          <w:tcPr>
            <w:tcW w:w="1532" w:type="dxa"/>
          </w:tcPr>
          <w:p w14:paraId="06F90B99" w14:textId="77777777" w:rsidR="008D387A" w:rsidRDefault="008D387A" w:rsidP="000C6565">
            <w:pPr>
              <w:pStyle w:val="KeinLeerraum"/>
            </w:pPr>
            <w:r>
              <w:t>Section</w:t>
            </w:r>
          </w:p>
        </w:tc>
        <w:tc>
          <w:tcPr>
            <w:tcW w:w="1640" w:type="dxa"/>
          </w:tcPr>
          <w:p w14:paraId="1B3E91E6" w14:textId="77777777" w:rsidR="008D387A" w:rsidRDefault="008D387A" w:rsidP="000C6565">
            <w:pPr>
              <w:pStyle w:val="KeinLeerraum"/>
            </w:pPr>
          </w:p>
        </w:tc>
      </w:tr>
      <w:tr w:rsidR="008D387A" w14:paraId="7BE1AFC4" w14:textId="77777777" w:rsidTr="000C6565">
        <w:tc>
          <w:tcPr>
            <w:tcW w:w="6450" w:type="dxa"/>
          </w:tcPr>
          <w:p w14:paraId="44195A77" w14:textId="77777777" w:rsidR="008D387A" w:rsidRDefault="008D387A" w:rsidP="000C6565">
            <w:pPr>
              <w:pStyle w:val="KeinLeerraum"/>
            </w:pPr>
          </w:p>
        </w:tc>
        <w:tc>
          <w:tcPr>
            <w:tcW w:w="1532" w:type="dxa"/>
          </w:tcPr>
          <w:p w14:paraId="1BB05BC1" w14:textId="77777777" w:rsidR="008D387A" w:rsidRDefault="008D387A" w:rsidP="000C6565">
            <w:pPr>
              <w:pStyle w:val="KeinLeerraum"/>
            </w:pPr>
            <w:r>
              <w:t>Section</w:t>
            </w:r>
          </w:p>
        </w:tc>
        <w:tc>
          <w:tcPr>
            <w:tcW w:w="1640" w:type="dxa"/>
          </w:tcPr>
          <w:p w14:paraId="57BCAA64" w14:textId="77777777" w:rsidR="008D387A" w:rsidRDefault="008D387A" w:rsidP="000C6565">
            <w:pPr>
              <w:pStyle w:val="KeinLeerraum"/>
            </w:pPr>
          </w:p>
        </w:tc>
      </w:tr>
      <w:tr w:rsidR="008D387A" w14:paraId="40CA41EE" w14:textId="77777777" w:rsidTr="000C6565">
        <w:tc>
          <w:tcPr>
            <w:tcW w:w="6450" w:type="dxa"/>
          </w:tcPr>
          <w:p w14:paraId="1C20F28F" w14:textId="77777777" w:rsidR="008D387A" w:rsidRDefault="008D387A" w:rsidP="000C6565">
            <w:pPr>
              <w:pStyle w:val="KeinLeerraum"/>
            </w:pPr>
          </w:p>
        </w:tc>
        <w:tc>
          <w:tcPr>
            <w:tcW w:w="1532" w:type="dxa"/>
          </w:tcPr>
          <w:p w14:paraId="37061145" w14:textId="77777777" w:rsidR="008D387A" w:rsidRDefault="008D387A" w:rsidP="000C6565">
            <w:pPr>
              <w:pStyle w:val="KeinLeerraum"/>
            </w:pPr>
            <w:r>
              <w:t>Section</w:t>
            </w:r>
          </w:p>
        </w:tc>
        <w:tc>
          <w:tcPr>
            <w:tcW w:w="1640" w:type="dxa"/>
          </w:tcPr>
          <w:p w14:paraId="7ED15C2E" w14:textId="77777777" w:rsidR="008D387A" w:rsidRDefault="008D387A" w:rsidP="000C6565">
            <w:pPr>
              <w:pStyle w:val="KeinLeerraum"/>
            </w:pPr>
          </w:p>
        </w:tc>
      </w:tr>
      <w:tr w:rsidR="008D387A" w14:paraId="43F29224" w14:textId="77777777" w:rsidTr="000C6565">
        <w:tc>
          <w:tcPr>
            <w:tcW w:w="6450" w:type="dxa"/>
          </w:tcPr>
          <w:p w14:paraId="2A500C9F" w14:textId="77777777" w:rsidR="008D387A" w:rsidRDefault="008D387A" w:rsidP="000C6565">
            <w:pPr>
              <w:pStyle w:val="KeinLeerraum"/>
            </w:pPr>
          </w:p>
        </w:tc>
        <w:tc>
          <w:tcPr>
            <w:tcW w:w="1532" w:type="dxa"/>
          </w:tcPr>
          <w:p w14:paraId="5C00FC56" w14:textId="77777777" w:rsidR="008D387A" w:rsidRDefault="008D387A" w:rsidP="000C6565">
            <w:pPr>
              <w:pStyle w:val="KeinLeerraum"/>
            </w:pPr>
            <w:r>
              <w:t>Figure</w:t>
            </w:r>
          </w:p>
        </w:tc>
        <w:tc>
          <w:tcPr>
            <w:tcW w:w="1640" w:type="dxa"/>
          </w:tcPr>
          <w:p w14:paraId="2CDD6182" w14:textId="77777777" w:rsidR="008D387A" w:rsidRDefault="008D387A" w:rsidP="000C6565">
            <w:pPr>
              <w:pStyle w:val="KeinLeerraum"/>
            </w:pPr>
          </w:p>
        </w:tc>
      </w:tr>
      <w:tr w:rsidR="008D387A" w14:paraId="1B633CF3" w14:textId="77777777" w:rsidTr="000C6565">
        <w:tc>
          <w:tcPr>
            <w:tcW w:w="6450" w:type="dxa"/>
          </w:tcPr>
          <w:p w14:paraId="4BDD47B8" w14:textId="77777777" w:rsidR="008D387A" w:rsidRDefault="008D387A" w:rsidP="000C6565">
            <w:pPr>
              <w:pStyle w:val="KeinLeerraum"/>
            </w:pPr>
          </w:p>
        </w:tc>
        <w:tc>
          <w:tcPr>
            <w:tcW w:w="1532" w:type="dxa"/>
          </w:tcPr>
          <w:p w14:paraId="0315331E" w14:textId="77777777" w:rsidR="008D387A" w:rsidRDefault="008D387A" w:rsidP="000C6565">
            <w:pPr>
              <w:pStyle w:val="KeinLeerraum"/>
            </w:pPr>
            <w:r>
              <w:t>Figure</w:t>
            </w:r>
          </w:p>
        </w:tc>
        <w:tc>
          <w:tcPr>
            <w:tcW w:w="1640" w:type="dxa"/>
          </w:tcPr>
          <w:p w14:paraId="5F56AE22" w14:textId="77777777" w:rsidR="008D387A" w:rsidRDefault="008D387A" w:rsidP="000C6565">
            <w:pPr>
              <w:pStyle w:val="KeinLeerraum"/>
            </w:pPr>
          </w:p>
        </w:tc>
      </w:tr>
      <w:tr w:rsidR="008D387A" w14:paraId="38A10D2A" w14:textId="77777777" w:rsidTr="000C6565">
        <w:tc>
          <w:tcPr>
            <w:tcW w:w="6450" w:type="dxa"/>
          </w:tcPr>
          <w:p w14:paraId="492604A7" w14:textId="77777777" w:rsidR="008D387A" w:rsidRDefault="008D387A" w:rsidP="000C6565">
            <w:pPr>
              <w:pStyle w:val="KeinLeerraum"/>
            </w:pPr>
          </w:p>
        </w:tc>
        <w:tc>
          <w:tcPr>
            <w:tcW w:w="1532" w:type="dxa"/>
          </w:tcPr>
          <w:p w14:paraId="528D545B" w14:textId="77777777" w:rsidR="008D387A" w:rsidRDefault="008D387A" w:rsidP="000C6565">
            <w:pPr>
              <w:pStyle w:val="KeinLeerraum"/>
            </w:pPr>
            <w:r>
              <w:t>Figure</w:t>
            </w:r>
          </w:p>
        </w:tc>
        <w:tc>
          <w:tcPr>
            <w:tcW w:w="1640" w:type="dxa"/>
          </w:tcPr>
          <w:p w14:paraId="12EA1129" w14:textId="77777777" w:rsidR="008D387A" w:rsidRDefault="008D387A" w:rsidP="000C6565">
            <w:pPr>
              <w:pStyle w:val="KeinLeerraum"/>
            </w:pPr>
          </w:p>
        </w:tc>
      </w:tr>
      <w:tr w:rsidR="008D387A" w14:paraId="19AA68A2" w14:textId="77777777" w:rsidTr="000C6565">
        <w:tc>
          <w:tcPr>
            <w:tcW w:w="6450" w:type="dxa"/>
          </w:tcPr>
          <w:p w14:paraId="1582D1BD" w14:textId="77777777" w:rsidR="008D387A" w:rsidRDefault="008D387A" w:rsidP="000C6565">
            <w:pPr>
              <w:pStyle w:val="KeinLeerraum"/>
            </w:pPr>
          </w:p>
        </w:tc>
        <w:tc>
          <w:tcPr>
            <w:tcW w:w="1532" w:type="dxa"/>
          </w:tcPr>
          <w:p w14:paraId="56B4EC17" w14:textId="77777777" w:rsidR="008D387A" w:rsidRDefault="008D387A" w:rsidP="000C6565">
            <w:pPr>
              <w:pStyle w:val="KeinLeerraum"/>
            </w:pPr>
            <w:r>
              <w:t>Figure</w:t>
            </w:r>
          </w:p>
        </w:tc>
        <w:tc>
          <w:tcPr>
            <w:tcW w:w="1640" w:type="dxa"/>
          </w:tcPr>
          <w:p w14:paraId="75D2238A" w14:textId="77777777" w:rsidR="008D387A" w:rsidRDefault="008D387A" w:rsidP="000C6565">
            <w:pPr>
              <w:pStyle w:val="KeinLeerraum"/>
            </w:pPr>
          </w:p>
        </w:tc>
      </w:tr>
      <w:tr w:rsidR="008D387A" w14:paraId="2FE7F859" w14:textId="77777777" w:rsidTr="000C6565">
        <w:tc>
          <w:tcPr>
            <w:tcW w:w="6450" w:type="dxa"/>
          </w:tcPr>
          <w:p w14:paraId="397CE04D" w14:textId="77777777" w:rsidR="008D387A" w:rsidRDefault="008D387A" w:rsidP="000C6565">
            <w:pPr>
              <w:pStyle w:val="KeinLeerraum"/>
            </w:pPr>
          </w:p>
        </w:tc>
        <w:tc>
          <w:tcPr>
            <w:tcW w:w="1532" w:type="dxa"/>
          </w:tcPr>
          <w:p w14:paraId="06B5AE76" w14:textId="77777777" w:rsidR="008D387A" w:rsidRDefault="008D387A" w:rsidP="000C6565">
            <w:pPr>
              <w:pStyle w:val="KeinLeerraum"/>
            </w:pPr>
            <w:r>
              <w:t>Figure</w:t>
            </w:r>
          </w:p>
        </w:tc>
        <w:tc>
          <w:tcPr>
            <w:tcW w:w="1640" w:type="dxa"/>
          </w:tcPr>
          <w:p w14:paraId="02F29919" w14:textId="77777777" w:rsidR="008D387A" w:rsidRDefault="008D387A" w:rsidP="000C6565">
            <w:pPr>
              <w:pStyle w:val="KeinLeerraum"/>
            </w:pPr>
          </w:p>
        </w:tc>
      </w:tr>
      <w:tr w:rsidR="008D387A" w14:paraId="361617D8" w14:textId="77777777" w:rsidTr="000C6565">
        <w:tc>
          <w:tcPr>
            <w:tcW w:w="6450" w:type="dxa"/>
          </w:tcPr>
          <w:p w14:paraId="712F44E0" w14:textId="77777777" w:rsidR="008D387A" w:rsidRDefault="008D387A" w:rsidP="000C6565">
            <w:pPr>
              <w:pStyle w:val="KeinLeerraum"/>
            </w:pPr>
          </w:p>
        </w:tc>
        <w:tc>
          <w:tcPr>
            <w:tcW w:w="1532" w:type="dxa"/>
          </w:tcPr>
          <w:p w14:paraId="3D722E5A" w14:textId="77777777" w:rsidR="008D387A" w:rsidRDefault="008D387A" w:rsidP="000C6565">
            <w:pPr>
              <w:pStyle w:val="KeinLeerraum"/>
            </w:pPr>
            <w:r>
              <w:t>Figure</w:t>
            </w:r>
          </w:p>
        </w:tc>
        <w:tc>
          <w:tcPr>
            <w:tcW w:w="1640" w:type="dxa"/>
          </w:tcPr>
          <w:p w14:paraId="6068F89A" w14:textId="77777777" w:rsidR="008D387A" w:rsidRDefault="008D387A" w:rsidP="000C6565">
            <w:pPr>
              <w:pStyle w:val="KeinLeerraum"/>
            </w:pPr>
          </w:p>
        </w:tc>
      </w:tr>
      <w:tr w:rsidR="008D387A" w14:paraId="57ADA6B9" w14:textId="77777777" w:rsidTr="000C6565">
        <w:tc>
          <w:tcPr>
            <w:tcW w:w="6450" w:type="dxa"/>
          </w:tcPr>
          <w:p w14:paraId="089D8287" w14:textId="77777777" w:rsidR="008D387A" w:rsidRDefault="008D387A" w:rsidP="000C6565">
            <w:pPr>
              <w:pStyle w:val="KeinLeerraum"/>
            </w:pPr>
          </w:p>
        </w:tc>
        <w:tc>
          <w:tcPr>
            <w:tcW w:w="1532" w:type="dxa"/>
          </w:tcPr>
          <w:p w14:paraId="1DA52C58" w14:textId="77777777" w:rsidR="008D387A" w:rsidRDefault="008D387A" w:rsidP="000C6565">
            <w:pPr>
              <w:pStyle w:val="KeinLeerraum"/>
            </w:pPr>
            <w:r>
              <w:t>Table</w:t>
            </w:r>
          </w:p>
        </w:tc>
        <w:tc>
          <w:tcPr>
            <w:tcW w:w="1640" w:type="dxa"/>
          </w:tcPr>
          <w:p w14:paraId="64A2E164" w14:textId="77777777" w:rsidR="008D387A" w:rsidRDefault="008D387A" w:rsidP="000C6565">
            <w:pPr>
              <w:pStyle w:val="KeinLeerraum"/>
            </w:pPr>
          </w:p>
        </w:tc>
      </w:tr>
    </w:tbl>
    <w:p w14:paraId="3BE1E88A" w14:textId="77777777" w:rsidR="008D387A" w:rsidRDefault="008D387A" w:rsidP="008D387A"/>
    <w:p w14:paraId="64A2CE19" w14:textId="77777777" w:rsidR="008D387A" w:rsidRDefault="008D387A" w:rsidP="008D387A">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25"/>
        <w:gridCol w:w="8042"/>
        <w:gridCol w:w="829"/>
      </w:tblGrid>
      <w:tr w:rsidR="008D387A" w14:paraId="78D83FC1" w14:textId="77777777" w:rsidTr="000C6565">
        <w:tc>
          <w:tcPr>
            <w:tcW w:w="531" w:type="dxa"/>
          </w:tcPr>
          <w:p w14:paraId="54C9785C" w14:textId="77777777" w:rsidR="008D387A" w:rsidRPr="00F71281" w:rsidRDefault="008D387A" w:rsidP="000C6565">
            <w:pPr>
              <w:pStyle w:val="KeinLeerraum"/>
              <w:rPr>
                <w:b/>
              </w:rPr>
            </w:pPr>
            <w:r>
              <w:rPr>
                <w:b/>
              </w:rPr>
              <w:t>#</w:t>
            </w:r>
          </w:p>
        </w:tc>
        <w:tc>
          <w:tcPr>
            <w:tcW w:w="8262" w:type="dxa"/>
          </w:tcPr>
          <w:p w14:paraId="501B551C" w14:textId="77777777" w:rsidR="008D387A" w:rsidRPr="00F71281" w:rsidRDefault="008D387A" w:rsidP="000C6565">
            <w:pPr>
              <w:pStyle w:val="KeinLeerraum"/>
              <w:rPr>
                <w:b/>
              </w:rPr>
            </w:pPr>
            <w:r w:rsidRPr="00F71281">
              <w:rPr>
                <w:b/>
              </w:rPr>
              <w:t>Statements</w:t>
            </w:r>
          </w:p>
        </w:tc>
        <w:tc>
          <w:tcPr>
            <w:tcW w:w="829" w:type="dxa"/>
          </w:tcPr>
          <w:p w14:paraId="439CFE65" w14:textId="77777777" w:rsidR="008D387A" w:rsidRPr="006C3192" w:rsidRDefault="008D387A" w:rsidP="000C6565">
            <w:pPr>
              <w:pStyle w:val="KeinLeerraum"/>
              <w:rPr>
                <w:b/>
                <w:bCs/>
              </w:rPr>
            </w:pPr>
            <w:r w:rsidRPr="006C3192">
              <w:rPr>
                <w:b/>
                <w:bCs/>
              </w:rPr>
              <w:t>Loc.</w:t>
            </w:r>
          </w:p>
        </w:tc>
      </w:tr>
      <w:tr w:rsidR="008D387A" w14:paraId="19AEA0F8" w14:textId="77777777" w:rsidTr="000C6565">
        <w:tc>
          <w:tcPr>
            <w:tcW w:w="531" w:type="dxa"/>
          </w:tcPr>
          <w:p w14:paraId="1B12D1DE" w14:textId="77777777" w:rsidR="008D387A" w:rsidRDefault="008D387A" w:rsidP="000C6565">
            <w:pPr>
              <w:pStyle w:val="KeinLeerraum"/>
            </w:pPr>
            <w:r>
              <w:t>1</w:t>
            </w:r>
          </w:p>
        </w:tc>
        <w:tc>
          <w:tcPr>
            <w:tcW w:w="8262" w:type="dxa"/>
          </w:tcPr>
          <w:p w14:paraId="3C09E3C7" w14:textId="77777777" w:rsidR="008D387A" w:rsidRPr="00CA2AA2" w:rsidRDefault="008D387A" w:rsidP="00CA2AA2">
            <w:pPr>
              <w:pStyle w:val="KeinLeerraum"/>
            </w:pPr>
          </w:p>
        </w:tc>
        <w:tc>
          <w:tcPr>
            <w:tcW w:w="829" w:type="dxa"/>
          </w:tcPr>
          <w:p w14:paraId="6274109F" w14:textId="77777777" w:rsidR="008D387A" w:rsidRDefault="00CA2AA2" w:rsidP="000C6565">
            <w:pPr>
              <w:pStyle w:val="KeinLeerraum"/>
            </w:pPr>
            <w:r>
              <w:t>2.6.6</w:t>
            </w:r>
          </w:p>
        </w:tc>
      </w:tr>
      <w:tr w:rsidR="008D387A" w14:paraId="751EE596" w14:textId="77777777" w:rsidTr="000C6565">
        <w:tc>
          <w:tcPr>
            <w:tcW w:w="531" w:type="dxa"/>
          </w:tcPr>
          <w:p w14:paraId="5B621193" w14:textId="77777777" w:rsidR="008D387A" w:rsidRDefault="008D387A" w:rsidP="000C6565">
            <w:pPr>
              <w:pStyle w:val="KeinLeerraum"/>
            </w:pPr>
            <w:r>
              <w:t>2</w:t>
            </w:r>
          </w:p>
        </w:tc>
        <w:tc>
          <w:tcPr>
            <w:tcW w:w="8262" w:type="dxa"/>
          </w:tcPr>
          <w:p w14:paraId="5C49192E" w14:textId="77777777" w:rsidR="008D387A" w:rsidRDefault="008D387A" w:rsidP="000C6565">
            <w:pPr>
              <w:pStyle w:val="KeinLeerraum"/>
            </w:pPr>
          </w:p>
        </w:tc>
        <w:tc>
          <w:tcPr>
            <w:tcW w:w="829" w:type="dxa"/>
          </w:tcPr>
          <w:p w14:paraId="7B57DF4F" w14:textId="77777777" w:rsidR="008D387A" w:rsidRDefault="006C3192" w:rsidP="000C6565">
            <w:pPr>
              <w:pStyle w:val="KeinLeerraum"/>
            </w:pPr>
            <w:r>
              <w:t>2.6.6.2</w:t>
            </w:r>
          </w:p>
        </w:tc>
      </w:tr>
      <w:tr w:rsidR="008D387A" w14:paraId="7C261CF1" w14:textId="77777777" w:rsidTr="000C6565">
        <w:tc>
          <w:tcPr>
            <w:tcW w:w="531" w:type="dxa"/>
          </w:tcPr>
          <w:p w14:paraId="3D5AB07E" w14:textId="77777777" w:rsidR="008D387A" w:rsidRDefault="008D387A" w:rsidP="000C6565">
            <w:pPr>
              <w:pStyle w:val="KeinLeerraum"/>
            </w:pPr>
            <w:r>
              <w:t>3</w:t>
            </w:r>
          </w:p>
        </w:tc>
        <w:tc>
          <w:tcPr>
            <w:tcW w:w="8262" w:type="dxa"/>
          </w:tcPr>
          <w:p w14:paraId="5B319522" w14:textId="77777777" w:rsidR="008D387A" w:rsidRDefault="008D387A" w:rsidP="000C6565">
            <w:pPr>
              <w:pStyle w:val="KeinLeerraum"/>
            </w:pPr>
          </w:p>
        </w:tc>
        <w:tc>
          <w:tcPr>
            <w:tcW w:w="829" w:type="dxa"/>
          </w:tcPr>
          <w:p w14:paraId="18331E82" w14:textId="77777777" w:rsidR="008D387A" w:rsidRDefault="008D387A" w:rsidP="000C6565">
            <w:pPr>
              <w:pStyle w:val="KeinLeerraum"/>
            </w:pPr>
          </w:p>
        </w:tc>
      </w:tr>
      <w:tr w:rsidR="008D387A" w14:paraId="775C2C3D" w14:textId="77777777" w:rsidTr="000C6565">
        <w:tc>
          <w:tcPr>
            <w:tcW w:w="531" w:type="dxa"/>
          </w:tcPr>
          <w:p w14:paraId="5D3140D6" w14:textId="77777777" w:rsidR="008D387A" w:rsidRDefault="008D387A" w:rsidP="000C6565">
            <w:pPr>
              <w:pStyle w:val="KeinLeerraum"/>
            </w:pPr>
            <w:r>
              <w:t>4</w:t>
            </w:r>
          </w:p>
        </w:tc>
        <w:tc>
          <w:tcPr>
            <w:tcW w:w="8262" w:type="dxa"/>
          </w:tcPr>
          <w:p w14:paraId="4591322D" w14:textId="77777777" w:rsidR="008D387A" w:rsidRDefault="008D387A" w:rsidP="000C6565">
            <w:pPr>
              <w:pStyle w:val="KeinLeerraum"/>
            </w:pPr>
          </w:p>
        </w:tc>
        <w:tc>
          <w:tcPr>
            <w:tcW w:w="829" w:type="dxa"/>
          </w:tcPr>
          <w:p w14:paraId="6E3EB96B" w14:textId="77777777" w:rsidR="008D387A" w:rsidRDefault="008D387A" w:rsidP="000C6565">
            <w:pPr>
              <w:pStyle w:val="KeinLeerraum"/>
            </w:pPr>
          </w:p>
        </w:tc>
      </w:tr>
    </w:tbl>
    <w:p w14:paraId="261A0F6E" w14:textId="77777777" w:rsidR="00101EA0" w:rsidRDefault="00101EA0">
      <w:pPr>
        <w:spacing w:after="0" w:line="240" w:lineRule="auto"/>
        <w:rPr>
          <w:rFonts w:asciiTheme="majorHAnsi" w:eastAsiaTheme="majorEastAsia" w:hAnsiTheme="majorHAnsi" w:cstheme="majorBidi"/>
          <w:b/>
          <w:bCs/>
          <w:color w:val="365F91" w:themeColor="accent1" w:themeShade="BF"/>
          <w:sz w:val="28"/>
          <w:szCs w:val="28"/>
        </w:rPr>
      </w:pPr>
    </w:p>
    <w:p w14:paraId="50CEBEC2" w14:textId="77777777" w:rsidR="00CA2AA2" w:rsidRDefault="00CA2AA2" w:rsidP="00CA2AA2">
      <w:pPr>
        <w:spacing w:after="0" w:line="240" w:lineRule="auto"/>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 xml:space="preserve">2.6.6 </w:t>
      </w:r>
      <w:r w:rsidRPr="00CA2AA2">
        <w:rPr>
          <w:rFonts w:asciiTheme="majorHAnsi" w:eastAsiaTheme="majorEastAsia" w:hAnsiTheme="majorHAnsi" w:cstheme="majorBidi"/>
          <w:b/>
          <w:bCs/>
          <w:color w:val="365F91" w:themeColor="accent1" w:themeShade="BF"/>
          <w:sz w:val="28"/>
          <w:szCs w:val="28"/>
        </w:rPr>
        <w:t>Public support and opposition to climate</w:t>
      </w:r>
      <w:r>
        <w:rPr>
          <w:rFonts w:asciiTheme="majorHAnsi" w:eastAsiaTheme="majorEastAsia" w:hAnsiTheme="majorHAnsi" w:cstheme="majorBidi"/>
          <w:b/>
          <w:bCs/>
          <w:color w:val="365F91" w:themeColor="accent1" w:themeShade="BF"/>
          <w:sz w:val="28"/>
          <w:szCs w:val="28"/>
        </w:rPr>
        <w:t xml:space="preserve"> p</w:t>
      </w:r>
      <w:r w:rsidRPr="00CA2AA2">
        <w:rPr>
          <w:rFonts w:asciiTheme="majorHAnsi" w:eastAsiaTheme="majorEastAsia" w:hAnsiTheme="majorHAnsi" w:cstheme="majorBidi"/>
          <w:b/>
          <w:bCs/>
          <w:color w:val="365F91" w:themeColor="accent1" w:themeShade="BF"/>
          <w:sz w:val="28"/>
          <w:szCs w:val="28"/>
        </w:rPr>
        <w:t>olicy</w:t>
      </w:r>
    </w:p>
    <w:p w14:paraId="2679037A" w14:textId="77777777" w:rsidR="00CA2AA2" w:rsidRDefault="00CA2AA2" w:rsidP="00CA2AA2">
      <w:pPr>
        <w:pStyle w:val="KeinLeerraum"/>
      </w:pPr>
      <w:r>
        <w:t>Policy discussions on particular technologies often revolve around the health and safety risks associated with technology options, transition pathways, and systems such as nuclear energy (Pidgeon et al., 2008; Whitfield et al., 2009), coal combustion (Carmichael</w:t>
      </w:r>
    </w:p>
    <w:p w14:paraId="0B87217C" w14:textId="77777777" w:rsidR="00CA2AA2" w:rsidRDefault="00CA2AA2" w:rsidP="00CA2AA2">
      <w:pPr>
        <w:spacing w:after="0" w:line="240" w:lineRule="auto"/>
      </w:pPr>
      <w:r>
        <w:t xml:space="preserve">et al., 2009; Hill et al., 2009), and </w:t>
      </w:r>
      <w:r w:rsidRPr="006C3192">
        <w:rPr>
          <w:b/>
          <w:bCs/>
        </w:rPr>
        <w:t>underground carbon storage (Itaoka et al., 2009; Shackley et al., 2009)</w:t>
      </w:r>
      <w:r w:rsidRPr="00CA2AA2">
        <w:t>.</w:t>
      </w:r>
    </w:p>
    <w:p w14:paraId="5A1C546F" w14:textId="77777777" w:rsidR="00CA2AA2" w:rsidRDefault="00CA2AA2" w:rsidP="00CA2AA2">
      <w:pPr>
        <w:spacing w:after="0" w:line="240" w:lineRule="auto"/>
      </w:pPr>
    </w:p>
    <w:p w14:paraId="0BDFFD9F" w14:textId="77777777" w:rsidR="00CA2AA2" w:rsidRDefault="00CA2AA2" w:rsidP="009B093A">
      <w:pPr>
        <w:pStyle w:val="berschrift2"/>
      </w:pPr>
      <w:bookmarkStart w:id="16" w:name="_Toc525298449"/>
      <w:r>
        <w:lastRenderedPageBreak/>
        <w:t>2.6.6.2 Local support and opposition to infrastructure projects</w:t>
      </w:r>
      <w:bookmarkEnd w:id="16"/>
    </w:p>
    <w:p w14:paraId="2B116154" w14:textId="77777777" w:rsidR="00CA2AA2" w:rsidRDefault="00CA2AA2" w:rsidP="00CA2AA2">
      <w:pPr>
        <w:spacing w:after="0" w:line="240" w:lineRule="auto"/>
      </w:pPr>
      <w:r>
        <w:t xml:space="preserve">The issue of local support or opposition to infrastructure projects in implementing climate policy is related to the role that </w:t>
      </w:r>
      <w:r w:rsidRPr="006C3192">
        <w:rPr>
          <w:b/>
          <w:bCs/>
        </w:rPr>
        <w:t>perceived technological risks</w:t>
      </w:r>
      <w:r>
        <w:t xml:space="preserve"> play in the process. This has been especially important with respect to nuclear energy, but is of </w:t>
      </w:r>
      <w:r w:rsidRPr="006C3192">
        <w:rPr>
          <w:b/>
          <w:bCs/>
        </w:rPr>
        <w:t>increasing concern for carbon storage</w:t>
      </w:r>
      <w:r>
        <w:t xml:space="preserve"> and renewable energy projects, and has become a major issue when considering expansion of low carbon energy technologies (Ellis et al., 2007; Van Alphen et al., 2007; Zoellner et al., 2008).</w:t>
      </w:r>
    </w:p>
    <w:p w14:paraId="54CF9F91" w14:textId="77777777" w:rsidR="00CA2AA2" w:rsidRDefault="00CA2AA2" w:rsidP="00CA2AA2">
      <w:pPr>
        <w:spacing w:after="0" w:line="240" w:lineRule="auto"/>
      </w:pPr>
    </w:p>
    <w:p w14:paraId="3C296587" w14:textId="77777777" w:rsidR="00CA2AA2" w:rsidRDefault="00CA2AA2" w:rsidP="00CA2AA2">
      <w:pPr>
        <w:spacing w:after="0" w:line="240" w:lineRule="auto"/>
      </w:pPr>
      <w:r>
        <w:t xml:space="preserve">Many studies have assessed the </w:t>
      </w:r>
      <w:r w:rsidRPr="00CA2AA2">
        <w:rPr>
          <w:b/>
          <w:bCs/>
        </w:rPr>
        <w:t>risks and examined local support for carbon dioxide capture and storage (CCS)</w:t>
      </w:r>
      <w:r>
        <w:t xml:space="preserve">. According to Ha-Duong et al. (1997), the health and safety risks associated with carbon dioxide capture and transportation technologies differ across causal pathways but are similar in magnitude to technologies currently supported by the fossil-fuel industry. Using natural analogues, Roberts et al. (2011) concluded that the health risks of natural CO2 seepage in Italy was significantly lower than many socially accepted risks. For example, it were three orders of magnitude lower than the probability of being struck by lightning. </w:t>
      </w:r>
    </w:p>
    <w:p w14:paraId="1B28BC72" w14:textId="77777777" w:rsidR="00CA2AA2" w:rsidRDefault="00CA2AA2" w:rsidP="00CA2AA2">
      <w:pPr>
        <w:spacing w:after="0" w:line="240" w:lineRule="auto"/>
      </w:pPr>
    </w:p>
    <w:p w14:paraId="04D21113" w14:textId="77777777" w:rsidR="00CA2AA2" w:rsidRDefault="00CA2AA2" w:rsidP="00CA2AA2">
      <w:pPr>
        <w:spacing w:after="0" w:line="240" w:lineRule="auto"/>
      </w:pPr>
      <w:r>
        <w:t xml:space="preserve">Despite these risk assessments, there is mixed evidence of public acceptance of CO2 storage. For example, a storage research project was authorized in Lacq, France, but another was halted in Barendreich, The Netherlands due to public opposition. On the other hand, Van Alphen et al. (2007) evaluated the concerns with CCS among important stakeholders, including government, industry, and NGO representatives and found support if the facility could be shown to have a low probability of leakage and was viewed as a temporary measure. </w:t>
      </w:r>
    </w:p>
    <w:p w14:paraId="09E5A719" w14:textId="77777777" w:rsidR="00CA2AA2" w:rsidRDefault="00CA2AA2" w:rsidP="00CA2AA2">
      <w:pPr>
        <w:spacing w:after="0" w:line="240" w:lineRule="auto"/>
      </w:pPr>
    </w:p>
    <w:p w14:paraId="4A482F77" w14:textId="77777777" w:rsidR="00CA2AA2" w:rsidRDefault="00CA2AA2" w:rsidP="00CA2AA2">
      <w:pPr>
        <w:spacing w:after="0" w:line="240" w:lineRule="auto"/>
        <w:rPr>
          <w:rFonts w:asciiTheme="majorHAnsi" w:eastAsiaTheme="majorEastAsia" w:hAnsiTheme="majorHAnsi" w:cstheme="majorBidi"/>
          <w:b/>
          <w:bCs/>
          <w:color w:val="365F91" w:themeColor="accent1" w:themeShade="BF"/>
          <w:sz w:val="28"/>
          <w:szCs w:val="28"/>
        </w:rPr>
      </w:pPr>
      <w:r>
        <w:t>Wallquist et  al. (2012) used conjoint analysis to interpret a Swiss survey on the acceptability of CCS and found that concerns over local risks and impacts dominated the fears of the long-term climate impacts of leakage. The local concerns were less severe, and the public acceptance higher, for CCS projects combined with biomass combustion, suggesting that positive feelings about removing CO2 from the atmosphere, rather than simply preventing its emission into the atmosphere, influences perceptions of local risks. Terwel et al. (2011) found that support for CCS varied as a function of the stakeholders promoting and opposing it, in a manner similar to the debate on renewable energy. Hence, there was greater support of CCS when its promoters were perceived to be acting in the public interest rather than purely for profit. Those opposing CCS were less likely to succeed when they were perceived to be acting to protect their own economic interests, such as property values, rather than focusing on environmental quality and the public good.</w:t>
      </w:r>
    </w:p>
    <w:p w14:paraId="4E51C9B6" w14:textId="77777777" w:rsidR="004323E1" w:rsidRPr="008E2000" w:rsidRDefault="006E3232" w:rsidP="004323E1">
      <w:pPr>
        <w:pStyle w:val="berschrift1"/>
      </w:pPr>
      <w:bookmarkStart w:id="17" w:name="_Toc525298450"/>
      <w:r w:rsidRPr="008E2000">
        <w:t>IPCC AR5</w:t>
      </w:r>
      <w:r w:rsidR="008E2000" w:rsidRPr="008E2000">
        <w:t xml:space="preserve"> WGIII </w:t>
      </w:r>
      <w:r w:rsidR="00101EA0">
        <w:t xml:space="preserve">– </w:t>
      </w:r>
      <w:r w:rsidRPr="008E2000">
        <w:t>Chapter 6</w:t>
      </w:r>
      <w:r w:rsidR="004323E1">
        <w:t xml:space="preserve">: </w:t>
      </w:r>
      <w:r w:rsidR="00C21F57" w:rsidRPr="00C21F57">
        <w:t>Assessing Transformation Pathways</w:t>
      </w:r>
      <w:bookmarkEnd w:id="17"/>
    </w:p>
    <w:p w14:paraId="32B43105" w14:textId="77777777" w:rsidR="004323E1" w:rsidRPr="00101EA0" w:rsidRDefault="004323E1" w:rsidP="004323E1">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1"/>
        <w:gridCol w:w="1825"/>
      </w:tblGrid>
      <w:tr w:rsidR="004323E1" w14:paraId="157ECD09" w14:textId="77777777" w:rsidTr="000C6565">
        <w:tc>
          <w:tcPr>
            <w:tcW w:w="7763" w:type="dxa"/>
          </w:tcPr>
          <w:p w14:paraId="45C967DB" w14:textId="77777777" w:rsidR="004323E1" w:rsidRPr="00FE4BC7" w:rsidRDefault="004323E1" w:rsidP="000C6565">
            <w:pPr>
              <w:pStyle w:val="KeinLeerraum"/>
              <w:rPr>
                <w:b/>
              </w:rPr>
            </w:pPr>
            <w:r w:rsidRPr="00FE4BC7">
              <w:rPr>
                <w:b/>
              </w:rPr>
              <w:t>Keyword</w:t>
            </w:r>
          </w:p>
        </w:tc>
        <w:tc>
          <w:tcPr>
            <w:tcW w:w="1859" w:type="dxa"/>
          </w:tcPr>
          <w:p w14:paraId="5AA20AA2" w14:textId="77777777" w:rsidR="004323E1" w:rsidRPr="00FE4BC7" w:rsidRDefault="004323E1" w:rsidP="000C6565">
            <w:pPr>
              <w:pStyle w:val="KeinLeerraum"/>
              <w:rPr>
                <w:b/>
              </w:rPr>
            </w:pPr>
            <w:r w:rsidRPr="00FE4BC7">
              <w:rPr>
                <w:b/>
              </w:rPr>
              <w:t>Count</w:t>
            </w:r>
          </w:p>
        </w:tc>
      </w:tr>
      <w:tr w:rsidR="004323E1" w14:paraId="54C78D0A" w14:textId="77777777" w:rsidTr="000C6565">
        <w:tc>
          <w:tcPr>
            <w:tcW w:w="7763" w:type="dxa"/>
          </w:tcPr>
          <w:p w14:paraId="3C8C8020" w14:textId="77777777" w:rsidR="004323E1" w:rsidRPr="00B80049" w:rsidRDefault="004323E1" w:rsidP="000C6565">
            <w:pPr>
              <w:pStyle w:val="KeinLeerraum"/>
              <w:rPr>
                <w:b/>
              </w:rPr>
            </w:pPr>
            <w:r w:rsidRPr="00B80049">
              <w:rPr>
                <w:b/>
                <w:color w:val="7030A0"/>
              </w:rPr>
              <w:t>Negative emission</w:t>
            </w:r>
            <w:r w:rsidR="000C6565">
              <w:rPr>
                <w:b/>
                <w:color w:val="7030A0"/>
              </w:rPr>
              <w:t xml:space="preserve"> (NET)</w:t>
            </w:r>
          </w:p>
        </w:tc>
        <w:tc>
          <w:tcPr>
            <w:tcW w:w="1859" w:type="dxa"/>
          </w:tcPr>
          <w:p w14:paraId="751C2BC1" w14:textId="77777777" w:rsidR="004323E1" w:rsidRDefault="004323E1" w:rsidP="000C6565">
            <w:pPr>
              <w:pStyle w:val="KeinLeerraum"/>
            </w:pPr>
            <w:r>
              <w:t>33</w:t>
            </w:r>
          </w:p>
        </w:tc>
      </w:tr>
      <w:tr w:rsidR="004323E1" w14:paraId="2B1544A1" w14:textId="77777777" w:rsidTr="000C6565">
        <w:tc>
          <w:tcPr>
            <w:tcW w:w="7763" w:type="dxa"/>
          </w:tcPr>
          <w:p w14:paraId="067A9147" w14:textId="77777777" w:rsidR="004323E1" w:rsidRPr="00B80049" w:rsidRDefault="004323E1" w:rsidP="000C6565">
            <w:pPr>
              <w:pStyle w:val="KeinLeerraum"/>
              <w:rPr>
                <w:b/>
              </w:rPr>
            </w:pPr>
            <w:r>
              <w:rPr>
                <w:b/>
                <w:color w:val="00B050"/>
              </w:rPr>
              <w:t>C</w:t>
            </w:r>
            <w:r w:rsidRPr="00B80049">
              <w:rPr>
                <w:b/>
                <w:color w:val="00B050"/>
              </w:rPr>
              <w:t>arbon dioxide removal/CDR</w:t>
            </w:r>
          </w:p>
        </w:tc>
        <w:tc>
          <w:tcPr>
            <w:tcW w:w="1859" w:type="dxa"/>
          </w:tcPr>
          <w:p w14:paraId="2723FFB3" w14:textId="77777777" w:rsidR="004323E1" w:rsidRDefault="004323E1" w:rsidP="000C6565">
            <w:pPr>
              <w:pStyle w:val="KeinLeerraum"/>
            </w:pPr>
            <w:r>
              <w:t>75</w:t>
            </w:r>
          </w:p>
        </w:tc>
      </w:tr>
      <w:tr w:rsidR="004323E1" w14:paraId="21403C86" w14:textId="77777777" w:rsidTr="000C6565">
        <w:tc>
          <w:tcPr>
            <w:tcW w:w="7763" w:type="dxa"/>
          </w:tcPr>
          <w:p w14:paraId="69F69CB8" w14:textId="77777777" w:rsidR="004323E1" w:rsidRPr="00B80049" w:rsidRDefault="004323E1" w:rsidP="000C6565">
            <w:pPr>
              <w:pStyle w:val="KeinLeerraum"/>
              <w:rPr>
                <w:b/>
              </w:rPr>
            </w:pPr>
            <w:r w:rsidRPr="00B80049">
              <w:rPr>
                <w:b/>
                <w:color w:val="F79646" w:themeColor="accent6"/>
              </w:rPr>
              <w:t>Bioenergy with carbon and capture/BECCS</w:t>
            </w:r>
          </w:p>
        </w:tc>
        <w:tc>
          <w:tcPr>
            <w:tcW w:w="1859" w:type="dxa"/>
          </w:tcPr>
          <w:p w14:paraId="34E71C94" w14:textId="77777777" w:rsidR="004323E1" w:rsidRDefault="004323E1" w:rsidP="000C6565">
            <w:pPr>
              <w:pStyle w:val="KeinLeerraum"/>
            </w:pPr>
            <w:r>
              <w:t>53</w:t>
            </w:r>
          </w:p>
        </w:tc>
      </w:tr>
      <w:tr w:rsidR="004323E1" w14:paraId="79F99DC1" w14:textId="77777777" w:rsidTr="000C6565">
        <w:tc>
          <w:tcPr>
            <w:tcW w:w="7763" w:type="dxa"/>
          </w:tcPr>
          <w:p w14:paraId="385EA397" w14:textId="77777777" w:rsidR="004323E1" w:rsidRPr="00B80049" w:rsidRDefault="004323E1" w:rsidP="000C6565">
            <w:pPr>
              <w:pStyle w:val="KeinLeerraum"/>
              <w:rPr>
                <w:b/>
              </w:rPr>
            </w:pPr>
            <w:r w:rsidRPr="00B80049">
              <w:rPr>
                <w:b/>
                <w:color w:val="0070C0"/>
              </w:rPr>
              <w:t>Afforestation</w:t>
            </w:r>
          </w:p>
        </w:tc>
        <w:tc>
          <w:tcPr>
            <w:tcW w:w="1859" w:type="dxa"/>
          </w:tcPr>
          <w:p w14:paraId="21B6B990" w14:textId="77777777" w:rsidR="004323E1" w:rsidRDefault="004323E1" w:rsidP="000C6565">
            <w:pPr>
              <w:pStyle w:val="KeinLeerraum"/>
            </w:pPr>
            <w:r>
              <w:t>31</w:t>
            </w:r>
          </w:p>
        </w:tc>
      </w:tr>
    </w:tbl>
    <w:p w14:paraId="7825EA26" w14:textId="77777777" w:rsidR="004323E1" w:rsidRDefault="004323E1" w:rsidP="004323E1"/>
    <w:tbl>
      <w:tblPr>
        <w:tblStyle w:val="Tabellenraster"/>
        <w:tblW w:w="0" w:type="auto"/>
        <w:tblLook w:val="04A0" w:firstRow="1" w:lastRow="0" w:firstColumn="1" w:lastColumn="0" w:noHBand="0" w:noVBand="1"/>
      </w:tblPr>
      <w:tblGrid>
        <w:gridCol w:w="6275"/>
        <w:gridCol w:w="1510"/>
        <w:gridCol w:w="1611"/>
      </w:tblGrid>
      <w:tr w:rsidR="004323E1" w14:paraId="00E6DD26" w14:textId="77777777" w:rsidTr="000C6565">
        <w:tc>
          <w:tcPr>
            <w:tcW w:w="6450" w:type="dxa"/>
          </w:tcPr>
          <w:p w14:paraId="6194A984" w14:textId="77777777" w:rsidR="004323E1" w:rsidRPr="00FE4BC7" w:rsidRDefault="004323E1" w:rsidP="000C6565">
            <w:pPr>
              <w:pStyle w:val="KeinLeerraum"/>
              <w:rPr>
                <w:b/>
              </w:rPr>
            </w:pPr>
            <w:r>
              <w:rPr>
                <w:b/>
              </w:rPr>
              <w:t>IPCC references</w:t>
            </w:r>
          </w:p>
        </w:tc>
        <w:tc>
          <w:tcPr>
            <w:tcW w:w="1532" w:type="dxa"/>
          </w:tcPr>
          <w:p w14:paraId="1F381495" w14:textId="77777777" w:rsidR="004323E1" w:rsidRPr="00FE4BC7" w:rsidRDefault="004323E1" w:rsidP="000C6565">
            <w:pPr>
              <w:pStyle w:val="KeinLeerraum"/>
              <w:rPr>
                <w:b/>
              </w:rPr>
            </w:pPr>
            <w:r>
              <w:rPr>
                <w:b/>
              </w:rPr>
              <w:t>Type</w:t>
            </w:r>
          </w:p>
        </w:tc>
        <w:tc>
          <w:tcPr>
            <w:tcW w:w="1640" w:type="dxa"/>
          </w:tcPr>
          <w:p w14:paraId="457A539F" w14:textId="77777777" w:rsidR="004323E1" w:rsidRPr="00FE4BC7" w:rsidRDefault="004323E1" w:rsidP="000C6565">
            <w:pPr>
              <w:pStyle w:val="KeinLeerraum"/>
              <w:rPr>
                <w:b/>
              </w:rPr>
            </w:pPr>
            <w:r w:rsidRPr="00FE4BC7">
              <w:rPr>
                <w:b/>
              </w:rPr>
              <w:t>Count</w:t>
            </w:r>
          </w:p>
        </w:tc>
      </w:tr>
      <w:tr w:rsidR="004323E1" w14:paraId="01EAFAA4" w14:textId="77777777" w:rsidTr="000C6565">
        <w:tc>
          <w:tcPr>
            <w:tcW w:w="6450" w:type="dxa"/>
          </w:tcPr>
          <w:p w14:paraId="33BE9AE0" w14:textId="77777777" w:rsidR="004323E1" w:rsidRDefault="004323E1" w:rsidP="000C6565">
            <w:pPr>
              <w:pStyle w:val="KeinLeerraum"/>
            </w:pPr>
            <w:r>
              <w:t>6.3</w:t>
            </w:r>
          </w:p>
        </w:tc>
        <w:tc>
          <w:tcPr>
            <w:tcW w:w="1532" w:type="dxa"/>
          </w:tcPr>
          <w:p w14:paraId="32485353" w14:textId="77777777" w:rsidR="004323E1" w:rsidRDefault="004323E1" w:rsidP="000C6565">
            <w:pPr>
              <w:pStyle w:val="KeinLeerraum"/>
            </w:pPr>
            <w:r>
              <w:t>Section</w:t>
            </w:r>
          </w:p>
        </w:tc>
        <w:tc>
          <w:tcPr>
            <w:tcW w:w="1640" w:type="dxa"/>
          </w:tcPr>
          <w:p w14:paraId="1BB1753A" w14:textId="77777777" w:rsidR="004323E1" w:rsidRDefault="004323E1" w:rsidP="000C6565">
            <w:pPr>
              <w:pStyle w:val="KeinLeerraum"/>
            </w:pPr>
            <w:r>
              <w:t>2</w:t>
            </w:r>
          </w:p>
        </w:tc>
      </w:tr>
      <w:tr w:rsidR="004323E1" w14:paraId="184454AB" w14:textId="77777777" w:rsidTr="000C6565">
        <w:tc>
          <w:tcPr>
            <w:tcW w:w="6450" w:type="dxa"/>
          </w:tcPr>
          <w:p w14:paraId="2E9E2921" w14:textId="77777777" w:rsidR="004323E1" w:rsidRDefault="004323E1" w:rsidP="000C6565">
            <w:pPr>
              <w:pStyle w:val="KeinLeerraum"/>
            </w:pPr>
            <w:r>
              <w:t>6.8</w:t>
            </w:r>
          </w:p>
        </w:tc>
        <w:tc>
          <w:tcPr>
            <w:tcW w:w="1532" w:type="dxa"/>
          </w:tcPr>
          <w:p w14:paraId="049C9406" w14:textId="77777777" w:rsidR="004323E1" w:rsidRDefault="004323E1" w:rsidP="000C6565">
            <w:pPr>
              <w:pStyle w:val="KeinLeerraum"/>
            </w:pPr>
            <w:r>
              <w:t>Section</w:t>
            </w:r>
          </w:p>
        </w:tc>
        <w:tc>
          <w:tcPr>
            <w:tcW w:w="1640" w:type="dxa"/>
          </w:tcPr>
          <w:p w14:paraId="05E75F6C" w14:textId="77777777" w:rsidR="004323E1" w:rsidRDefault="004323E1" w:rsidP="000C6565">
            <w:pPr>
              <w:pStyle w:val="KeinLeerraum"/>
            </w:pPr>
            <w:r>
              <w:t>1</w:t>
            </w:r>
          </w:p>
        </w:tc>
      </w:tr>
      <w:tr w:rsidR="004323E1" w14:paraId="32E82DE0" w14:textId="77777777" w:rsidTr="000C6565">
        <w:tc>
          <w:tcPr>
            <w:tcW w:w="6450" w:type="dxa"/>
          </w:tcPr>
          <w:p w14:paraId="1070D637" w14:textId="77777777" w:rsidR="004323E1" w:rsidRDefault="004323E1" w:rsidP="000C6565">
            <w:pPr>
              <w:pStyle w:val="KeinLeerraum"/>
            </w:pPr>
            <w:r>
              <w:t>6.9</w:t>
            </w:r>
          </w:p>
        </w:tc>
        <w:tc>
          <w:tcPr>
            <w:tcW w:w="1532" w:type="dxa"/>
          </w:tcPr>
          <w:p w14:paraId="53D6ACA5" w14:textId="77777777" w:rsidR="004323E1" w:rsidRDefault="004323E1" w:rsidP="000C6565">
            <w:pPr>
              <w:pStyle w:val="KeinLeerraum"/>
            </w:pPr>
            <w:r>
              <w:t>Section</w:t>
            </w:r>
          </w:p>
        </w:tc>
        <w:tc>
          <w:tcPr>
            <w:tcW w:w="1640" w:type="dxa"/>
          </w:tcPr>
          <w:p w14:paraId="6DAA2206" w14:textId="77777777" w:rsidR="004323E1" w:rsidRDefault="004323E1" w:rsidP="000C6565">
            <w:pPr>
              <w:pStyle w:val="KeinLeerraum"/>
            </w:pPr>
            <w:r>
              <w:t>2</w:t>
            </w:r>
          </w:p>
        </w:tc>
      </w:tr>
      <w:tr w:rsidR="004323E1" w14:paraId="29E88091" w14:textId="77777777" w:rsidTr="000C6565">
        <w:tc>
          <w:tcPr>
            <w:tcW w:w="6450" w:type="dxa"/>
          </w:tcPr>
          <w:p w14:paraId="1034C138" w14:textId="77777777" w:rsidR="004323E1" w:rsidRDefault="004323E1" w:rsidP="000C6565">
            <w:pPr>
              <w:pStyle w:val="KeinLeerraum"/>
            </w:pPr>
            <w:r>
              <w:lastRenderedPageBreak/>
              <w:t>7.5.5</w:t>
            </w:r>
          </w:p>
        </w:tc>
        <w:tc>
          <w:tcPr>
            <w:tcW w:w="1532" w:type="dxa"/>
          </w:tcPr>
          <w:p w14:paraId="52E548D3" w14:textId="77777777" w:rsidR="004323E1" w:rsidRDefault="004323E1" w:rsidP="000C6565">
            <w:pPr>
              <w:pStyle w:val="KeinLeerraum"/>
            </w:pPr>
            <w:r>
              <w:t>Section</w:t>
            </w:r>
          </w:p>
        </w:tc>
        <w:tc>
          <w:tcPr>
            <w:tcW w:w="1640" w:type="dxa"/>
          </w:tcPr>
          <w:p w14:paraId="4127AB6E" w14:textId="77777777" w:rsidR="004323E1" w:rsidRDefault="004323E1" w:rsidP="000C6565">
            <w:pPr>
              <w:pStyle w:val="KeinLeerraum"/>
            </w:pPr>
            <w:r>
              <w:t>1</w:t>
            </w:r>
          </w:p>
        </w:tc>
      </w:tr>
      <w:tr w:rsidR="004323E1" w14:paraId="26DE39FF" w14:textId="77777777" w:rsidTr="000C6565">
        <w:tc>
          <w:tcPr>
            <w:tcW w:w="6450" w:type="dxa"/>
          </w:tcPr>
          <w:p w14:paraId="5798F9D7" w14:textId="77777777" w:rsidR="004323E1" w:rsidRDefault="004323E1" w:rsidP="000C6565">
            <w:pPr>
              <w:pStyle w:val="KeinLeerraum"/>
            </w:pPr>
            <w:r>
              <w:t>7.9</w:t>
            </w:r>
          </w:p>
        </w:tc>
        <w:tc>
          <w:tcPr>
            <w:tcW w:w="1532" w:type="dxa"/>
          </w:tcPr>
          <w:p w14:paraId="22B58BAB" w14:textId="77777777" w:rsidR="004323E1" w:rsidRDefault="004323E1" w:rsidP="000C6565">
            <w:pPr>
              <w:pStyle w:val="KeinLeerraum"/>
            </w:pPr>
            <w:r>
              <w:t>Section</w:t>
            </w:r>
          </w:p>
        </w:tc>
        <w:tc>
          <w:tcPr>
            <w:tcW w:w="1640" w:type="dxa"/>
          </w:tcPr>
          <w:p w14:paraId="29BBDB71" w14:textId="77777777" w:rsidR="004323E1" w:rsidRDefault="004323E1" w:rsidP="000C6565">
            <w:pPr>
              <w:pStyle w:val="KeinLeerraum"/>
            </w:pPr>
            <w:r>
              <w:t>1</w:t>
            </w:r>
          </w:p>
        </w:tc>
      </w:tr>
      <w:tr w:rsidR="004323E1" w14:paraId="4B071F9C" w14:textId="77777777" w:rsidTr="000C6565">
        <w:tc>
          <w:tcPr>
            <w:tcW w:w="6450" w:type="dxa"/>
          </w:tcPr>
          <w:p w14:paraId="3663AB1A" w14:textId="77777777" w:rsidR="004323E1" w:rsidRDefault="004323E1" w:rsidP="000C6565">
            <w:pPr>
              <w:pStyle w:val="KeinLeerraum"/>
            </w:pPr>
            <w:r>
              <w:t>7.11</w:t>
            </w:r>
          </w:p>
        </w:tc>
        <w:tc>
          <w:tcPr>
            <w:tcW w:w="1532" w:type="dxa"/>
          </w:tcPr>
          <w:p w14:paraId="28A7D884" w14:textId="77777777" w:rsidR="004323E1" w:rsidRDefault="004323E1" w:rsidP="000C6565">
            <w:pPr>
              <w:pStyle w:val="KeinLeerraum"/>
            </w:pPr>
            <w:r>
              <w:t>Section</w:t>
            </w:r>
          </w:p>
        </w:tc>
        <w:tc>
          <w:tcPr>
            <w:tcW w:w="1640" w:type="dxa"/>
          </w:tcPr>
          <w:p w14:paraId="4A2A1226" w14:textId="77777777" w:rsidR="004323E1" w:rsidRDefault="004323E1" w:rsidP="000C6565">
            <w:pPr>
              <w:pStyle w:val="KeinLeerraum"/>
            </w:pPr>
            <w:r>
              <w:t>1</w:t>
            </w:r>
          </w:p>
        </w:tc>
      </w:tr>
      <w:tr w:rsidR="004323E1" w14:paraId="2B880139" w14:textId="77777777" w:rsidTr="000C6565">
        <w:tc>
          <w:tcPr>
            <w:tcW w:w="6450" w:type="dxa"/>
          </w:tcPr>
          <w:p w14:paraId="6B547B69" w14:textId="77777777" w:rsidR="004323E1" w:rsidRDefault="004323E1" w:rsidP="000C6565">
            <w:pPr>
              <w:pStyle w:val="KeinLeerraum"/>
            </w:pPr>
            <w:r>
              <w:t>11.13</w:t>
            </w:r>
          </w:p>
        </w:tc>
        <w:tc>
          <w:tcPr>
            <w:tcW w:w="1532" w:type="dxa"/>
          </w:tcPr>
          <w:p w14:paraId="230F5FE3" w14:textId="77777777" w:rsidR="004323E1" w:rsidRDefault="004323E1" w:rsidP="000C6565">
            <w:pPr>
              <w:pStyle w:val="KeinLeerraum"/>
            </w:pPr>
            <w:r>
              <w:t>Section</w:t>
            </w:r>
          </w:p>
        </w:tc>
        <w:tc>
          <w:tcPr>
            <w:tcW w:w="1640" w:type="dxa"/>
          </w:tcPr>
          <w:p w14:paraId="1FDE3AF1" w14:textId="77777777" w:rsidR="004323E1" w:rsidRDefault="004323E1" w:rsidP="000C6565">
            <w:pPr>
              <w:pStyle w:val="KeinLeerraum"/>
            </w:pPr>
            <w:r>
              <w:t>2</w:t>
            </w:r>
          </w:p>
        </w:tc>
      </w:tr>
      <w:tr w:rsidR="004323E1" w14:paraId="522F8231" w14:textId="77777777" w:rsidTr="000C6565">
        <w:tc>
          <w:tcPr>
            <w:tcW w:w="6450" w:type="dxa"/>
          </w:tcPr>
          <w:p w14:paraId="1BA3C119" w14:textId="77777777" w:rsidR="004323E1" w:rsidRDefault="004323E1" w:rsidP="000C6565">
            <w:pPr>
              <w:pStyle w:val="KeinLeerraum"/>
            </w:pPr>
            <w:r>
              <w:t>13.13.1.3</w:t>
            </w:r>
          </w:p>
        </w:tc>
        <w:tc>
          <w:tcPr>
            <w:tcW w:w="1532" w:type="dxa"/>
          </w:tcPr>
          <w:p w14:paraId="7433AA4E" w14:textId="77777777" w:rsidR="004323E1" w:rsidRDefault="004323E1" w:rsidP="000C6565">
            <w:pPr>
              <w:pStyle w:val="KeinLeerraum"/>
            </w:pPr>
            <w:r>
              <w:t>Section</w:t>
            </w:r>
          </w:p>
        </w:tc>
        <w:tc>
          <w:tcPr>
            <w:tcW w:w="1640" w:type="dxa"/>
          </w:tcPr>
          <w:p w14:paraId="7D196473" w14:textId="77777777" w:rsidR="004323E1" w:rsidRDefault="004323E1" w:rsidP="000C6565">
            <w:pPr>
              <w:pStyle w:val="KeinLeerraum"/>
            </w:pPr>
            <w:r>
              <w:t>2</w:t>
            </w:r>
          </w:p>
        </w:tc>
      </w:tr>
      <w:tr w:rsidR="004323E1" w14:paraId="20A85BED" w14:textId="77777777" w:rsidTr="000C6565">
        <w:tc>
          <w:tcPr>
            <w:tcW w:w="6450" w:type="dxa"/>
          </w:tcPr>
          <w:p w14:paraId="03A279BB" w14:textId="77777777" w:rsidR="004323E1" w:rsidRDefault="004323E1" w:rsidP="000C6565">
            <w:pPr>
              <w:pStyle w:val="KeinLeerraum"/>
            </w:pPr>
            <w:r>
              <w:t>TS.8 (left panel)</w:t>
            </w:r>
          </w:p>
        </w:tc>
        <w:tc>
          <w:tcPr>
            <w:tcW w:w="1532" w:type="dxa"/>
          </w:tcPr>
          <w:p w14:paraId="0B24ABF1" w14:textId="77777777" w:rsidR="004323E1" w:rsidRDefault="004323E1" w:rsidP="000C6565">
            <w:pPr>
              <w:pStyle w:val="KeinLeerraum"/>
            </w:pPr>
            <w:r>
              <w:t>Figure</w:t>
            </w:r>
          </w:p>
        </w:tc>
        <w:tc>
          <w:tcPr>
            <w:tcW w:w="1640" w:type="dxa"/>
          </w:tcPr>
          <w:p w14:paraId="18E4E816" w14:textId="77777777" w:rsidR="004323E1" w:rsidRDefault="004323E1" w:rsidP="000C6565">
            <w:pPr>
              <w:pStyle w:val="KeinLeerraum"/>
            </w:pPr>
            <w:r>
              <w:t>1</w:t>
            </w:r>
          </w:p>
        </w:tc>
      </w:tr>
      <w:tr w:rsidR="004323E1" w14:paraId="7B035B37" w14:textId="77777777" w:rsidTr="000C6565">
        <w:tc>
          <w:tcPr>
            <w:tcW w:w="6450" w:type="dxa"/>
          </w:tcPr>
          <w:p w14:paraId="75DB54F5" w14:textId="77777777" w:rsidR="004323E1" w:rsidRDefault="004323E1" w:rsidP="000C6565">
            <w:pPr>
              <w:pStyle w:val="KeinLeerraum"/>
            </w:pPr>
            <w:r>
              <w:t>TS.17</w:t>
            </w:r>
          </w:p>
        </w:tc>
        <w:tc>
          <w:tcPr>
            <w:tcW w:w="1532" w:type="dxa"/>
          </w:tcPr>
          <w:p w14:paraId="7A572E3E" w14:textId="77777777" w:rsidR="004323E1" w:rsidRDefault="004323E1" w:rsidP="000C6565">
            <w:pPr>
              <w:pStyle w:val="KeinLeerraum"/>
            </w:pPr>
            <w:r>
              <w:t>Figure</w:t>
            </w:r>
          </w:p>
        </w:tc>
        <w:tc>
          <w:tcPr>
            <w:tcW w:w="1640" w:type="dxa"/>
          </w:tcPr>
          <w:p w14:paraId="7D95E872" w14:textId="77777777" w:rsidR="004323E1" w:rsidRDefault="004323E1" w:rsidP="000C6565">
            <w:pPr>
              <w:pStyle w:val="KeinLeerraum"/>
            </w:pPr>
            <w:r>
              <w:t>1</w:t>
            </w:r>
          </w:p>
        </w:tc>
      </w:tr>
      <w:tr w:rsidR="004323E1" w14:paraId="58F61CF9" w14:textId="77777777" w:rsidTr="000C6565">
        <w:tc>
          <w:tcPr>
            <w:tcW w:w="6450" w:type="dxa"/>
          </w:tcPr>
          <w:p w14:paraId="4ACF4C49" w14:textId="77777777" w:rsidR="004323E1" w:rsidRDefault="004323E1" w:rsidP="000C6565">
            <w:pPr>
              <w:pStyle w:val="KeinLeerraum"/>
            </w:pPr>
            <w:r>
              <w:t>6.7</w:t>
            </w:r>
          </w:p>
        </w:tc>
        <w:tc>
          <w:tcPr>
            <w:tcW w:w="1532" w:type="dxa"/>
          </w:tcPr>
          <w:p w14:paraId="0DAE5760" w14:textId="77777777" w:rsidR="004323E1" w:rsidRDefault="004323E1" w:rsidP="000C6565">
            <w:pPr>
              <w:pStyle w:val="KeinLeerraum"/>
            </w:pPr>
            <w:r>
              <w:t>Figure</w:t>
            </w:r>
          </w:p>
        </w:tc>
        <w:tc>
          <w:tcPr>
            <w:tcW w:w="1640" w:type="dxa"/>
          </w:tcPr>
          <w:p w14:paraId="745AC2F5" w14:textId="77777777" w:rsidR="004323E1" w:rsidRDefault="004323E1" w:rsidP="000C6565">
            <w:pPr>
              <w:pStyle w:val="KeinLeerraum"/>
            </w:pPr>
            <w:r>
              <w:t>1</w:t>
            </w:r>
          </w:p>
        </w:tc>
      </w:tr>
      <w:tr w:rsidR="004323E1" w14:paraId="0DE7F88B" w14:textId="77777777" w:rsidTr="000C6565">
        <w:tc>
          <w:tcPr>
            <w:tcW w:w="6450" w:type="dxa"/>
          </w:tcPr>
          <w:p w14:paraId="74C272EA" w14:textId="77777777" w:rsidR="004323E1" w:rsidRDefault="004323E1" w:rsidP="000C6565">
            <w:pPr>
              <w:pStyle w:val="KeinLeerraum"/>
            </w:pPr>
            <w:r>
              <w:t>6.31</w:t>
            </w:r>
          </w:p>
        </w:tc>
        <w:tc>
          <w:tcPr>
            <w:tcW w:w="1532" w:type="dxa"/>
          </w:tcPr>
          <w:p w14:paraId="62BF81E0" w14:textId="77777777" w:rsidR="004323E1" w:rsidRDefault="004323E1" w:rsidP="000C6565">
            <w:pPr>
              <w:pStyle w:val="KeinLeerraum"/>
            </w:pPr>
            <w:r>
              <w:t>Figure</w:t>
            </w:r>
          </w:p>
        </w:tc>
        <w:tc>
          <w:tcPr>
            <w:tcW w:w="1640" w:type="dxa"/>
          </w:tcPr>
          <w:p w14:paraId="67E66CC7" w14:textId="77777777" w:rsidR="004323E1" w:rsidRDefault="004323E1" w:rsidP="000C6565">
            <w:pPr>
              <w:pStyle w:val="KeinLeerraum"/>
            </w:pPr>
            <w:r>
              <w:t>1</w:t>
            </w:r>
          </w:p>
        </w:tc>
      </w:tr>
      <w:tr w:rsidR="004323E1" w14:paraId="39E6BE44" w14:textId="77777777" w:rsidTr="000C6565">
        <w:tc>
          <w:tcPr>
            <w:tcW w:w="6450" w:type="dxa"/>
          </w:tcPr>
          <w:p w14:paraId="1736B5B4" w14:textId="77777777" w:rsidR="004323E1" w:rsidRDefault="004323E1" w:rsidP="000C6565">
            <w:pPr>
              <w:pStyle w:val="KeinLeerraum"/>
            </w:pPr>
            <w:r>
              <w:t>6.32</w:t>
            </w:r>
          </w:p>
        </w:tc>
        <w:tc>
          <w:tcPr>
            <w:tcW w:w="1532" w:type="dxa"/>
          </w:tcPr>
          <w:p w14:paraId="28E57FA0" w14:textId="77777777" w:rsidR="004323E1" w:rsidRDefault="004323E1" w:rsidP="000C6565">
            <w:pPr>
              <w:pStyle w:val="KeinLeerraum"/>
            </w:pPr>
            <w:r>
              <w:t>Figure</w:t>
            </w:r>
          </w:p>
        </w:tc>
        <w:tc>
          <w:tcPr>
            <w:tcW w:w="1640" w:type="dxa"/>
          </w:tcPr>
          <w:p w14:paraId="075DF0AD" w14:textId="77777777" w:rsidR="004323E1" w:rsidRDefault="004323E1" w:rsidP="000C6565">
            <w:pPr>
              <w:pStyle w:val="KeinLeerraum"/>
            </w:pPr>
            <w:r>
              <w:t>1</w:t>
            </w:r>
          </w:p>
        </w:tc>
      </w:tr>
      <w:tr w:rsidR="004323E1" w14:paraId="020B079C" w14:textId="77777777" w:rsidTr="000C6565">
        <w:tc>
          <w:tcPr>
            <w:tcW w:w="6450" w:type="dxa"/>
          </w:tcPr>
          <w:p w14:paraId="641E10FD" w14:textId="77777777" w:rsidR="004323E1" w:rsidRDefault="004323E1" w:rsidP="000C6565">
            <w:pPr>
              <w:pStyle w:val="KeinLeerraum"/>
            </w:pPr>
            <w:r>
              <w:t>7.16</w:t>
            </w:r>
          </w:p>
        </w:tc>
        <w:tc>
          <w:tcPr>
            <w:tcW w:w="1532" w:type="dxa"/>
          </w:tcPr>
          <w:p w14:paraId="707EB564" w14:textId="77777777" w:rsidR="004323E1" w:rsidRDefault="004323E1" w:rsidP="000C6565">
            <w:pPr>
              <w:pStyle w:val="KeinLeerraum"/>
            </w:pPr>
            <w:r>
              <w:t>Figure</w:t>
            </w:r>
          </w:p>
        </w:tc>
        <w:tc>
          <w:tcPr>
            <w:tcW w:w="1640" w:type="dxa"/>
          </w:tcPr>
          <w:p w14:paraId="4801A45B" w14:textId="77777777" w:rsidR="004323E1" w:rsidRDefault="004323E1" w:rsidP="000C6565">
            <w:pPr>
              <w:pStyle w:val="KeinLeerraum"/>
            </w:pPr>
            <w:r>
              <w:t>1</w:t>
            </w:r>
          </w:p>
        </w:tc>
      </w:tr>
      <w:tr w:rsidR="004323E1" w14:paraId="2C73CB04" w14:textId="77777777" w:rsidTr="000C6565">
        <w:tc>
          <w:tcPr>
            <w:tcW w:w="6450" w:type="dxa"/>
          </w:tcPr>
          <w:p w14:paraId="7C2FA942" w14:textId="77777777" w:rsidR="004323E1" w:rsidRDefault="004323E1" w:rsidP="000C6565">
            <w:pPr>
              <w:pStyle w:val="KeinLeerraum"/>
            </w:pPr>
            <w:r>
              <w:t>TS.1</w:t>
            </w:r>
          </w:p>
        </w:tc>
        <w:tc>
          <w:tcPr>
            <w:tcW w:w="1532" w:type="dxa"/>
          </w:tcPr>
          <w:p w14:paraId="4B7D5505" w14:textId="77777777" w:rsidR="004323E1" w:rsidRDefault="004323E1" w:rsidP="000C6565">
            <w:pPr>
              <w:pStyle w:val="KeinLeerraum"/>
            </w:pPr>
            <w:r>
              <w:t>Table</w:t>
            </w:r>
          </w:p>
        </w:tc>
        <w:tc>
          <w:tcPr>
            <w:tcW w:w="1640" w:type="dxa"/>
          </w:tcPr>
          <w:p w14:paraId="22337DF4" w14:textId="77777777" w:rsidR="004323E1" w:rsidRDefault="004323E1" w:rsidP="000C6565">
            <w:pPr>
              <w:pStyle w:val="KeinLeerraum"/>
            </w:pPr>
            <w:r>
              <w:t>1</w:t>
            </w:r>
          </w:p>
        </w:tc>
      </w:tr>
    </w:tbl>
    <w:p w14:paraId="714015F7" w14:textId="77777777" w:rsidR="004323E1" w:rsidRDefault="004323E1" w:rsidP="004323E1"/>
    <w:p w14:paraId="4297A9CE" w14:textId="77777777" w:rsidR="004323E1" w:rsidRDefault="004323E1" w:rsidP="004323E1">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25"/>
        <w:gridCol w:w="8050"/>
        <w:gridCol w:w="821"/>
      </w:tblGrid>
      <w:tr w:rsidR="004323E1" w14:paraId="2DB4CDCE" w14:textId="77777777" w:rsidTr="000C6565">
        <w:tc>
          <w:tcPr>
            <w:tcW w:w="531" w:type="dxa"/>
          </w:tcPr>
          <w:p w14:paraId="4F5A0E17" w14:textId="77777777" w:rsidR="004323E1" w:rsidRPr="00F71281" w:rsidRDefault="004323E1" w:rsidP="000C6565">
            <w:pPr>
              <w:pStyle w:val="KeinLeerraum"/>
              <w:rPr>
                <w:b/>
              </w:rPr>
            </w:pPr>
            <w:r>
              <w:rPr>
                <w:b/>
              </w:rPr>
              <w:t>#</w:t>
            </w:r>
          </w:p>
        </w:tc>
        <w:tc>
          <w:tcPr>
            <w:tcW w:w="8262" w:type="dxa"/>
          </w:tcPr>
          <w:p w14:paraId="4CDB626B" w14:textId="77777777" w:rsidR="004323E1" w:rsidRPr="00F71281" w:rsidRDefault="004323E1" w:rsidP="000C6565">
            <w:pPr>
              <w:pStyle w:val="KeinLeerraum"/>
              <w:rPr>
                <w:b/>
              </w:rPr>
            </w:pPr>
            <w:r w:rsidRPr="00F71281">
              <w:rPr>
                <w:b/>
              </w:rPr>
              <w:t>Statements</w:t>
            </w:r>
          </w:p>
        </w:tc>
        <w:tc>
          <w:tcPr>
            <w:tcW w:w="829" w:type="dxa"/>
          </w:tcPr>
          <w:p w14:paraId="175B8973" w14:textId="77777777" w:rsidR="004323E1" w:rsidRDefault="004323E1" w:rsidP="000C6565">
            <w:pPr>
              <w:pStyle w:val="KeinLeerraum"/>
            </w:pPr>
            <w:r>
              <w:t>Loc.</w:t>
            </w:r>
          </w:p>
        </w:tc>
      </w:tr>
      <w:tr w:rsidR="004323E1" w14:paraId="3A407F98" w14:textId="77777777" w:rsidTr="000C6565">
        <w:tc>
          <w:tcPr>
            <w:tcW w:w="531" w:type="dxa"/>
          </w:tcPr>
          <w:p w14:paraId="0C482730" w14:textId="77777777" w:rsidR="004323E1" w:rsidRDefault="004323E1" w:rsidP="000C6565">
            <w:pPr>
              <w:pStyle w:val="KeinLeerraum"/>
            </w:pPr>
            <w:r>
              <w:t>1</w:t>
            </w:r>
          </w:p>
        </w:tc>
        <w:tc>
          <w:tcPr>
            <w:tcW w:w="8262" w:type="dxa"/>
          </w:tcPr>
          <w:p w14:paraId="47141DA0" w14:textId="77777777" w:rsidR="004323E1" w:rsidRDefault="004323E1" w:rsidP="000C6565">
            <w:pPr>
              <w:pStyle w:val="KeinLeerraum"/>
            </w:pPr>
            <w:r>
              <w:t>The large majority of 2°C scenarios are characterized by concentration overshoot facilitated by large-scale deployment of CDR techs</w:t>
            </w:r>
          </w:p>
        </w:tc>
        <w:tc>
          <w:tcPr>
            <w:tcW w:w="829" w:type="dxa"/>
          </w:tcPr>
          <w:p w14:paraId="69C15E03" w14:textId="77777777" w:rsidR="004323E1" w:rsidRDefault="004323E1" w:rsidP="000C6565">
            <w:pPr>
              <w:pStyle w:val="KeinLeerraum"/>
            </w:pPr>
            <w:r>
              <w:t>ES</w:t>
            </w:r>
          </w:p>
        </w:tc>
      </w:tr>
      <w:tr w:rsidR="004323E1" w14:paraId="221E125D" w14:textId="77777777" w:rsidTr="000C6565">
        <w:tc>
          <w:tcPr>
            <w:tcW w:w="531" w:type="dxa"/>
          </w:tcPr>
          <w:p w14:paraId="576BB047" w14:textId="77777777" w:rsidR="004323E1" w:rsidRDefault="004323E1" w:rsidP="000C6565">
            <w:pPr>
              <w:pStyle w:val="KeinLeerraum"/>
            </w:pPr>
            <w:r>
              <w:t>2</w:t>
            </w:r>
          </w:p>
        </w:tc>
        <w:tc>
          <w:tcPr>
            <w:tcW w:w="8262" w:type="dxa"/>
          </w:tcPr>
          <w:p w14:paraId="59566743" w14:textId="77777777" w:rsidR="004323E1" w:rsidRDefault="004323E1" w:rsidP="000C6565">
            <w:pPr>
              <w:pStyle w:val="KeinLeerraum"/>
            </w:pPr>
            <w:r>
              <w:t>Various assumptions about afforestation and bioenergy production</w:t>
            </w:r>
          </w:p>
        </w:tc>
        <w:tc>
          <w:tcPr>
            <w:tcW w:w="829" w:type="dxa"/>
          </w:tcPr>
          <w:p w14:paraId="62C45C84" w14:textId="77777777" w:rsidR="004323E1" w:rsidRDefault="004323E1" w:rsidP="000C6565">
            <w:pPr>
              <w:pStyle w:val="KeinLeerraum"/>
            </w:pPr>
            <w:r>
              <w:t>ES</w:t>
            </w:r>
          </w:p>
        </w:tc>
      </w:tr>
      <w:tr w:rsidR="004323E1" w14:paraId="4DA34FAE" w14:textId="77777777" w:rsidTr="000C6565">
        <w:tc>
          <w:tcPr>
            <w:tcW w:w="531" w:type="dxa"/>
          </w:tcPr>
          <w:p w14:paraId="76B34E87" w14:textId="77777777" w:rsidR="004323E1" w:rsidRDefault="004323E1" w:rsidP="000C6565">
            <w:pPr>
              <w:pStyle w:val="KeinLeerraum"/>
            </w:pPr>
            <w:r>
              <w:t>3</w:t>
            </w:r>
          </w:p>
        </w:tc>
        <w:tc>
          <w:tcPr>
            <w:tcW w:w="8262" w:type="dxa"/>
          </w:tcPr>
          <w:p w14:paraId="57D87B97" w14:textId="77777777" w:rsidR="004323E1" w:rsidRDefault="004323E1" w:rsidP="000C6565">
            <w:pPr>
              <w:pStyle w:val="KeinLeerraum"/>
            </w:pPr>
            <w:r>
              <w:t>Uncertainty about the potential of CDR</w:t>
            </w:r>
          </w:p>
        </w:tc>
        <w:tc>
          <w:tcPr>
            <w:tcW w:w="829" w:type="dxa"/>
          </w:tcPr>
          <w:p w14:paraId="270A3516" w14:textId="77777777" w:rsidR="004323E1" w:rsidRDefault="004323E1" w:rsidP="000C6565">
            <w:pPr>
              <w:pStyle w:val="KeinLeerraum"/>
            </w:pPr>
            <w:r>
              <w:t>ES</w:t>
            </w:r>
          </w:p>
        </w:tc>
      </w:tr>
    </w:tbl>
    <w:p w14:paraId="0D349304" w14:textId="77777777" w:rsidR="003C2A33" w:rsidRPr="008E2000" w:rsidRDefault="003C2A33" w:rsidP="008E2000">
      <w:pPr>
        <w:pStyle w:val="berschrift1"/>
      </w:pPr>
    </w:p>
    <w:p w14:paraId="34F8BAE6" w14:textId="77777777" w:rsidR="00ED6FAC" w:rsidRPr="00101EA0" w:rsidRDefault="00ED6FAC" w:rsidP="00ED6FAC">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1"/>
        <w:gridCol w:w="1825"/>
      </w:tblGrid>
      <w:tr w:rsidR="00ED6FAC" w14:paraId="537DD21B" w14:textId="77777777" w:rsidTr="003C2A33">
        <w:tc>
          <w:tcPr>
            <w:tcW w:w="7763" w:type="dxa"/>
          </w:tcPr>
          <w:p w14:paraId="4526D71B" w14:textId="77777777" w:rsidR="00ED6FAC" w:rsidRPr="00FE4BC7" w:rsidRDefault="00ED6FAC" w:rsidP="003C2A33">
            <w:pPr>
              <w:pStyle w:val="KeinLeerraum"/>
              <w:rPr>
                <w:b/>
              </w:rPr>
            </w:pPr>
            <w:r w:rsidRPr="00FE4BC7">
              <w:rPr>
                <w:b/>
              </w:rPr>
              <w:t>Keyword</w:t>
            </w:r>
          </w:p>
        </w:tc>
        <w:tc>
          <w:tcPr>
            <w:tcW w:w="1859" w:type="dxa"/>
          </w:tcPr>
          <w:p w14:paraId="7E170092" w14:textId="77777777" w:rsidR="00ED6FAC" w:rsidRPr="00FE4BC7" w:rsidRDefault="00ED6FAC" w:rsidP="003C2A33">
            <w:pPr>
              <w:pStyle w:val="KeinLeerraum"/>
              <w:rPr>
                <w:b/>
              </w:rPr>
            </w:pPr>
            <w:r w:rsidRPr="00FE4BC7">
              <w:rPr>
                <w:b/>
              </w:rPr>
              <w:t>Count</w:t>
            </w:r>
          </w:p>
        </w:tc>
      </w:tr>
      <w:tr w:rsidR="00ED6FAC" w14:paraId="31C432BE" w14:textId="77777777" w:rsidTr="003C2A33">
        <w:tc>
          <w:tcPr>
            <w:tcW w:w="7763" w:type="dxa"/>
          </w:tcPr>
          <w:p w14:paraId="1CF23366" w14:textId="77777777" w:rsidR="00ED6FAC" w:rsidRPr="00B80049" w:rsidRDefault="00ED6FAC" w:rsidP="003C2A33">
            <w:pPr>
              <w:pStyle w:val="KeinLeerraum"/>
              <w:rPr>
                <w:b/>
              </w:rPr>
            </w:pPr>
            <w:r w:rsidRPr="00B80049">
              <w:rPr>
                <w:b/>
                <w:color w:val="7030A0"/>
              </w:rPr>
              <w:t>Negative emission</w:t>
            </w:r>
          </w:p>
        </w:tc>
        <w:tc>
          <w:tcPr>
            <w:tcW w:w="1859" w:type="dxa"/>
          </w:tcPr>
          <w:p w14:paraId="12AA7E83" w14:textId="77777777" w:rsidR="00ED6FAC" w:rsidRDefault="00577D4B" w:rsidP="003C2A33">
            <w:pPr>
              <w:pStyle w:val="KeinLeerraum"/>
            </w:pPr>
            <w:r>
              <w:t>33</w:t>
            </w:r>
          </w:p>
        </w:tc>
      </w:tr>
      <w:tr w:rsidR="00ED6FAC" w14:paraId="315D0B02" w14:textId="77777777" w:rsidTr="003C2A33">
        <w:tc>
          <w:tcPr>
            <w:tcW w:w="7763" w:type="dxa"/>
          </w:tcPr>
          <w:p w14:paraId="4EDB83FB" w14:textId="77777777" w:rsidR="00ED6FAC" w:rsidRPr="00B80049" w:rsidRDefault="00ED6FAC" w:rsidP="003C2A33">
            <w:pPr>
              <w:pStyle w:val="KeinLeerraum"/>
              <w:rPr>
                <w:b/>
              </w:rPr>
            </w:pPr>
            <w:r>
              <w:rPr>
                <w:b/>
                <w:color w:val="00B050"/>
              </w:rPr>
              <w:t>C</w:t>
            </w:r>
            <w:r w:rsidRPr="00B80049">
              <w:rPr>
                <w:b/>
                <w:color w:val="00B050"/>
              </w:rPr>
              <w:t>arbon dioxide removal/CDR</w:t>
            </w:r>
          </w:p>
        </w:tc>
        <w:tc>
          <w:tcPr>
            <w:tcW w:w="1859" w:type="dxa"/>
          </w:tcPr>
          <w:p w14:paraId="56630FAC" w14:textId="77777777" w:rsidR="00ED6FAC" w:rsidRDefault="00ED6FAC" w:rsidP="003C2A33">
            <w:pPr>
              <w:pStyle w:val="KeinLeerraum"/>
            </w:pPr>
            <w:r>
              <w:t>75</w:t>
            </w:r>
          </w:p>
        </w:tc>
      </w:tr>
      <w:tr w:rsidR="00ED6FAC" w14:paraId="6769ADB6" w14:textId="77777777" w:rsidTr="003C2A33">
        <w:tc>
          <w:tcPr>
            <w:tcW w:w="7763" w:type="dxa"/>
          </w:tcPr>
          <w:p w14:paraId="597C172E" w14:textId="77777777" w:rsidR="00ED6FAC" w:rsidRPr="00B80049" w:rsidRDefault="00ED6FAC" w:rsidP="003C2A33">
            <w:pPr>
              <w:pStyle w:val="KeinLeerraum"/>
              <w:rPr>
                <w:b/>
              </w:rPr>
            </w:pPr>
            <w:r w:rsidRPr="00B80049">
              <w:rPr>
                <w:b/>
                <w:color w:val="F79646" w:themeColor="accent6"/>
              </w:rPr>
              <w:t>Bioenergy with carbon and capture/BECCS</w:t>
            </w:r>
          </w:p>
        </w:tc>
        <w:tc>
          <w:tcPr>
            <w:tcW w:w="1859" w:type="dxa"/>
          </w:tcPr>
          <w:p w14:paraId="0892162F" w14:textId="77777777" w:rsidR="00ED6FAC" w:rsidRDefault="00577D4B" w:rsidP="003C2A33">
            <w:pPr>
              <w:pStyle w:val="KeinLeerraum"/>
            </w:pPr>
            <w:r>
              <w:t>53</w:t>
            </w:r>
          </w:p>
        </w:tc>
      </w:tr>
      <w:tr w:rsidR="00ED6FAC" w14:paraId="6DBD0A34" w14:textId="77777777" w:rsidTr="003C2A33">
        <w:tc>
          <w:tcPr>
            <w:tcW w:w="7763" w:type="dxa"/>
          </w:tcPr>
          <w:p w14:paraId="5C3A1880" w14:textId="77777777" w:rsidR="00ED6FAC" w:rsidRPr="00B80049" w:rsidRDefault="00ED6FAC" w:rsidP="003C2A33">
            <w:pPr>
              <w:pStyle w:val="KeinLeerraum"/>
              <w:rPr>
                <w:b/>
              </w:rPr>
            </w:pPr>
            <w:r w:rsidRPr="00B80049">
              <w:rPr>
                <w:b/>
                <w:color w:val="0070C0"/>
              </w:rPr>
              <w:t>Afforestation</w:t>
            </w:r>
          </w:p>
        </w:tc>
        <w:tc>
          <w:tcPr>
            <w:tcW w:w="1859" w:type="dxa"/>
          </w:tcPr>
          <w:p w14:paraId="3BCACA3B" w14:textId="77777777" w:rsidR="00ED6FAC" w:rsidRDefault="003115D5" w:rsidP="003C2A33">
            <w:pPr>
              <w:pStyle w:val="KeinLeerraum"/>
            </w:pPr>
            <w:r>
              <w:t>31</w:t>
            </w:r>
          </w:p>
        </w:tc>
      </w:tr>
    </w:tbl>
    <w:p w14:paraId="083D65C1" w14:textId="77777777" w:rsidR="00ED6FAC" w:rsidRDefault="00ED6FAC" w:rsidP="00ED6FAC"/>
    <w:tbl>
      <w:tblPr>
        <w:tblStyle w:val="Tabellenraster"/>
        <w:tblW w:w="0" w:type="auto"/>
        <w:tblLook w:val="04A0" w:firstRow="1" w:lastRow="0" w:firstColumn="1" w:lastColumn="0" w:noHBand="0" w:noVBand="1"/>
      </w:tblPr>
      <w:tblGrid>
        <w:gridCol w:w="6275"/>
        <w:gridCol w:w="1510"/>
        <w:gridCol w:w="1611"/>
      </w:tblGrid>
      <w:tr w:rsidR="00EB68A0" w14:paraId="7A18E554" w14:textId="77777777" w:rsidTr="00EB68A0">
        <w:tc>
          <w:tcPr>
            <w:tcW w:w="6450" w:type="dxa"/>
          </w:tcPr>
          <w:p w14:paraId="36755024" w14:textId="77777777" w:rsidR="00EB68A0" w:rsidRPr="00FE4BC7" w:rsidRDefault="00EB68A0" w:rsidP="003C2A33">
            <w:pPr>
              <w:pStyle w:val="KeinLeerraum"/>
              <w:rPr>
                <w:b/>
              </w:rPr>
            </w:pPr>
            <w:r>
              <w:rPr>
                <w:b/>
              </w:rPr>
              <w:t>IPCC references</w:t>
            </w:r>
          </w:p>
        </w:tc>
        <w:tc>
          <w:tcPr>
            <w:tcW w:w="1532" w:type="dxa"/>
          </w:tcPr>
          <w:p w14:paraId="4D90434E" w14:textId="77777777" w:rsidR="00EB68A0" w:rsidRPr="00FE4BC7" w:rsidRDefault="00EB68A0" w:rsidP="003C2A33">
            <w:pPr>
              <w:pStyle w:val="KeinLeerraum"/>
              <w:rPr>
                <w:b/>
              </w:rPr>
            </w:pPr>
            <w:r>
              <w:rPr>
                <w:b/>
              </w:rPr>
              <w:t>Type</w:t>
            </w:r>
          </w:p>
        </w:tc>
        <w:tc>
          <w:tcPr>
            <w:tcW w:w="1640" w:type="dxa"/>
          </w:tcPr>
          <w:p w14:paraId="3272D317" w14:textId="77777777" w:rsidR="00EB68A0" w:rsidRPr="00FE4BC7" w:rsidRDefault="00EB68A0" w:rsidP="003C2A33">
            <w:pPr>
              <w:pStyle w:val="KeinLeerraum"/>
              <w:rPr>
                <w:b/>
              </w:rPr>
            </w:pPr>
            <w:r w:rsidRPr="00FE4BC7">
              <w:rPr>
                <w:b/>
              </w:rPr>
              <w:t>Count</w:t>
            </w:r>
          </w:p>
        </w:tc>
      </w:tr>
      <w:tr w:rsidR="00EB68A0" w14:paraId="2BD6BF25" w14:textId="77777777" w:rsidTr="00EB68A0">
        <w:tc>
          <w:tcPr>
            <w:tcW w:w="6450" w:type="dxa"/>
          </w:tcPr>
          <w:p w14:paraId="2822CEC3" w14:textId="77777777" w:rsidR="00EB68A0" w:rsidRDefault="00EB68A0" w:rsidP="003C2A33">
            <w:pPr>
              <w:pStyle w:val="KeinLeerraum"/>
            </w:pPr>
            <w:r>
              <w:t>6.3</w:t>
            </w:r>
          </w:p>
        </w:tc>
        <w:tc>
          <w:tcPr>
            <w:tcW w:w="1532" w:type="dxa"/>
          </w:tcPr>
          <w:p w14:paraId="5A62E36F" w14:textId="77777777" w:rsidR="00EB68A0" w:rsidRDefault="00EB68A0" w:rsidP="003C2A33">
            <w:pPr>
              <w:pStyle w:val="KeinLeerraum"/>
            </w:pPr>
            <w:r>
              <w:t>Section</w:t>
            </w:r>
          </w:p>
        </w:tc>
        <w:tc>
          <w:tcPr>
            <w:tcW w:w="1640" w:type="dxa"/>
          </w:tcPr>
          <w:p w14:paraId="1EBBF5F0" w14:textId="77777777" w:rsidR="00EB68A0" w:rsidRDefault="00EB68A0" w:rsidP="003C2A33">
            <w:pPr>
              <w:pStyle w:val="KeinLeerraum"/>
            </w:pPr>
            <w:r>
              <w:t>2</w:t>
            </w:r>
          </w:p>
        </w:tc>
      </w:tr>
      <w:tr w:rsidR="00EB68A0" w14:paraId="3F42966D" w14:textId="77777777" w:rsidTr="00EB68A0">
        <w:tc>
          <w:tcPr>
            <w:tcW w:w="6450" w:type="dxa"/>
          </w:tcPr>
          <w:p w14:paraId="686FC8CE" w14:textId="77777777" w:rsidR="00EB68A0" w:rsidRDefault="00EB68A0" w:rsidP="003C2A33">
            <w:pPr>
              <w:pStyle w:val="KeinLeerraum"/>
            </w:pPr>
            <w:r>
              <w:t>6.8</w:t>
            </w:r>
          </w:p>
        </w:tc>
        <w:tc>
          <w:tcPr>
            <w:tcW w:w="1532" w:type="dxa"/>
          </w:tcPr>
          <w:p w14:paraId="237762ED" w14:textId="77777777" w:rsidR="00EB68A0" w:rsidRDefault="00EB68A0" w:rsidP="003C2A33">
            <w:pPr>
              <w:pStyle w:val="KeinLeerraum"/>
            </w:pPr>
            <w:r>
              <w:t>Section</w:t>
            </w:r>
          </w:p>
        </w:tc>
        <w:tc>
          <w:tcPr>
            <w:tcW w:w="1640" w:type="dxa"/>
          </w:tcPr>
          <w:p w14:paraId="361ADAA4" w14:textId="77777777" w:rsidR="00EB68A0" w:rsidRDefault="00EB68A0" w:rsidP="003C2A33">
            <w:pPr>
              <w:pStyle w:val="KeinLeerraum"/>
            </w:pPr>
            <w:r>
              <w:t>1</w:t>
            </w:r>
          </w:p>
        </w:tc>
      </w:tr>
      <w:tr w:rsidR="00EB68A0" w14:paraId="235A6DA6" w14:textId="77777777" w:rsidTr="00EB68A0">
        <w:tc>
          <w:tcPr>
            <w:tcW w:w="6450" w:type="dxa"/>
          </w:tcPr>
          <w:p w14:paraId="7891AD0F" w14:textId="77777777" w:rsidR="00EB68A0" w:rsidRDefault="00EB68A0" w:rsidP="003C2A33">
            <w:pPr>
              <w:pStyle w:val="KeinLeerraum"/>
            </w:pPr>
            <w:r>
              <w:t>6.9</w:t>
            </w:r>
          </w:p>
        </w:tc>
        <w:tc>
          <w:tcPr>
            <w:tcW w:w="1532" w:type="dxa"/>
          </w:tcPr>
          <w:p w14:paraId="07A91402" w14:textId="77777777" w:rsidR="00EB68A0" w:rsidRDefault="00EB68A0" w:rsidP="003C2A33">
            <w:pPr>
              <w:pStyle w:val="KeinLeerraum"/>
            </w:pPr>
            <w:r>
              <w:t>Section</w:t>
            </w:r>
          </w:p>
        </w:tc>
        <w:tc>
          <w:tcPr>
            <w:tcW w:w="1640" w:type="dxa"/>
          </w:tcPr>
          <w:p w14:paraId="7C71586E" w14:textId="77777777" w:rsidR="00EB68A0" w:rsidRDefault="00EB68A0" w:rsidP="003C2A33">
            <w:pPr>
              <w:pStyle w:val="KeinLeerraum"/>
            </w:pPr>
            <w:r>
              <w:t>2</w:t>
            </w:r>
          </w:p>
        </w:tc>
      </w:tr>
      <w:tr w:rsidR="00EB68A0" w14:paraId="2B80D9E3" w14:textId="77777777" w:rsidTr="00EB68A0">
        <w:tc>
          <w:tcPr>
            <w:tcW w:w="6450" w:type="dxa"/>
          </w:tcPr>
          <w:p w14:paraId="5F2D2C2E" w14:textId="77777777" w:rsidR="00EB68A0" w:rsidRDefault="00EB68A0" w:rsidP="003C2A33">
            <w:pPr>
              <w:pStyle w:val="KeinLeerraum"/>
            </w:pPr>
            <w:r>
              <w:t>7.5.5</w:t>
            </w:r>
          </w:p>
        </w:tc>
        <w:tc>
          <w:tcPr>
            <w:tcW w:w="1532" w:type="dxa"/>
          </w:tcPr>
          <w:p w14:paraId="6304C75C" w14:textId="77777777" w:rsidR="00EB68A0" w:rsidRDefault="00EB68A0" w:rsidP="003C2A33">
            <w:pPr>
              <w:pStyle w:val="KeinLeerraum"/>
            </w:pPr>
            <w:r>
              <w:t>Section</w:t>
            </w:r>
          </w:p>
        </w:tc>
        <w:tc>
          <w:tcPr>
            <w:tcW w:w="1640" w:type="dxa"/>
          </w:tcPr>
          <w:p w14:paraId="49610EC8" w14:textId="77777777" w:rsidR="00EB68A0" w:rsidRDefault="00EB68A0" w:rsidP="003C2A33">
            <w:pPr>
              <w:pStyle w:val="KeinLeerraum"/>
            </w:pPr>
            <w:r>
              <w:t>1</w:t>
            </w:r>
          </w:p>
        </w:tc>
      </w:tr>
      <w:tr w:rsidR="00EB68A0" w14:paraId="2CF92A6E" w14:textId="77777777" w:rsidTr="00EB68A0">
        <w:tc>
          <w:tcPr>
            <w:tcW w:w="6450" w:type="dxa"/>
          </w:tcPr>
          <w:p w14:paraId="09339B08" w14:textId="77777777" w:rsidR="00EB68A0" w:rsidRDefault="00EB68A0" w:rsidP="003C2A33">
            <w:pPr>
              <w:pStyle w:val="KeinLeerraum"/>
            </w:pPr>
            <w:r>
              <w:t>7.9</w:t>
            </w:r>
          </w:p>
        </w:tc>
        <w:tc>
          <w:tcPr>
            <w:tcW w:w="1532" w:type="dxa"/>
          </w:tcPr>
          <w:p w14:paraId="1BCF32E9" w14:textId="77777777" w:rsidR="00EB68A0" w:rsidRDefault="00EB68A0" w:rsidP="003C2A33">
            <w:pPr>
              <w:pStyle w:val="KeinLeerraum"/>
            </w:pPr>
            <w:r>
              <w:t>Section</w:t>
            </w:r>
          </w:p>
        </w:tc>
        <w:tc>
          <w:tcPr>
            <w:tcW w:w="1640" w:type="dxa"/>
          </w:tcPr>
          <w:p w14:paraId="76E0E68A" w14:textId="77777777" w:rsidR="00EB68A0" w:rsidRDefault="00EB68A0" w:rsidP="003C2A33">
            <w:pPr>
              <w:pStyle w:val="KeinLeerraum"/>
            </w:pPr>
            <w:r>
              <w:t>1</w:t>
            </w:r>
          </w:p>
        </w:tc>
      </w:tr>
      <w:tr w:rsidR="00EB68A0" w14:paraId="34B1D976" w14:textId="77777777" w:rsidTr="00EB68A0">
        <w:tc>
          <w:tcPr>
            <w:tcW w:w="6450" w:type="dxa"/>
          </w:tcPr>
          <w:p w14:paraId="6DDD7FD2" w14:textId="77777777" w:rsidR="00EB68A0" w:rsidRDefault="00EB68A0" w:rsidP="003C2A33">
            <w:pPr>
              <w:pStyle w:val="KeinLeerraum"/>
            </w:pPr>
            <w:r>
              <w:t>7.11</w:t>
            </w:r>
          </w:p>
        </w:tc>
        <w:tc>
          <w:tcPr>
            <w:tcW w:w="1532" w:type="dxa"/>
          </w:tcPr>
          <w:p w14:paraId="657D8E87" w14:textId="77777777" w:rsidR="00EB68A0" w:rsidRDefault="00EB68A0" w:rsidP="003C2A33">
            <w:pPr>
              <w:pStyle w:val="KeinLeerraum"/>
            </w:pPr>
            <w:r>
              <w:t>Section</w:t>
            </w:r>
          </w:p>
        </w:tc>
        <w:tc>
          <w:tcPr>
            <w:tcW w:w="1640" w:type="dxa"/>
          </w:tcPr>
          <w:p w14:paraId="1CD1B8F9" w14:textId="77777777" w:rsidR="00EB68A0" w:rsidRDefault="00EB68A0" w:rsidP="003C2A33">
            <w:pPr>
              <w:pStyle w:val="KeinLeerraum"/>
            </w:pPr>
            <w:r>
              <w:t>1</w:t>
            </w:r>
          </w:p>
        </w:tc>
      </w:tr>
      <w:tr w:rsidR="00EB68A0" w14:paraId="37AA42A5" w14:textId="77777777" w:rsidTr="00EB68A0">
        <w:tc>
          <w:tcPr>
            <w:tcW w:w="6450" w:type="dxa"/>
          </w:tcPr>
          <w:p w14:paraId="25F055C4" w14:textId="77777777" w:rsidR="00EB68A0" w:rsidRDefault="00EB68A0" w:rsidP="003C2A33">
            <w:pPr>
              <w:pStyle w:val="KeinLeerraum"/>
            </w:pPr>
            <w:r>
              <w:t>11.13</w:t>
            </w:r>
          </w:p>
        </w:tc>
        <w:tc>
          <w:tcPr>
            <w:tcW w:w="1532" w:type="dxa"/>
          </w:tcPr>
          <w:p w14:paraId="10170823" w14:textId="77777777" w:rsidR="00EB68A0" w:rsidRDefault="00EB68A0" w:rsidP="00B45854">
            <w:pPr>
              <w:pStyle w:val="KeinLeerraum"/>
            </w:pPr>
            <w:r>
              <w:t>Section</w:t>
            </w:r>
          </w:p>
        </w:tc>
        <w:tc>
          <w:tcPr>
            <w:tcW w:w="1640" w:type="dxa"/>
          </w:tcPr>
          <w:p w14:paraId="5E9FE893" w14:textId="77777777" w:rsidR="00EB68A0" w:rsidRDefault="00EB68A0" w:rsidP="003C2A33">
            <w:pPr>
              <w:pStyle w:val="KeinLeerraum"/>
            </w:pPr>
            <w:r>
              <w:t>2</w:t>
            </w:r>
          </w:p>
        </w:tc>
      </w:tr>
      <w:tr w:rsidR="00EB68A0" w14:paraId="66951E67" w14:textId="77777777" w:rsidTr="00EB68A0">
        <w:tc>
          <w:tcPr>
            <w:tcW w:w="6450" w:type="dxa"/>
          </w:tcPr>
          <w:p w14:paraId="19CB755B" w14:textId="77777777" w:rsidR="00EB68A0" w:rsidRDefault="00EB68A0" w:rsidP="003C2A33">
            <w:pPr>
              <w:pStyle w:val="KeinLeerraum"/>
            </w:pPr>
            <w:r>
              <w:t>13.13.1.3</w:t>
            </w:r>
          </w:p>
        </w:tc>
        <w:tc>
          <w:tcPr>
            <w:tcW w:w="1532" w:type="dxa"/>
          </w:tcPr>
          <w:p w14:paraId="2D61ED7D" w14:textId="77777777" w:rsidR="00EB68A0" w:rsidRDefault="00EB68A0" w:rsidP="00B45854">
            <w:pPr>
              <w:pStyle w:val="KeinLeerraum"/>
            </w:pPr>
            <w:r>
              <w:t>Section</w:t>
            </w:r>
          </w:p>
        </w:tc>
        <w:tc>
          <w:tcPr>
            <w:tcW w:w="1640" w:type="dxa"/>
          </w:tcPr>
          <w:p w14:paraId="20E0AE8D" w14:textId="77777777" w:rsidR="00EB68A0" w:rsidRDefault="00EB68A0" w:rsidP="003C2A33">
            <w:pPr>
              <w:pStyle w:val="KeinLeerraum"/>
            </w:pPr>
            <w:r>
              <w:t>2</w:t>
            </w:r>
          </w:p>
        </w:tc>
      </w:tr>
      <w:tr w:rsidR="00EB68A0" w14:paraId="1E6D68E3" w14:textId="77777777" w:rsidTr="00EB68A0">
        <w:tc>
          <w:tcPr>
            <w:tcW w:w="6450" w:type="dxa"/>
          </w:tcPr>
          <w:p w14:paraId="01BC44B1" w14:textId="77777777" w:rsidR="00EB68A0" w:rsidRDefault="00EB68A0" w:rsidP="003C2A33">
            <w:pPr>
              <w:pStyle w:val="KeinLeerraum"/>
            </w:pPr>
            <w:r>
              <w:t>TS.8 (left panel)</w:t>
            </w:r>
          </w:p>
        </w:tc>
        <w:tc>
          <w:tcPr>
            <w:tcW w:w="1532" w:type="dxa"/>
          </w:tcPr>
          <w:p w14:paraId="2EA3E3AA" w14:textId="77777777" w:rsidR="00EB68A0" w:rsidRDefault="00EB68A0" w:rsidP="003C2A33">
            <w:pPr>
              <w:pStyle w:val="KeinLeerraum"/>
            </w:pPr>
            <w:r>
              <w:t>Figure</w:t>
            </w:r>
          </w:p>
        </w:tc>
        <w:tc>
          <w:tcPr>
            <w:tcW w:w="1640" w:type="dxa"/>
          </w:tcPr>
          <w:p w14:paraId="6061AE6D" w14:textId="77777777" w:rsidR="00EB68A0" w:rsidRDefault="002A537E" w:rsidP="003C2A33">
            <w:pPr>
              <w:pStyle w:val="KeinLeerraum"/>
            </w:pPr>
            <w:r>
              <w:t>1</w:t>
            </w:r>
          </w:p>
        </w:tc>
      </w:tr>
      <w:tr w:rsidR="00EB68A0" w14:paraId="125AE21D" w14:textId="77777777" w:rsidTr="00EB68A0">
        <w:tc>
          <w:tcPr>
            <w:tcW w:w="6450" w:type="dxa"/>
          </w:tcPr>
          <w:p w14:paraId="665D8569" w14:textId="77777777" w:rsidR="00EB68A0" w:rsidRDefault="002A537E" w:rsidP="003C2A33">
            <w:pPr>
              <w:pStyle w:val="KeinLeerraum"/>
            </w:pPr>
            <w:r>
              <w:t>TS.17</w:t>
            </w:r>
          </w:p>
        </w:tc>
        <w:tc>
          <w:tcPr>
            <w:tcW w:w="1532" w:type="dxa"/>
          </w:tcPr>
          <w:p w14:paraId="2CD3E8C9" w14:textId="77777777" w:rsidR="00EB68A0" w:rsidRDefault="002A537E" w:rsidP="003C2A33">
            <w:pPr>
              <w:pStyle w:val="KeinLeerraum"/>
            </w:pPr>
            <w:r>
              <w:t>Figure</w:t>
            </w:r>
          </w:p>
        </w:tc>
        <w:tc>
          <w:tcPr>
            <w:tcW w:w="1640" w:type="dxa"/>
          </w:tcPr>
          <w:p w14:paraId="5896201D" w14:textId="77777777" w:rsidR="00EB68A0" w:rsidRDefault="002A537E" w:rsidP="003C2A33">
            <w:pPr>
              <w:pStyle w:val="KeinLeerraum"/>
            </w:pPr>
            <w:r>
              <w:t>1</w:t>
            </w:r>
          </w:p>
        </w:tc>
      </w:tr>
      <w:tr w:rsidR="002A537E" w14:paraId="130F5A91" w14:textId="77777777" w:rsidTr="00EB68A0">
        <w:tc>
          <w:tcPr>
            <w:tcW w:w="6450" w:type="dxa"/>
          </w:tcPr>
          <w:p w14:paraId="43A12363" w14:textId="77777777" w:rsidR="002A537E" w:rsidRDefault="002A537E" w:rsidP="00B45854">
            <w:pPr>
              <w:pStyle w:val="KeinLeerraum"/>
            </w:pPr>
            <w:r>
              <w:t>6.7</w:t>
            </w:r>
          </w:p>
        </w:tc>
        <w:tc>
          <w:tcPr>
            <w:tcW w:w="1532" w:type="dxa"/>
          </w:tcPr>
          <w:p w14:paraId="17D7774A" w14:textId="77777777" w:rsidR="002A537E" w:rsidRDefault="002A537E" w:rsidP="003C2A33">
            <w:pPr>
              <w:pStyle w:val="KeinLeerraum"/>
            </w:pPr>
            <w:r>
              <w:t>Figure</w:t>
            </w:r>
          </w:p>
        </w:tc>
        <w:tc>
          <w:tcPr>
            <w:tcW w:w="1640" w:type="dxa"/>
          </w:tcPr>
          <w:p w14:paraId="4008220E" w14:textId="77777777" w:rsidR="002A537E" w:rsidRDefault="002A537E" w:rsidP="003C2A33">
            <w:pPr>
              <w:pStyle w:val="KeinLeerraum"/>
            </w:pPr>
            <w:r>
              <w:t>1</w:t>
            </w:r>
          </w:p>
        </w:tc>
      </w:tr>
      <w:tr w:rsidR="002A537E" w14:paraId="5A3E9458" w14:textId="77777777" w:rsidTr="00EB68A0">
        <w:tc>
          <w:tcPr>
            <w:tcW w:w="6450" w:type="dxa"/>
          </w:tcPr>
          <w:p w14:paraId="4F121A3B" w14:textId="77777777" w:rsidR="002A537E" w:rsidRDefault="002A537E" w:rsidP="00B45854">
            <w:pPr>
              <w:pStyle w:val="KeinLeerraum"/>
            </w:pPr>
            <w:r>
              <w:t>6.31</w:t>
            </w:r>
          </w:p>
        </w:tc>
        <w:tc>
          <w:tcPr>
            <w:tcW w:w="1532" w:type="dxa"/>
          </w:tcPr>
          <w:p w14:paraId="0485340F" w14:textId="77777777" w:rsidR="002A537E" w:rsidRDefault="002A537E" w:rsidP="003C2A33">
            <w:pPr>
              <w:pStyle w:val="KeinLeerraum"/>
            </w:pPr>
            <w:r>
              <w:t>Figure</w:t>
            </w:r>
          </w:p>
        </w:tc>
        <w:tc>
          <w:tcPr>
            <w:tcW w:w="1640" w:type="dxa"/>
          </w:tcPr>
          <w:p w14:paraId="052AE923" w14:textId="77777777" w:rsidR="002A537E" w:rsidRDefault="002A537E" w:rsidP="003C2A33">
            <w:pPr>
              <w:pStyle w:val="KeinLeerraum"/>
            </w:pPr>
            <w:r>
              <w:t>1</w:t>
            </w:r>
          </w:p>
        </w:tc>
      </w:tr>
      <w:tr w:rsidR="002A537E" w14:paraId="17027CAF" w14:textId="77777777" w:rsidTr="00EB68A0">
        <w:tc>
          <w:tcPr>
            <w:tcW w:w="6450" w:type="dxa"/>
          </w:tcPr>
          <w:p w14:paraId="2DCDC963" w14:textId="77777777" w:rsidR="002A537E" w:rsidRDefault="002A537E" w:rsidP="00B45854">
            <w:pPr>
              <w:pStyle w:val="KeinLeerraum"/>
            </w:pPr>
            <w:r>
              <w:t>6.32</w:t>
            </w:r>
          </w:p>
        </w:tc>
        <w:tc>
          <w:tcPr>
            <w:tcW w:w="1532" w:type="dxa"/>
          </w:tcPr>
          <w:p w14:paraId="4AB3B780" w14:textId="77777777" w:rsidR="002A537E" w:rsidRDefault="002A537E" w:rsidP="003C2A33">
            <w:pPr>
              <w:pStyle w:val="KeinLeerraum"/>
            </w:pPr>
            <w:r>
              <w:t>Figure</w:t>
            </w:r>
          </w:p>
        </w:tc>
        <w:tc>
          <w:tcPr>
            <w:tcW w:w="1640" w:type="dxa"/>
          </w:tcPr>
          <w:p w14:paraId="6B938FDA" w14:textId="77777777" w:rsidR="002A537E" w:rsidRDefault="002A537E" w:rsidP="003C2A33">
            <w:pPr>
              <w:pStyle w:val="KeinLeerraum"/>
            </w:pPr>
            <w:r>
              <w:t>1</w:t>
            </w:r>
          </w:p>
        </w:tc>
      </w:tr>
      <w:tr w:rsidR="002A537E" w14:paraId="63846620" w14:textId="77777777" w:rsidTr="00EB68A0">
        <w:tc>
          <w:tcPr>
            <w:tcW w:w="6450" w:type="dxa"/>
          </w:tcPr>
          <w:p w14:paraId="5575FAFF" w14:textId="77777777" w:rsidR="002A537E" w:rsidRDefault="002A537E" w:rsidP="00B45854">
            <w:pPr>
              <w:pStyle w:val="KeinLeerraum"/>
            </w:pPr>
            <w:r>
              <w:t>7.16</w:t>
            </w:r>
          </w:p>
        </w:tc>
        <w:tc>
          <w:tcPr>
            <w:tcW w:w="1532" w:type="dxa"/>
          </w:tcPr>
          <w:p w14:paraId="2A2AF609" w14:textId="77777777" w:rsidR="002A537E" w:rsidRDefault="002A537E" w:rsidP="003C2A33">
            <w:pPr>
              <w:pStyle w:val="KeinLeerraum"/>
            </w:pPr>
            <w:r>
              <w:t>Figure</w:t>
            </w:r>
          </w:p>
        </w:tc>
        <w:tc>
          <w:tcPr>
            <w:tcW w:w="1640" w:type="dxa"/>
          </w:tcPr>
          <w:p w14:paraId="4D2D723D" w14:textId="77777777" w:rsidR="002A537E" w:rsidRDefault="002A537E" w:rsidP="003C2A33">
            <w:pPr>
              <w:pStyle w:val="KeinLeerraum"/>
            </w:pPr>
            <w:r>
              <w:t>1</w:t>
            </w:r>
          </w:p>
        </w:tc>
      </w:tr>
      <w:tr w:rsidR="002A537E" w14:paraId="7F902E78" w14:textId="77777777" w:rsidTr="00EB68A0">
        <w:tc>
          <w:tcPr>
            <w:tcW w:w="6450" w:type="dxa"/>
          </w:tcPr>
          <w:p w14:paraId="694EBCE7" w14:textId="77777777" w:rsidR="002A537E" w:rsidRDefault="002A537E" w:rsidP="00B45854">
            <w:pPr>
              <w:pStyle w:val="KeinLeerraum"/>
            </w:pPr>
            <w:r>
              <w:lastRenderedPageBreak/>
              <w:t>TS.1</w:t>
            </w:r>
          </w:p>
        </w:tc>
        <w:tc>
          <w:tcPr>
            <w:tcW w:w="1532" w:type="dxa"/>
          </w:tcPr>
          <w:p w14:paraId="0CB1DD9C" w14:textId="77777777" w:rsidR="002A537E" w:rsidRDefault="002A537E" w:rsidP="003C2A33">
            <w:pPr>
              <w:pStyle w:val="KeinLeerraum"/>
            </w:pPr>
            <w:r>
              <w:t>Table</w:t>
            </w:r>
          </w:p>
        </w:tc>
        <w:tc>
          <w:tcPr>
            <w:tcW w:w="1640" w:type="dxa"/>
          </w:tcPr>
          <w:p w14:paraId="1E8F6E89" w14:textId="77777777" w:rsidR="002A537E" w:rsidRDefault="002A537E" w:rsidP="003C2A33">
            <w:pPr>
              <w:pStyle w:val="KeinLeerraum"/>
            </w:pPr>
            <w:r>
              <w:t>1</w:t>
            </w:r>
          </w:p>
        </w:tc>
      </w:tr>
    </w:tbl>
    <w:p w14:paraId="5953B458" w14:textId="77777777" w:rsidR="00ED6FAC" w:rsidRDefault="00ED6FAC" w:rsidP="00ED6FAC"/>
    <w:p w14:paraId="7B3A6C75" w14:textId="77777777" w:rsidR="00ED6FAC" w:rsidRDefault="00ED6FAC" w:rsidP="00ED6FAC">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28"/>
        <w:gridCol w:w="8039"/>
        <w:gridCol w:w="829"/>
      </w:tblGrid>
      <w:tr w:rsidR="00ED6FAC" w14:paraId="4F471934" w14:textId="77777777" w:rsidTr="000F1568">
        <w:tc>
          <w:tcPr>
            <w:tcW w:w="531" w:type="dxa"/>
          </w:tcPr>
          <w:p w14:paraId="0B5FB234" w14:textId="77777777" w:rsidR="00ED6FAC" w:rsidRPr="00F71281" w:rsidRDefault="00ED6FAC" w:rsidP="003C2A33">
            <w:pPr>
              <w:pStyle w:val="KeinLeerraum"/>
              <w:rPr>
                <w:b/>
              </w:rPr>
            </w:pPr>
            <w:r>
              <w:rPr>
                <w:b/>
              </w:rPr>
              <w:t>#</w:t>
            </w:r>
          </w:p>
        </w:tc>
        <w:tc>
          <w:tcPr>
            <w:tcW w:w="8262" w:type="dxa"/>
          </w:tcPr>
          <w:p w14:paraId="7144255E" w14:textId="77777777" w:rsidR="00ED6FAC" w:rsidRPr="00F71281" w:rsidRDefault="00ED6FAC" w:rsidP="003C2A33">
            <w:pPr>
              <w:pStyle w:val="KeinLeerraum"/>
              <w:rPr>
                <w:b/>
              </w:rPr>
            </w:pPr>
            <w:r w:rsidRPr="00F71281">
              <w:rPr>
                <w:b/>
              </w:rPr>
              <w:t>Statements</w:t>
            </w:r>
          </w:p>
        </w:tc>
        <w:tc>
          <w:tcPr>
            <w:tcW w:w="829" w:type="dxa"/>
          </w:tcPr>
          <w:p w14:paraId="5E5A74FE" w14:textId="77777777" w:rsidR="00ED6FAC" w:rsidRDefault="000C681A" w:rsidP="003C2A33">
            <w:pPr>
              <w:pStyle w:val="KeinLeerraum"/>
            </w:pPr>
            <w:r>
              <w:t>Loc.</w:t>
            </w:r>
          </w:p>
        </w:tc>
      </w:tr>
      <w:tr w:rsidR="00ED6FAC" w14:paraId="4F23E1DB" w14:textId="77777777" w:rsidTr="000F1568">
        <w:tc>
          <w:tcPr>
            <w:tcW w:w="531" w:type="dxa"/>
          </w:tcPr>
          <w:p w14:paraId="759EAD10" w14:textId="77777777" w:rsidR="00ED6FAC" w:rsidRDefault="00ED6FAC" w:rsidP="003C2A33">
            <w:pPr>
              <w:pStyle w:val="KeinLeerraum"/>
            </w:pPr>
            <w:r>
              <w:t>1</w:t>
            </w:r>
          </w:p>
        </w:tc>
        <w:tc>
          <w:tcPr>
            <w:tcW w:w="8262" w:type="dxa"/>
          </w:tcPr>
          <w:p w14:paraId="63624276" w14:textId="77777777" w:rsidR="00ED6FAC" w:rsidRDefault="0083594E" w:rsidP="003C2A33">
            <w:pPr>
              <w:pStyle w:val="KeinLeerraum"/>
            </w:pPr>
            <w:r>
              <w:t>The large majority of 2°C scenarios are characterized by concentration overshoot facilitated by large-scale deployment of CDR techs</w:t>
            </w:r>
          </w:p>
        </w:tc>
        <w:tc>
          <w:tcPr>
            <w:tcW w:w="829" w:type="dxa"/>
          </w:tcPr>
          <w:p w14:paraId="4B9C8840" w14:textId="77777777" w:rsidR="00ED6FAC" w:rsidRDefault="000C681A" w:rsidP="003C2A33">
            <w:pPr>
              <w:pStyle w:val="KeinLeerraum"/>
            </w:pPr>
            <w:r>
              <w:t>ES</w:t>
            </w:r>
          </w:p>
        </w:tc>
      </w:tr>
      <w:tr w:rsidR="00ED6FAC" w14:paraId="06D339A7" w14:textId="77777777" w:rsidTr="000F1568">
        <w:tc>
          <w:tcPr>
            <w:tcW w:w="531" w:type="dxa"/>
          </w:tcPr>
          <w:p w14:paraId="2E9C69E6" w14:textId="77777777" w:rsidR="00ED6FAC" w:rsidRDefault="00ED6FAC" w:rsidP="003C2A33">
            <w:pPr>
              <w:pStyle w:val="KeinLeerraum"/>
            </w:pPr>
            <w:r>
              <w:t>2</w:t>
            </w:r>
          </w:p>
        </w:tc>
        <w:tc>
          <w:tcPr>
            <w:tcW w:w="8262" w:type="dxa"/>
          </w:tcPr>
          <w:p w14:paraId="41976024" w14:textId="77777777" w:rsidR="00ED6FAC" w:rsidRDefault="0083594E" w:rsidP="003C2A33">
            <w:pPr>
              <w:pStyle w:val="KeinLeerraum"/>
            </w:pPr>
            <w:r>
              <w:t>Various assumptions about afforestation and bioenergy production</w:t>
            </w:r>
          </w:p>
        </w:tc>
        <w:tc>
          <w:tcPr>
            <w:tcW w:w="829" w:type="dxa"/>
          </w:tcPr>
          <w:p w14:paraId="675018C5" w14:textId="77777777" w:rsidR="00ED6FAC" w:rsidRDefault="000C681A" w:rsidP="003C2A33">
            <w:pPr>
              <w:pStyle w:val="KeinLeerraum"/>
            </w:pPr>
            <w:r>
              <w:t>ES</w:t>
            </w:r>
          </w:p>
        </w:tc>
      </w:tr>
      <w:tr w:rsidR="00ED6FAC" w14:paraId="573B79FA" w14:textId="77777777" w:rsidTr="000F1568">
        <w:tc>
          <w:tcPr>
            <w:tcW w:w="531" w:type="dxa"/>
          </w:tcPr>
          <w:p w14:paraId="70576759" w14:textId="77777777" w:rsidR="00ED6FAC" w:rsidRDefault="00ED6FAC" w:rsidP="003C2A33">
            <w:pPr>
              <w:pStyle w:val="KeinLeerraum"/>
            </w:pPr>
            <w:r>
              <w:t>3</w:t>
            </w:r>
          </w:p>
        </w:tc>
        <w:tc>
          <w:tcPr>
            <w:tcW w:w="8262" w:type="dxa"/>
          </w:tcPr>
          <w:p w14:paraId="6424BD90" w14:textId="77777777" w:rsidR="00ED6FAC" w:rsidRDefault="000C681A" w:rsidP="003C2A33">
            <w:pPr>
              <w:pStyle w:val="KeinLeerraum"/>
            </w:pPr>
            <w:r>
              <w:t>Uncertainty about the potential of CDR</w:t>
            </w:r>
          </w:p>
        </w:tc>
        <w:tc>
          <w:tcPr>
            <w:tcW w:w="829" w:type="dxa"/>
          </w:tcPr>
          <w:p w14:paraId="70891D71" w14:textId="77777777" w:rsidR="00ED6FAC" w:rsidRDefault="000C681A" w:rsidP="003C2A33">
            <w:pPr>
              <w:pStyle w:val="KeinLeerraum"/>
            </w:pPr>
            <w:r>
              <w:t>ES</w:t>
            </w:r>
          </w:p>
        </w:tc>
      </w:tr>
      <w:tr w:rsidR="00ED6FAC" w14:paraId="24EF9CA9" w14:textId="77777777" w:rsidTr="000F1568">
        <w:tc>
          <w:tcPr>
            <w:tcW w:w="531" w:type="dxa"/>
          </w:tcPr>
          <w:p w14:paraId="1FC34476" w14:textId="77777777" w:rsidR="00ED6FAC" w:rsidRDefault="00ED6FAC" w:rsidP="003C2A33">
            <w:pPr>
              <w:pStyle w:val="KeinLeerraum"/>
            </w:pPr>
            <w:r>
              <w:t>4</w:t>
            </w:r>
          </w:p>
        </w:tc>
        <w:tc>
          <w:tcPr>
            <w:tcW w:w="8262" w:type="dxa"/>
          </w:tcPr>
          <w:p w14:paraId="21263823" w14:textId="77777777" w:rsidR="00ED6FAC" w:rsidRDefault="000C681A" w:rsidP="000C681A">
            <w:pPr>
              <w:pStyle w:val="KeinLeerraum"/>
            </w:pPr>
            <w:r>
              <w:t xml:space="preserve">Need for an </w:t>
            </w:r>
            <w:r w:rsidRPr="000C681A">
              <w:t>expanded treatment of the benefits and risks of CDR options</w:t>
            </w:r>
          </w:p>
        </w:tc>
        <w:tc>
          <w:tcPr>
            <w:tcW w:w="829" w:type="dxa"/>
          </w:tcPr>
          <w:p w14:paraId="52446550" w14:textId="77777777" w:rsidR="00ED6FAC" w:rsidRDefault="000C681A" w:rsidP="003C2A33">
            <w:pPr>
              <w:pStyle w:val="KeinLeerraum"/>
            </w:pPr>
            <w:r>
              <w:t>ES</w:t>
            </w:r>
          </w:p>
        </w:tc>
      </w:tr>
      <w:tr w:rsidR="00ED6FAC" w14:paraId="6BF93C7F" w14:textId="77777777" w:rsidTr="000F1568">
        <w:tc>
          <w:tcPr>
            <w:tcW w:w="531" w:type="dxa"/>
          </w:tcPr>
          <w:p w14:paraId="1759B6C5" w14:textId="77777777" w:rsidR="00ED6FAC" w:rsidRDefault="00ED6FAC" w:rsidP="003C2A33">
            <w:pPr>
              <w:pStyle w:val="KeinLeerraum"/>
            </w:pPr>
            <w:r>
              <w:t>5</w:t>
            </w:r>
          </w:p>
        </w:tc>
        <w:tc>
          <w:tcPr>
            <w:tcW w:w="8262" w:type="dxa"/>
          </w:tcPr>
          <w:p w14:paraId="67C55FF5" w14:textId="77777777" w:rsidR="00ED6FAC" w:rsidRDefault="000C681A" w:rsidP="000C681A">
            <w:pPr>
              <w:pStyle w:val="KeinLeerraum"/>
            </w:pPr>
            <w:r>
              <w:t xml:space="preserve">2°C delayed scenarios are </w:t>
            </w:r>
            <w:r w:rsidRPr="000C681A">
              <w:t>characterized by substantially higher rates of emissions reductions from 2030 to 2050, a larger reliance on CDR technologies in the long term, and higher transitional and long-term economic impacts</w:t>
            </w:r>
          </w:p>
        </w:tc>
        <w:tc>
          <w:tcPr>
            <w:tcW w:w="829" w:type="dxa"/>
          </w:tcPr>
          <w:p w14:paraId="19FF2348" w14:textId="77777777" w:rsidR="00ED6FAC" w:rsidRDefault="000C681A" w:rsidP="003C2A33">
            <w:pPr>
              <w:pStyle w:val="KeinLeerraum"/>
            </w:pPr>
            <w:r>
              <w:t>ES</w:t>
            </w:r>
          </w:p>
        </w:tc>
      </w:tr>
      <w:tr w:rsidR="00ED6FAC" w14:paraId="46743497" w14:textId="77777777" w:rsidTr="000F1568">
        <w:tc>
          <w:tcPr>
            <w:tcW w:w="531" w:type="dxa"/>
          </w:tcPr>
          <w:p w14:paraId="5392CEF1" w14:textId="77777777" w:rsidR="00ED6FAC" w:rsidRDefault="00ED6FAC" w:rsidP="003C2A33">
            <w:pPr>
              <w:pStyle w:val="KeinLeerraum"/>
            </w:pPr>
            <w:r>
              <w:t>6</w:t>
            </w:r>
          </w:p>
        </w:tc>
        <w:tc>
          <w:tcPr>
            <w:tcW w:w="8262" w:type="dxa"/>
          </w:tcPr>
          <w:p w14:paraId="4219E8AA" w14:textId="77777777" w:rsidR="00ED6FAC" w:rsidRDefault="000C681A" w:rsidP="000C681A">
            <w:pPr>
              <w:pStyle w:val="KeinLeerraum"/>
            </w:pPr>
            <w:r w:rsidRPr="000C681A">
              <w:t>Large-scale deployment of CDR technologies is relied upon in many of these scenarios in the second-half of the century</w:t>
            </w:r>
          </w:p>
        </w:tc>
        <w:tc>
          <w:tcPr>
            <w:tcW w:w="829" w:type="dxa"/>
          </w:tcPr>
          <w:p w14:paraId="76FF97EC" w14:textId="77777777" w:rsidR="00ED6FAC" w:rsidRDefault="000C681A" w:rsidP="003C2A33">
            <w:pPr>
              <w:pStyle w:val="KeinLeerraum"/>
            </w:pPr>
            <w:r>
              <w:t>ES</w:t>
            </w:r>
          </w:p>
        </w:tc>
      </w:tr>
      <w:tr w:rsidR="00ED6FAC" w14:paraId="00FADF71" w14:textId="77777777" w:rsidTr="000F1568">
        <w:tc>
          <w:tcPr>
            <w:tcW w:w="531" w:type="dxa"/>
          </w:tcPr>
          <w:p w14:paraId="7312686F" w14:textId="77777777" w:rsidR="00ED6FAC" w:rsidRDefault="00ED6FAC" w:rsidP="003C2A33">
            <w:pPr>
              <w:pStyle w:val="KeinLeerraum"/>
            </w:pPr>
            <w:r>
              <w:t>7</w:t>
            </w:r>
          </w:p>
        </w:tc>
        <w:tc>
          <w:tcPr>
            <w:tcW w:w="8262" w:type="dxa"/>
          </w:tcPr>
          <w:p w14:paraId="243D5387" w14:textId="77777777" w:rsidR="00ED6FAC" w:rsidRDefault="000C681A" w:rsidP="003C2A33">
            <w:pPr>
              <w:pStyle w:val="KeinLeerraum"/>
            </w:pPr>
            <w:r>
              <w:t>Model</w:t>
            </w:r>
            <w:r w:rsidR="004E1779">
              <w:t xml:space="preserve"> run</w:t>
            </w:r>
            <w:r>
              <w:t xml:space="preserve">s can be </w:t>
            </w:r>
            <w:r w:rsidRPr="004E1779">
              <w:rPr>
                <w:b/>
              </w:rPr>
              <w:t>infeasible</w:t>
            </w:r>
            <w:r>
              <w:t xml:space="preserve"> if climate action is delayed and CDR options are unavailable</w:t>
            </w:r>
          </w:p>
        </w:tc>
        <w:tc>
          <w:tcPr>
            <w:tcW w:w="829" w:type="dxa"/>
          </w:tcPr>
          <w:p w14:paraId="5FBA166B" w14:textId="77777777" w:rsidR="00ED6FAC" w:rsidRDefault="000C681A" w:rsidP="003C2A33">
            <w:pPr>
              <w:pStyle w:val="KeinLeerraum"/>
            </w:pPr>
            <w:r>
              <w:t>6.1</w:t>
            </w:r>
            <w:r w:rsidR="00C175FE">
              <w:t>.1</w:t>
            </w:r>
          </w:p>
        </w:tc>
      </w:tr>
      <w:tr w:rsidR="00ED6FAC" w14:paraId="7059EC32" w14:textId="77777777" w:rsidTr="000F1568">
        <w:tc>
          <w:tcPr>
            <w:tcW w:w="531" w:type="dxa"/>
          </w:tcPr>
          <w:p w14:paraId="335A99FD" w14:textId="77777777" w:rsidR="00ED6FAC" w:rsidRDefault="00ED6FAC" w:rsidP="003C2A33">
            <w:pPr>
              <w:pStyle w:val="KeinLeerraum"/>
            </w:pPr>
            <w:r>
              <w:t>8</w:t>
            </w:r>
          </w:p>
        </w:tc>
        <w:tc>
          <w:tcPr>
            <w:tcW w:w="8262" w:type="dxa"/>
          </w:tcPr>
          <w:p w14:paraId="35D251A2" w14:textId="77777777" w:rsidR="00ED6FAC" w:rsidRDefault="00C175FE" w:rsidP="00C175FE">
            <w:pPr>
              <w:pStyle w:val="KeinLeerraum"/>
            </w:pPr>
            <w:r w:rsidRPr="004E1779">
              <w:rPr>
                <w:b/>
              </w:rPr>
              <w:t>Major advances</w:t>
            </w:r>
            <w:r w:rsidR="004E1779">
              <w:rPr>
                <w:b/>
              </w:rPr>
              <w:t xml:space="preserve"> in model </w:t>
            </w:r>
            <w:r w:rsidR="000A2D5F">
              <w:rPr>
                <w:b/>
              </w:rPr>
              <w:t>development</w:t>
            </w:r>
            <w:r w:rsidRPr="00C175FE">
              <w:t xml:space="preserve"> include an increase in the number of sce</w:t>
            </w:r>
            <w:r>
              <w:t>narios explor</w:t>
            </w:r>
            <w:r w:rsidR="004E1779">
              <w:t xml:space="preserve">ing </w:t>
            </w:r>
            <w:r>
              <w:t xml:space="preserve">for instance </w:t>
            </w:r>
            <w:r w:rsidRPr="00C175FE">
              <w:t>overshoot emissions trajectories wi</w:t>
            </w:r>
            <w:r>
              <w:t>th and without CDR technologies</w:t>
            </w:r>
          </w:p>
        </w:tc>
        <w:tc>
          <w:tcPr>
            <w:tcW w:w="829" w:type="dxa"/>
          </w:tcPr>
          <w:p w14:paraId="60928735" w14:textId="77777777" w:rsidR="00ED6FAC" w:rsidRDefault="00C175FE" w:rsidP="003C2A33">
            <w:pPr>
              <w:pStyle w:val="KeinLeerraum"/>
            </w:pPr>
            <w:r>
              <w:t>6.1.2</w:t>
            </w:r>
          </w:p>
        </w:tc>
      </w:tr>
      <w:tr w:rsidR="00ED6FAC" w14:paraId="1F6E580A" w14:textId="77777777" w:rsidTr="000F1568">
        <w:tc>
          <w:tcPr>
            <w:tcW w:w="531" w:type="dxa"/>
          </w:tcPr>
          <w:p w14:paraId="44C7223D" w14:textId="77777777" w:rsidR="00ED6FAC" w:rsidRDefault="00ED6FAC" w:rsidP="003C2A33">
            <w:pPr>
              <w:pStyle w:val="KeinLeerraum"/>
            </w:pPr>
            <w:r>
              <w:t>9</w:t>
            </w:r>
          </w:p>
        </w:tc>
        <w:tc>
          <w:tcPr>
            <w:tcW w:w="8262" w:type="dxa"/>
          </w:tcPr>
          <w:p w14:paraId="2679638A" w14:textId="77777777" w:rsidR="00ED6FAC" w:rsidRDefault="00C175FE" w:rsidP="003C2A33">
            <w:pPr>
              <w:pStyle w:val="KeinLeerraum"/>
            </w:pPr>
            <w:r w:rsidRPr="00C175FE">
              <w:t xml:space="preserve">However, beyond cases where physical laws might be violated to achieve a particular scenario (for example, a 2100 carbon budget is exceeded prior to 2100 with no option for negative emissions), these integrated models cannot determine </w:t>
            </w:r>
            <w:r w:rsidRPr="004E1779">
              <w:rPr>
                <w:b/>
              </w:rPr>
              <w:t>feasibility</w:t>
            </w:r>
            <w:r w:rsidRPr="00C175FE">
              <w:t xml:space="preserve"> in an absolute sense.</w:t>
            </w:r>
          </w:p>
        </w:tc>
        <w:tc>
          <w:tcPr>
            <w:tcW w:w="829" w:type="dxa"/>
          </w:tcPr>
          <w:p w14:paraId="19EC75C2" w14:textId="77777777" w:rsidR="00ED6FAC" w:rsidRDefault="00C175FE" w:rsidP="003C2A33">
            <w:pPr>
              <w:pStyle w:val="KeinLeerraum"/>
            </w:pPr>
            <w:r>
              <w:t>6.2.4</w:t>
            </w:r>
          </w:p>
        </w:tc>
      </w:tr>
      <w:tr w:rsidR="00C175FE" w14:paraId="47A83808" w14:textId="77777777" w:rsidTr="000F1568">
        <w:tc>
          <w:tcPr>
            <w:tcW w:w="531" w:type="dxa"/>
          </w:tcPr>
          <w:p w14:paraId="673432D3" w14:textId="77777777" w:rsidR="00C175FE" w:rsidRPr="00F71281" w:rsidRDefault="00C175FE" w:rsidP="003C2A33">
            <w:pPr>
              <w:pStyle w:val="KeinLeerraum"/>
            </w:pPr>
            <w:r>
              <w:t>10</w:t>
            </w:r>
          </w:p>
        </w:tc>
        <w:tc>
          <w:tcPr>
            <w:tcW w:w="8262" w:type="dxa"/>
          </w:tcPr>
          <w:p w14:paraId="588EB586" w14:textId="77777777" w:rsidR="00C175FE" w:rsidRDefault="00C175FE" w:rsidP="00415E62">
            <w:pPr>
              <w:pStyle w:val="KeinLeerraum"/>
            </w:pPr>
            <w:r w:rsidRPr="000C681A">
              <w:t xml:space="preserve">The </w:t>
            </w:r>
            <w:r w:rsidRPr="004E1779">
              <w:rPr>
                <w:b/>
              </w:rPr>
              <w:t>most critical set of technologies in the context of the timing of emission reductions is CDR technologies</w:t>
            </w:r>
            <w:r w:rsidRPr="000C681A">
              <w:t>, which can be used to generate negative emissions</w:t>
            </w:r>
          </w:p>
        </w:tc>
        <w:tc>
          <w:tcPr>
            <w:tcW w:w="829" w:type="dxa"/>
          </w:tcPr>
          <w:p w14:paraId="75D6AC98" w14:textId="77777777" w:rsidR="00C175FE" w:rsidRDefault="00C175FE" w:rsidP="00415E62">
            <w:pPr>
              <w:pStyle w:val="KeinLeerraum"/>
            </w:pPr>
            <w:r>
              <w:t>6.3.2.2</w:t>
            </w:r>
          </w:p>
        </w:tc>
      </w:tr>
      <w:tr w:rsidR="00C175FE" w14:paraId="2B203DFD" w14:textId="77777777" w:rsidTr="000F1568">
        <w:tc>
          <w:tcPr>
            <w:tcW w:w="531" w:type="dxa"/>
          </w:tcPr>
          <w:p w14:paraId="1B7A6BA4" w14:textId="77777777" w:rsidR="00C175FE" w:rsidRPr="00F71281" w:rsidRDefault="00C175FE" w:rsidP="003C2A33">
            <w:pPr>
              <w:pStyle w:val="KeinLeerraum"/>
            </w:pPr>
            <w:r>
              <w:t>11</w:t>
            </w:r>
          </w:p>
        </w:tc>
        <w:tc>
          <w:tcPr>
            <w:tcW w:w="8262" w:type="dxa"/>
          </w:tcPr>
          <w:p w14:paraId="42803929" w14:textId="77777777" w:rsidR="00C175FE" w:rsidRDefault="00C175FE" w:rsidP="00415E62">
            <w:pPr>
              <w:pStyle w:val="KeinLeerraum"/>
            </w:pPr>
            <w:r>
              <w:t>B</w:t>
            </w:r>
            <w:r w:rsidRPr="000C681A">
              <w:t xml:space="preserve">y removing emissions from the atmosphere, CDR technologies can </w:t>
            </w:r>
            <w:r w:rsidRPr="004E1779">
              <w:rPr>
                <w:b/>
              </w:rPr>
              <w:t>compensate for residual emissions</w:t>
            </w:r>
            <w:r w:rsidRPr="000C681A">
              <w:t xml:space="preserve"> from technologies and sectors with more expensive abatement</w:t>
            </w:r>
          </w:p>
        </w:tc>
        <w:tc>
          <w:tcPr>
            <w:tcW w:w="829" w:type="dxa"/>
          </w:tcPr>
          <w:p w14:paraId="4C1DB7C7" w14:textId="77777777" w:rsidR="00C175FE" w:rsidRDefault="00C175FE" w:rsidP="00415E62">
            <w:pPr>
              <w:pStyle w:val="KeinLeerraum"/>
            </w:pPr>
            <w:r>
              <w:t>6.3.2.2</w:t>
            </w:r>
          </w:p>
        </w:tc>
      </w:tr>
      <w:tr w:rsidR="00C175FE" w14:paraId="50338700" w14:textId="77777777" w:rsidTr="000F1568">
        <w:tc>
          <w:tcPr>
            <w:tcW w:w="531" w:type="dxa"/>
          </w:tcPr>
          <w:p w14:paraId="0EF6CD95" w14:textId="77777777" w:rsidR="00C175FE" w:rsidRPr="00F71281" w:rsidRDefault="00C175FE" w:rsidP="003C2A33">
            <w:pPr>
              <w:pStyle w:val="KeinLeerraum"/>
            </w:pPr>
            <w:r>
              <w:t>12</w:t>
            </w:r>
          </w:p>
        </w:tc>
        <w:tc>
          <w:tcPr>
            <w:tcW w:w="8262" w:type="dxa"/>
          </w:tcPr>
          <w:p w14:paraId="2D398939" w14:textId="77777777" w:rsidR="00C175FE" w:rsidRDefault="00C175FE" w:rsidP="00415E62">
            <w:pPr>
              <w:pStyle w:val="KeinLeerraum"/>
            </w:pPr>
            <w:r w:rsidRPr="00D2384A">
              <w:t xml:space="preserve">CDR technologies can </w:t>
            </w:r>
            <w:r w:rsidRPr="004E1779">
              <w:rPr>
                <w:b/>
              </w:rPr>
              <w:t>create net negative emissions flows</w:t>
            </w:r>
            <w:r w:rsidRPr="00D2384A">
              <w:t xml:space="preserve">, which allow </w:t>
            </w:r>
            <w:r w:rsidRPr="004E1779">
              <w:rPr>
                <w:b/>
              </w:rPr>
              <w:t>faster declines in concentrations in the second half of the century</w:t>
            </w:r>
            <w:r w:rsidRPr="00D2384A">
              <w:t xml:space="preserve"> and thus facilitate </w:t>
            </w:r>
            <w:r w:rsidRPr="004E1779">
              <w:rPr>
                <w:b/>
              </w:rPr>
              <w:t>higher near-term emissions</w:t>
            </w:r>
            <w:r w:rsidRPr="00D2384A">
              <w:t xml:space="preserve">, effectively expanding the potential scope for </w:t>
            </w:r>
            <w:r w:rsidRPr="004E1779">
              <w:rPr>
                <w:b/>
              </w:rPr>
              <w:t>overshoot</w:t>
            </w:r>
          </w:p>
        </w:tc>
        <w:tc>
          <w:tcPr>
            <w:tcW w:w="829" w:type="dxa"/>
          </w:tcPr>
          <w:p w14:paraId="13521D1C" w14:textId="77777777" w:rsidR="00C175FE" w:rsidRDefault="00C175FE" w:rsidP="00415E62">
            <w:pPr>
              <w:pStyle w:val="KeinLeerraum"/>
            </w:pPr>
            <w:r>
              <w:t>6.3.2.2</w:t>
            </w:r>
          </w:p>
        </w:tc>
      </w:tr>
      <w:tr w:rsidR="00C175FE" w14:paraId="6DC7D924" w14:textId="77777777" w:rsidTr="000F1568">
        <w:tc>
          <w:tcPr>
            <w:tcW w:w="531" w:type="dxa"/>
          </w:tcPr>
          <w:p w14:paraId="63CEDDF2" w14:textId="77777777" w:rsidR="00C175FE" w:rsidRPr="00F71281" w:rsidRDefault="00C175FE" w:rsidP="003C2A33">
            <w:pPr>
              <w:pStyle w:val="KeinLeerraum"/>
            </w:pPr>
            <w:r>
              <w:t>13</w:t>
            </w:r>
          </w:p>
        </w:tc>
        <w:tc>
          <w:tcPr>
            <w:tcW w:w="8262" w:type="dxa"/>
          </w:tcPr>
          <w:p w14:paraId="122569AE" w14:textId="77777777" w:rsidR="00C175FE" w:rsidRDefault="00C175FE" w:rsidP="00415E62">
            <w:pPr>
              <w:pStyle w:val="KeinLeerraum"/>
            </w:pPr>
            <w:r w:rsidRPr="00D2384A">
              <w:t xml:space="preserve">In model comparison studies, </w:t>
            </w:r>
            <w:r w:rsidRPr="004E1779">
              <w:rPr>
                <w:b/>
              </w:rPr>
              <w:t>many of the models that could not produce scenarios leading to concentrations of about 450 ppm CO2eq by 2100</w:t>
            </w:r>
            <w:r w:rsidRPr="00D2384A">
              <w:t>, particularly in combination with delayed or fragmented policy approaches, did not include CDR techniques (Clarke et al., 2009)</w:t>
            </w:r>
          </w:p>
        </w:tc>
        <w:tc>
          <w:tcPr>
            <w:tcW w:w="829" w:type="dxa"/>
          </w:tcPr>
          <w:p w14:paraId="4053E6BE" w14:textId="77777777" w:rsidR="00C175FE" w:rsidRDefault="00C175FE" w:rsidP="00415E62">
            <w:pPr>
              <w:pStyle w:val="KeinLeerraum"/>
            </w:pPr>
            <w:r>
              <w:t>6.3.2.2</w:t>
            </w:r>
          </w:p>
        </w:tc>
      </w:tr>
      <w:tr w:rsidR="00C175FE" w14:paraId="31AB9102" w14:textId="77777777" w:rsidTr="000F1568">
        <w:tc>
          <w:tcPr>
            <w:tcW w:w="531" w:type="dxa"/>
          </w:tcPr>
          <w:p w14:paraId="26E23D48" w14:textId="77777777" w:rsidR="00C175FE" w:rsidRPr="00F71281" w:rsidRDefault="00C175FE" w:rsidP="003C2A33">
            <w:pPr>
              <w:pStyle w:val="KeinLeerraum"/>
            </w:pPr>
            <w:r>
              <w:t>14</w:t>
            </w:r>
          </w:p>
        </w:tc>
        <w:tc>
          <w:tcPr>
            <w:tcW w:w="8262" w:type="dxa"/>
          </w:tcPr>
          <w:p w14:paraId="5055A8BB" w14:textId="77777777" w:rsidR="00C175FE" w:rsidRPr="00F71281" w:rsidRDefault="00C175FE" w:rsidP="00415E62">
            <w:pPr>
              <w:pStyle w:val="KeinLeerraum"/>
            </w:pPr>
            <w:r w:rsidRPr="00D2384A">
              <w:t xml:space="preserve">The </w:t>
            </w:r>
            <w:r w:rsidRPr="004E1779">
              <w:rPr>
                <w:b/>
              </w:rPr>
              <w:t>vast majority of scenarios with overshoot of greater than 0.4 W / m2</w:t>
            </w:r>
            <w:r w:rsidRPr="00D2384A">
              <w:t xml:space="preserve"> (greater than 20 ppm CO2eq) </w:t>
            </w:r>
            <w:r w:rsidRPr="004E1779">
              <w:rPr>
                <w:b/>
              </w:rPr>
              <w:t>deploy CDR technologies to an extent that net global CO2 emissions become negative</w:t>
            </w:r>
            <w:r w:rsidRPr="00D2384A">
              <w:t xml:space="preserve">. </w:t>
            </w:r>
          </w:p>
        </w:tc>
        <w:tc>
          <w:tcPr>
            <w:tcW w:w="829" w:type="dxa"/>
          </w:tcPr>
          <w:p w14:paraId="0136E2E8" w14:textId="77777777" w:rsidR="00C175FE" w:rsidRDefault="00C175FE" w:rsidP="00415E62">
            <w:pPr>
              <w:pStyle w:val="KeinLeerraum"/>
            </w:pPr>
            <w:r>
              <w:t>6.3.2.2</w:t>
            </w:r>
          </w:p>
        </w:tc>
      </w:tr>
      <w:tr w:rsidR="00C175FE" w14:paraId="5B3B7092" w14:textId="77777777" w:rsidTr="000F1568">
        <w:tc>
          <w:tcPr>
            <w:tcW w:w="531" w:type="dxa"/>
          </w:tcPr>
          <w:p w14:paraId="1DE6D272" w14:textId="77777777" w:rsidR="00C175FE" w:rsidRPr="00F71281" w:rsidRDefault="00C175FE" w:rsidP="003C2A33">
            <w:pPr>
              <w:pStyle w:val="KeinLeerraum"/>
            </w:pPr>
            <w:r>
              <w:t>15</w:t>
            </w:r>
          </w:p>
        </w:tc>
        <w:tc>
          <w:tcPr>
            <w:tcW w:w="8262" w:type="dxa"/>
          </w:tcPr>
          <w:p w14:paraId="3B2420CA" w14:textId="77777777" w:rsidR="00C175FE" w:rsidRPr="00F71281" w:rsidRDefault="00C175FE" w:rsidP="00415E62">
            <w:pPr>
              <w:pStyle w:val="KeinLeerraum"/>
            </w:pPr>
            <w:r w:rsidRPr="00D2384A">
              <w:t xml:space="preserve">Evidence is still mixed whether CDR technologies are essential for achieving very low GHG concentration goals (Rose et al., 2013). </w:t>
            </w:r>
          </w:p>
        </w:tc>
        <w:tc>
          <w:tcPr>
            <w:tcW w:w="829" w:type="dxa"/>
          </w:tcPr>
          <w:p w14:paraId="740ABE82" w14:textId="77777777" w:rsidR="00C175FE" w:rsidRDefault="00C175FE" w:rsidP="00415E62">
            <w:pPr>
              <w:pStyle w:val="KeinLeerraum"/>
            </w:pPr>
            <w:r>
              <w:t>6.3.2.2</w:t>
            </w:r>
          </w:p>
        </w:tc>
      </w:tr>
      <w:tr w:rsidR="00C175FE" w14:paraId="74F791E2" w14:textId="77777777" w:rsidTr="000F1568">
        <w:tc>
          <w:tcPr>
            <w:tcW w:w="531" w:type="dxa"/>
          </w:tcPr>
          <w:p w14:paraId="125A67E2" w14:textId="77777777" w:rsidR="00C175FE" w:rsidRPr="00101EA0" w:rsidRDefault="00C175FE" w:rsidP="003C2A33">
            <w:pPr>
              <w:pStyle w:val="KeinLeerraum"/>
            </w:pPr>
            <w:r>
              <w:t>16</w:t>
            </w:r>
          </w:p>
        </w:tc>
        <w:tc>
          <w:tcPr>
            <w:tcW w:w="8262" w:type="dxa"/>
          </w:tcPr>
          <w:p w14:paraId="31501096" w14:textId="77777777" w:rsidR="00C175FE" w:rsidRPr="00F71281" w:rsidRDefault="00C175FE" w:rsidP="00415E62">
            <w:pPr>
              <w:pStyle w:val="KeinLeerraum"/>
            </w:pPr>
            <w:r w:rsidRPr="00D2384A">
              <w:t xml:space="preserve">A limited number of studies have explored scenarios with net negative emissions as large as </w:t>
            </w:r>
            <w:r w:rsidRPr="004E1779">
              <w:rPr>
                <w:b/>
              </w:rPr>
              <w:t>20 GtCO2 per year or more</w:t>
            </w:r>
            <w:r w:rsidRPr="00D2384A">
              <w:t xml:space="preserve"> (lower panels Figure 6.7), which allow for </w:t>
            </w:r>
            <w:r w:rsidRPr="004E1779">
              <w:rPr>
                <w:b/>
              </w:rPr>
              <w:t>very substantial delays in emission reductions.</w:t>
            </w:r>
          </w:p>
        </w:tc>
        <w:tc>
          <w:tcPr>
            <w:tcW w:w="829" w:type="dxa"/>
          </w:tcPr>
          <w:p w14:paraId="679908E8" w14:textId="77777777" w:rsidR="00C175FE" w:rsidRDefault="00C175FE" w:rsidP="00415E62">
            <w:pPr>
              <w:pStyle w:val="KeinLeerraum"/>
            </w:pPr>
            <w:r>
              <w:t>6.3.2.2</w:t>
            </w:r>
          </w:p>
        </w:tc>
      </w:tr>
      <w:tr w:rsidR="00C175FE" w14:paraId="6FA9C5D4" w14:textId="77777777" w:rsidTr="000F1568">
        <w:tc>
          <w:tcPr>
            <w:tcW w:w="531" w:type="dxa"/>
          </w:tcPr>
          <w:p w14:paraId="58A470A1" w14:textId="77777777" w:rsidR="00C175FE" w:rsidRPr="00F71281" w:rsidRDefault="00C175FE" w:rsidP="003C2A33">
            <w:pPr>
              <w:pStyle w:val="KeinLeerraum"/>
            </w:pPr>
            <w:r>
              <w:t>17</w:t>
            </w:r>
          </w:p>
        </w:tc>
        <w:tc>
          <w:tcPr>
            <w:tcW w:w="8262" w:type="dxa"/>
          </w:tcPr>
          <w:p w14:paraId="3781AF20" w14:textId="77777777" w:rsidR="00C175FE" w:rsidRPr="00F71281" w:rsidRDefault="00C175FE" w:rsidP="00415E62">
            <w:pPr>
              <w:pStyle w:val="KeinLeerraum"/>
            </w:pPr>
            <w:r w:rsidRPr="00573F02">
              <w:t>The intersection of these three factors — overshoot, CDR technologies, and delayed mitigation — can be viewed in the context of emissions pathways over the next several decades, for example, the emissions level in 2030 (Figure 6.8).</w:t>
            </w:r>
          </w:p>
        </w:tc>
        <w:tc>
          <w:tcPr>
            <w:tcW w:w="829" w:type="dxa"/>
          </w:tcPr>
          <w:p w14:paraId="052821EA" w14:textId="77777777" w:rsidR="00C175FE" w:rsidRDefault="00C175FE" w:rsidP="00415E62">
            <w:pPr>
              <w:pStyle w:val="KeinLeerraum"/>
            </w:pPr>
            <w:r>
              <w:t>6.3.2.2</w:t>
            </w:r>
          </w:p>
        </w:tc>
      </w:tr>
      <w:tr w:rsidR="00C175FE" w14:paraId="24B4F456" w14:textId="77777777" w:rsidTr="000F1568">
        <w:tc>
          <w:tcPr>
            <w:tcW w:w="531" w:type="dxa"/>
          </w:tcPr>
          <w:p w14:paraId="5F173C37" w14:textId="77777777" w:rsidR="00C175FE" w:rsidRPr="00F71281" w:rsidRDefault="00C175FE" w:rsidP="003C2A33">
            <w:pPr>
              <w:pStyle w:val="KeinLeerraum"/>
            </w:pPr>
            <w:r>
              <w:lastRenderedPageBreak/>
              <w:t>18</w:t>
            </w:r>
          </w:p>
        </w:tc>
        <w:tc>
          <w:tcPr>
            <w:tcW w:w="8262" w:type="dxa"/>
          </w:tcPr>
          <w:p w14:paraId="196E00E5" w14:textId="77777777" w:rsidR="00C175FE" w:rsidRPr="00F71281" w:rsidRDefault="004E1779" w:rsidP="00415E62">
            <w:pPr>
              <w:pStyle w:val="KeinLeerraum"/>
            </w:pPr>
            <w:r>
              <w:t>H</w:t>
            </w:r>
            <w:r w:rsidR="00C175FE" w:rsidRPr="000F1568">
              <w:t xml:space="preserve">igh emissions in 2030 leads to more rapid declines in the medium term and lower or eventually net negative emissions in the long-run, with the pattern exaggerated in a few </w:t>
            </w:r>
            <w:r w:rsidR="00C175FE" w:rsidRPr="004E1779">
              <w:rPr>
                <w:b/>
              </w:rPr>
              <w:t>extreme scenarios</w:t>
            </w:r>
            <w:r w:rsidR="00C175FE" w:rsidRPr="000F1568">
              <w:t xml:space="preserve"> exploring deployment of CDR of </w:t>
            </w:r>
            <w:r w:rsidR="00C175FE" w:rsidRPr="004E1779">
              <w:rPr>
                <w:b/>
              </w:rPr>
              <w:t>20 GtCO2 / yr or more</w:t>
            </w:r>
            <w:r w:rsidR="00C175FE" w:rsidRPr="000F1568">
              <w:t>.</w:t>
            </w:r>
          </w:p>
        </w:tc>
        <w:tc>
          <w:tcPr>
            <w:tcW w:w="829" w:type="dxa"/>
          </w:tcPr>
          <w:p w14:paraId="2C250EC9" w14:textId="77777777" w:rsidR="00C175FE" w:rsidRDefault="00C175FE" w:rsidP="00415E62">
            <w:pPr>
              <w:pStyle w:val="KeinLeerraum"/>
            </w:pPr>
            <w:r>
              <w:t>6.3.2.2</w:t>
            </w:r>
          </w:p>
        </w:tc>
      </w:tr>
      <w:tr w:rsidR="00C175FE" w14:paraId="303623AF" w14:textId="77777777" w:rsidTr="000F1568">
        <w:tc>
          <w:tcPr>
            <w:tcW w:w="531" w:type="dxa"/>
          </w:tcPr>
          <w:p w14:paraId="4D0E4D60" w14:textId="77777777" w:rsidR="00C175FE" w:rsidRDefault="00C175FE" w:rsidP="003C2A33">
            <w:pPr>
              <w:pStyle w:val="KeinLeerraum"/>
            </w:pPr>
            <w:r>
              <w:t>19</w:t>
            </w:r>
          </w:p>
        </w:tc>
        <w:tc>
          <w:tcPr>
            <w:tcW w:w="8262" w:type="dxa"/>
          </w:tcPr>
          <w:p w14:paraId="38BB3650" w14:textId="77777777" w:rsidR="00C175FE" w:rsidRPr="00F71281" w:rsidRDefault="00C175FE" w:rsidP="00415E62">
            <w:pPr>
              <w:pStyle w:val="KeinLeerraum"/>
            </w:pPr>
            <w:r w:rsidRPr="000F1568">
              <w:t xml:space="preserve">Deeper longterm goals also interact with these factors. For example, scenarios leading to concentrations </w:t>
            </w:r>
            <w:r w:rsidRPr="004E1779">
              <w:rPr>
                <w:b/>
              </w:rPr>
              <w:t>below 430 ppm CO2eq by 2100</w:t>
            </w:r>
            <w:r w:rsidRPr="000F1568">
              <w:t xml:space="preserve"> (Rogelj et al., 2013a,b; Luderer et al., 2013) feature </w:t>
            </w:r>
            <w:r w:rsidRPr="004E1779">
              <w:rPr>
                <w:b/>
              </w:rPr>
              <w:t>large-scale application of CDR technologies in the long-term, and most of them have deep emission reductions in the near term</w:t>
            </w:r>
            <w:r w:rsidRPr="000F1568">
              <w:t>.</w:t>
            </w:r>
          </w:p>
        </w:tc>
        <w:tc>
          <w:tcPr>
            <w:tcW w:w="829" w:type="dxa"/>
          </w:tcPr>
          <w:p w14:paraId="011F7E1F" w14:textId="77777777" w:rsidR="00C175FE" w:rsidRDefault="00C175FE" w:rsidP="00415E62">
            <w:pPr>
              <w:pStyle w:val="KeinLeerraum"/>
            </w:pPr>
            <w:r>
              <w:t>6.3.2.2</w:t>
            </w:r>
          </w:p>
        </w:tc>
      </w:tr>
      <w:tr w:rsidR="00C175FE" w14:paraId="05B17693" w14:textId="77777777" w:rsidTr="000F1568">
        <w:tc>
          <w:tcPr>
            <w:tcW w:w="531" w:type="dxa"/>
          </w:tcPr>
          <w:p w14:paraId="2803C1CD" w14:textId="77777777" w:rsidR="00C175FE" w:rsidRDefault="00C175FE" w:rsidP="003C2A33">
            <w:pPr>
              <w:pStyle w:val="KeinLeerraum"/>
            </w:pPr>
            <w:r>
              <w:t>20</w:t>
            </w:r>
          </w:p>
        </w:tc>
        <w:tc>
          <w:tcPr>
            <w:tcW w:w="8262" w:type="dxa"/>
          </w:tcPr>
          <w:p w14:paraId="332E908E" w14:textId="77777777" w:rsidR="00C175FE" w:rsidRPr="00F71281" w:rsidRDefault="004E1779" w:rsidP="004E1779">
            <w:pPr>
              <w:pStyle w:val="KeinLeerraum"/>
            </w:pPr>
            <w:r>
              <w:t>O</w:t>
            </w:r>
            <w:r w:rsidR="00C175FE" w:rsidRPr="00C175FE">
              <w:t>ne difficulty in interpreting this range is that many scenarios were developed from models that do not explicitly look at strategies to reduce net AFOLU CO2 emissions. Nonetheless, the spread in net AFOLU emissions still reflects the implications of land-use related mitigation activities — bioenergy, avoided deforestation, and afforestation — in both models that explicitly represent land use and those that do not</w:t>
            </w:r>
          </w:p>
        </w:tc>
        <w:tc>
          <w:tcPr>
            <w:tcW w:w="829" w:type="dxa"/>
          </w:tcPr>
          <w:p w14:paraId="1C6C66D3" w14:textId="77777777" w:rsidR="00C175FE" w:rsidRDefault="00C175FE" w:rsidP="00415E62">
            <w:pPr>
              <w:pStyle w:val="KeinLeerraum"/>
            </w:pPr>
            <w:r>
              <w:t>6.3.2.4</w:t>
            </w:r>
          </w:p>
        </w:tc>
      </w:tr>
      <w:tr w:rsidR="00C175FE" w14:paraId="119D07A8" w14:textId="77777777" w:rsidTr="000F1568">
        <w:tc>
          <w:tcPr>
            <w:tcW w:w="531" w:type="dxa"/>
          </w:tcPr>
          <w:p w14:paraId="041E8CEE" w14:textId="77777777" w:rsidR="00C175FE" w:rsidRDefault="00C175FE" w:rsidP="003C2A33">
            <w:pPr>
              <w:pStyle w:val="KeinLeerraum"/>
            </w:pPr>
            <w:r>
              <w:t>21</w:t>
            </w:r>
          </w:p>
        </w:tc>
        <w:tc>
          <w:tcPr>
            <w:tcW w:w="8262" w:type="dxa"/>
          </w:tcPr>
          <w:p w14:paraId="2311460A" w14:textId="77777777" w:rsidR="00C175FE" w:rsidRPr="00F71281" w:rsidRDefault="00C175FE" w:rsidP="00415E62">
            <w:pPr>
              <w:pStyle w:val="KeinLeerraum"/>
            </w:pPr>
            <w:r w:rsidRPr="00C175FE">
              <w:t>The two budgets are not fully comparable, however, since the WG I budget relates to the cumulative emissions at the time of peak warming which are higher than the cumulative emissions until 2100 in overshoot scenarios with net negative emissions by the end of the century.</w:t>
            </w:r>
          </w:p>
        </w:tc>
        <w:tc>
          <w:tcPr>
            <w:tcW w:w="829" w:type="dxa"/>
          </w:tcPr>
          <w:p w14:paraId="68B8B8F9" w14:textId="77777777" w:rsidR="00C175FE" w:rsidRDefault="00C175FE" w:rsidP="00415E62">
            <w:pPr>
              <w:pStyle w:val="KeinLeerraum"/>
            </w:pPr>
            <w:r>
              <w:t>6.3.2.6</w:t>
            </w:r>
          </w:p>
        </w:tc>
      </w:tr>
      <w:tr w:rsidR="00C175FE" w14:paraId="588211BA" w14:textId="77777777" w:rsidTr="000F1568">
        <w:tc>
          <w:tcPr>
            <w:tcW w:w="531" w:type="dxa"/>
          </w:tcPr>
          <w:p w14:paraId="503B7612" w14:textId="77777777" w:rsidR="00C175FE" w:rsidRDefault="00C175FE" w:rsidP="003C2A33">
            <w:pPr>
              <w:pStyle w:val="KeinLeerraum"/>
            </w:pPr>
            <w:r>
              <w:t>22</w:t>
            </w:r>
          </w:p>
        </w:tc>
        <w:tc>
          <w:tcPr>
            <w:tcW w:w="8262" w:type="dxa"/>
          </w:tcPr>
          <w:p w14:paraId="142D79AB" w14:textId="77777777" w:rsidR="00C175FE" w:rsidRPr="00F71281" w:rsidRDefault="00C175FE" w:rsidP="00415E62">
            <w:pPr>
              <w:pStyle w:val="KeinLeerraum"/>
            </w:pPr>
            <w:r w:rsidRPr="00C175FE">
              <w:t>The key forces associated with mitigation are (1) the demand for bioenergy, (2) the demand to store carbon in land by reducing deforestation, encouraging afforestation, and altering soil management practices, and (3) reductions in non-CO2 GHG emissions by changing management practices.</w:t>
            </w:r>
          </w:p>
        </w:tc>
        <w:tc>
          <w:tcPr>
            <w:tcW w:w="829" w:type="dxa"/>
          </w:tcPr>
          <w:p w14:paraId="2FA14287" w14:textId="77777777" w:rsidR="00C175FE" w:rsidRDefault="00C175FE" w:rsidP="00415E62">
            <w:pPr>
              <w:pStyle w:val="KeinLeerraum"/>
            </w:pPr>
            <w:r>
              <w:t>6.3.5</w:t>
            </w:r>
          </w:p>
        </w:tc>
      </w:tr>
      <w:tr w:rsidR="00C175FE" w14:paraId="2F9F5B3B" w14:textId="77777777" w:rsidTr="000F1568">
        <w:tc>
          <w:tcPr>
            <w:tcW w:w="531" w:type="dxa"/>
          </w:tcPr>
          <w:p w14:paraId="10EF00DD" w14:textId="77777777" w:rsidR="00C175FE" w:rsidRDefault="00C175FE" w:rsidP="003C2A33">
            <w:pPr>
              <w:pStyle w:val="KeinLeerraum"/>
            </w:pPr>
            <w:r>
              <w:t>23</w:t>
            </w:r>
          </w:p>
        </w:tc>
        <w:tc>
          <w:tcPr>
            <w:tcW w:w="8262" w:type="dxa"/>
          </w:tcPr>
          <w:p w14:paraId="3C00CE2A" w14:textId="77777777" w:rsidR="00C175FE" w:rsidRPr="00F71281" w:rsidRDefault="00C175FE" w:rsidP="00415E62">
            <w:pPr>
              <w:pStyle w:val="KeinLeerraum"/>
            </w:pPr>
            <w:r w:rsidRPr="00C175FE">
              <w:t>Some of the variations in projected land cover change are attributable to specific assumptions, such as fixed pasture acreage, prioritized food provision, land availability constraints for energy crops, and the inclusion or exclusion of afforestation options (e. g. Popp et al., 2014).</w:t>
            </w:r>
          </w:p>
        </w:tc>
        <w:tc>
          <w:tcPr>
            <w:tcW w:w="829" w:type="dxa"/>
          </w:tcPr>
          <w:p w14:paraId="05F1FDB9" w14:textId="77777777" w:rsidR="00C175FE" w:rsidRDefault="00C175FE" w:rsidP="00415E62">
            <w:pPr>
              <w:pStyle w:val="KeinLeerraum"/>
            </w:pPr>
            <w:r>
              <w:t>6.3.5</w:t>
            </w:r>
          </w:p>
        </w:tc>
      </w:tr>
      <w:tr w:rsidR="00C175FE" w14:paraId="7CC0ECDF" w14:textId="77777777" w:rsidTr="000F1568">
        <w:tc>
          <w:tcPr>
            <w:tcW w:w="531" w:type="dxa"/>
          </w:tcPr>
          <w:p w14:paraId="0F7BA2AE" w14:textId="77777777" w:rsidR="00C175FE" w:rsidRDefault="00C175FE" w:rsidP="003C2A33">
            <w:pPr>
              <w:pStyle w:val="KeinLeerraum"/>
            </w:pPr>
            <w:r>
              <w:t>24</w:t>
            </w:r>
          </w:p>
        </w:tc>
        <w:tc>
          <w:tcPr>
            <w:tcW w:w="8262" w:type="dxa"/>
          </w:tcPr>
          <w:p w14:paraId="151CA230" w14:textId="77777777" w:rsidR="00C175FE" w:rsidRPr="00F71281" w:rsidRDefault="00C175FE" w:rsidP="00415E62">
            <w:pPr>
              <w:pStyle w:val="KeinLeerraum"/>
            </w:pPr>
            <w:r w:rsidRPr="00C175FE">
              <w:t>Bioenergy incentives alone can produce energy cropland expansion, with increased forest and other land conversion (Wise et al., 2009; Reilly et al., 2012)</w:t>
            </w:r>
          </w:p>
        </w:tc>
        <w:tc>
          <w:tcPr>
            <w:tcW w:w="829" w:type="dxa"/>
          </w:tcPr>
          <w:p w14:paraId="0686CF07" w14:textId="77777777" w:rsidR="00C175FE" w:rsidRDefault="00C175FE" w:rsidP="00415E62">
            <w:pPr>
              <w:pStyle w:val="KeinLeerraum"/>
            </w:pPr>
            <w:r>
              <w:t>6.3.5</w:t>
            </w:r>
          </w:p>
        </w:tc>
      </w:tr>
      <w:tr w:rsidR="00C175FE" w14:paraId="573CBC85" w14:textId="77777777" w:rsidTr="000F1568">
        <w:tc>
          <w:tcPr>
            <w:tcW w:w="531" w:type="dxa"/>
          </w:tcPr>
          <w:p w14:paraId="104C2319" w14:textId="77777777" w:rsidR="00C175FE" w:rsidRDefault="00C175FE" w:rsidP="003C2A33">
            <w:pPr>
              <w:pStyle w:val="KeinLeerraum"/>
            </w:pPr>
            <w:r>
              <w:t>25</w:t>
            </w:r>
          </w:p>
        </w:tc>
        <w:tc>
          <w:tcPr>
            <w:tcW w:w="8262" w:type="dxa"/>
          </w:tcPr>
          <w:p w14:paraId="53EB21C4" w14:textId="77777777" w:rsidR="00C175FE" w:rsidRPr="00F71281" w:rsidRDefault="00C175FE" w:rsidP="00415E62">
            <w:pPr>
              <w:pStyle w:val="KeinLeerraum"/>
            </w:pPr>
            <w:r w:rsidRPr="00C175FE">
              <w:t>Some models do not represent certain technologies such as BECCS and therefore do not exhibit a strong cost increase if these options are restricted. These models may instead have difficulties in achieving tighter concentration goals regardless of the restriction (Krey et al., 2014).</w:t>
            </w:r>
          </w:p>
        </w:tc>
        <w:tc>
          <w:tcPr>
            <w:tcW w:w="829" w:type="dxa"/>
          </w:tcPr>
          <w:p w14:paraId="7E7B3211" w14:textId="77777777" w:rsidR="00C175FE" w:rsidRDefault="00C175FE" w:rsidP="00415E62">
            <w:pPr>
              <w:pStyle w:val="KeinLeerraum"/>
            </w:pPr>
            <w:r>
              <w:t>6.3.6</w:t>
            </w:r>
          </w:p>
        </w:tc>
      </w:tr>
      <w:tr w:rsidR="00C175FE" w14:paraId="7DB7876C" w14:textId="77777777" w:rsidTr="000F1568">
        <w:tc>
          <w:tcPr>
            <w:tcW w:w="531" w:type="dxa"/>
          </w:tcPr>
          <w:p w14:paraId="50192E61" w14:textId="77777777" w:rsidR="00C175FE" w:rsidRDefault="00C175FE" w:rsidP="003C2A33">
            <w:pPr>
              <w:pStyle w:val="KeinLeerraum"/>
            </w:pPr>
            <w:r>
              <w:t>26</w:t>
            </w:r>
          </w:p>
        </w:tc>
        <w:tc>
          <w:tcPr>
            <w:tcW w:w="8262" w:type="dxa"/>
          </w:tcPr>
          <w:p w14:paraId="711526F0" w14:textId="77777777" w:rsidR="00C175FE" w:rsidRPr="00F71281" w:rsidRDefault="004E1779" w:rsidP="00415E62">
            <w:pPr>
              <w:pStyle w:val="KeinLeerraum"/>
            </w:pPr>
            <w:r w:rsidRPr="004E1779">
              <w:rPr>
                <w:b/>
              </w:rPr>
              <w:t>M</w:t>
            </w:r>
            <w:r w:rsidR="00C175FE" w:rsidRPr="004E1779">
              <w:rPr>
                <w:b/>
              </w:rPr>
              <w:t>any models could not produce scenarios leading to about 450 ppm CO2eq by 2100</w:t>
            </w:r>
            <w:r w:rsidR="00C175FE" w:rsidRPr="00C175FE">
              <w:t xml:space="preserve"> with limited technology portfolios, particularly when assumptions </w:t>
            </w:r>
            <w:r w:rsidR="00C175FE" w:rsidRPr="004E1779">
              <w:rPr>
                <w:b/>
              </w:rPr>
              <w:t>preclude or limit the use of BECCS</w:t>
            </w:r>
            <w:r w:rsidR="00C175FE" w:rsidRPr="00C175FE">
              <w:t xml:space="preserve"> (Azar et al., 2006; van Vliet et al., 2009; Krey et al., 2014; Kriegler et al., 2014a).</w:t>
            </w:r>
          </w:p>
        </w:tc>
        <w:tc>
          <w:tcPr>
            <w:tcW w:w="829" w:type="dxa"/>
          </w:tcPr>
          <w:p w14:paraId="5383AE03" w14:textId="77777777" w:rsidR="00C175FE" w:rsidRDefault="00C175FE" w:rsidP="00415E62">
            <w:pPr>
              <w:pStyle w:val="KeinLeerraum"/>
            </w:pPr>
            <w:r>
              <w:t>6.3.6</w:t>
            </w:r>
          </w:p>
        </w:tc>
      </w:tr>
      <w:tr w:rsidR="00C175FE" w14:paraId="27D342ED" w14:textId="77777777" w:rsidTr="000F1568">
        <w:tc>
          <w:tcPr>
            <w:tcW w:w="531" w:type="dxa"/>
          </w:tcPr>
          <w:p w14:paraId="04D32E61" w14:textId="77777777" w:rsidR="00C175FE" w:rsidRDefault="00E6768D" w:rsidP="003C2A33">
            <w:pPr>
              <w:pStyle w:val="KeinLeerraum"/>
            </w:pPr>
            <w:r>
              <w:t>27</w:t>
            </w:r>
          </w:p>
        </w:tc>
        <w:tc>
          <w:tcPr>
            <w:tcW w:w="8262" w:type="dxa"/>
          </w:tcPr>
          <w:p w14:paraId="34A6E155" w14:textId="77777777" w:rsidR="00C175FE" w:rsidRPr="00F71281" w:rsidRDefault="004E1779" w:rsidP="00415E62">
            <w:pPr>
              <w:pStyle w:val="KeinLeerraum"/>
            </w:pPr>
            <w:r w:rsidRPr="004E1779">
              <w:t xml:space="preserve">In addition to the ability to produce negative emissions when coupled with bioenergy, CCS is a </w:t>
            </w:r>
            <w:r w:rsidRPr="004E1779">
              <w:rPr>
                <w:b/>
              </w:rPr>
              <w:t>versatile technology</w:t>
            </w:r>
            <w:r w:rsidRPr="004E1779">
              <w:t xml:space="preserve"> that can be combined with electricity, synthetic fuel, and hydrogen production from several feedstocks and in energy-intensive industries such as cement and steel.</w:t>
            </w:r>
          </w:p>
        </w:tc>
        <w:tc>
          <w:tcPr>
            <w:tcW w:w="829" w:type="dxa"/>
          </w:tcPr>
          <w:p w14:paraId="011F4629" w14:textId="77777777" w:rsidR="00C175FE" w:rsidRDefault="004E1779" w:rsidP="00415E62">
            <w:pPr>
              <w:pStyle w:val="KeinLeerraum"/>
            </w:pPr>
            <w:r>
              <w:t>6.3.6.3</w:t>
            </w:r>
          </w:p>
        </w:tc>
      </w:tr>
      <w:tr w:rsidR="00C175FE" w14:paraId="76D7164D" w14:textId="77777777" w:rsidTr="000F1568">
        <w:tc>
          <w:tcPr>
            <w:tcW w:w="531" w:type="dxa"/>
          </w:tcPr>
          <w:p w14:paraId="6EBB4222" w14:textId="77777777" w:rsidR="00C175FE" w:rsidRDefault="00E6768D" w:rsidP="003C2A33">
            <w:pPr>
              <w:pStyle w:val="KeinLeerraum"/>
            </w:pPr>
            <w:r>
              <w:t>28</w:t>
            </w:r>
          </w:p>
        </w:tc>
        <w:tc>
          <w:tcPr>
            <w:tcW w:w="8262" w:type="dxa"/>
          </w:tcPr>
          <w:p w14:paraId="20E4F4FF" w14:textId="77777777" w:rsidR="00C175FE" w:rsidRPr="00F71281" w:rsidRDefault="00E6768D" w:rsidP="003C2A33">
            <w:pPr>
              <w:pStyle w:val="KeinLeerraum"/>
            </w:pPr>
            <w:r w:rsidRPr="00E6768D">
              <w:t xml:space="preserve">Bioenergy shares some of these characteristics with CCS. It is also an essential ingredient for </w:t>
            </w:r>
            <w:r w:rsidRPr="00E6768D">
              <w:rPr>
                <w:b/>
              </w:rPr>
              <w:t>BECCS</w:t>
            </w:r>
            <w:r w:rsidRPr="00E6768D">
              <w:t>, and it</w:t>
            </w:r>
            <w:r w:rsidRPr="00E6768D">
              <w:rPr>
                <w:b/>
              </w:rPr>
              <w:t xml:space="preserve"> can be applied in various sectors of the energy system, including for the provision of liquid low-carbon fuels for transportation</w:t>
            </w:r>
            <w:r w:rsidRPr="00E6768D">
              <w:t xml:space="preserve"> (see Chapter 11, Bioenergy Annex for a discussion of related challenges and risks). In contrast, those options that are largely confined to the electricity sector (e. g., wind, solar, and nuclear energy) and heat generation tend to show a </w:t>
            </w:r>
            <w:r w:rsidRPr="00E6768D">
              <w:rPr>
                <w:b/>
              </w:rPr>
              <w:t>lower value, both because they cannot be used to generate negative emissions</w:t>
            </w:r>
            <w:r w:rsidRPr="00E6768D">
              <w:t xml:space="preserve"> and because there are a number of low-carbon electricity supply options available that can generally substitute each other (Krey et al., 2014).</w:t>
            </w:r>
          </w:p>
        </w:tc>
        <w:tc>
          <w:tcPr>
            <w:tcW w:w="829" w:type="dxa"/>
          </w:tcPr>
          <w:p w14:paraId="0A97A665" w14:textId="77777777" w:rsidR="00C175FE" w:rsidRDefault="00E6768D" w:rsidP="003C2A33">
            <w:pPr>
              <w:pStyle w:val="KeinLeerraum"/>
            </w:pPr>
            <w:r>
              <w:t>6.3.6.3</w:t>
            </w:r>
          </w:p>
        </w:tc>
      </w:tr>
      <w:tr w:rsidR="00C175FE" w14:paraId="7C70E96D" w14:textId="77777777" w:rsidTr="000F1568">
        <w:tc>
          <w:tcPr>
            <w:tcW w:w="531" w:type="dxa"/>
          </w:tcPr>
          <w:p w14:paraId="347F8F38" w14:textId="77777777" w:rsidR="00C175FE" w:rsidRDefault="00E6768D" w:rsidP="003C2A33">
            <w:pPr>
              <w:pStyle w:val="KeinLeerraum"/>
            </w:pPr>
            <w:r>
              <w:lastRenderedPageBreak/>
              <w:t>29</w:t>
            </w:r>
          </w:p>
        </w:tc>
        <w:tc>
          <w:tcPr>
            <w:tcW w:w="8262" w:type="dxa"/>
          </w:tcPr>
          <w:p w14:paraId="1CA62BF1" w14:textId="77777777" w:rsidR="00C175FE" w:rsidRPr="00F71281" w:rsidRDefault="00E6768D" w:rsidP="003C2A33">
            <w:pPr>
              <w:pStyle w:val="KeinLeerraum"/>
            </w:pPr>
            <w:r>
              <w:rPr>
                <w:b/>
              </w:rPr>
              <w:t>D</w:t>
            </w:r>
            <w:r w:rsidRPr="00E6768D">
              <w:rPr>
                <w:b/>
              </w:rPr>
              <w:t>elayed mitigation further increases the dependence on the full availability of mitigation options, especially on CDR technologies such as BECCS</w:t>
            </w:r>
            <w:r w:rsidRPr="00E6768D">
              <w:t xml:space="preserve"> (Luderer et al., 2013; Rogelj et al., 2013b; Riahi et al., 2014). (See Section 6.3.6.3, Section 6.4).</w:t>
            </w:r>
          </w:p>
        </w:tc>
        <w:tc>
          <w:tcPr>
            <w:tcW w:w="829" w:type="dxa"/>
          </w:tcPr>
          <w:p w14:paraId="2DF072CD" w14:textId="77777777" w:rsidR="00C175FE" w:rsidRDefault="00E6768D" w:rsidP="003C2A33">
            <w:pPr>
              <w:pStyle w:val="KeinLeerraum"/>
            </w:pPr>
            <w:r>
              <w:t>6.3.6.4</w:t>
            </w:r>
          </w:p>
        </w:tc>
      </w:tr>
      <w:tr w:rsidR="00C175FE" w14:paraId="364F4ECE" w14:textId="77777777" w:rsidTr="000F1568">
        <w:tc>
          <w:tcPr>
            <w:tcW w:w="531" w:type="dxa"/>
          </w:tcPr>
          <w:p w14:paraId="12B7FB54" w14:textId="77777777" w:rsidR="00C175FE" w:rsidRDefault="00E6768D" w:rsidP="003C2A33">
            <w:pPr>
              <w:pStyle w:val="KeinLeerraum"/>
            </w:pPr>
            <w:r>
              <w:t>30</w:t>
            </w:r>
          </w:p>
        </w:tc>
        <w:tc>
          <w:tcPr>
            <w:tcW w:w="8262" w:type="dxa"/>
          </w:tcPr>
          <w:p w14:paraId="37317B64" w14:textId="77777777" w:rsidR="00C175FE" w:rsidRPr="00F71281" w:rsidRDefault="00E6768D" w:rsidP="003C2A33">
            <w:pPr>
              <w:pStyle w:val="KeinLeerraum"/>
            </w:pPr>
            <w:r w:rsidRPr="00E6768D">
              <w:t xml:space="preserve">In particular, </w:t>
            </w:r>
            <w:r w:rsidRPr="00E6768D">
              <w:rPr>
                <w:b/>
              </w:rPr>
              <w:t>many scenarios rely on technologies with potentially large land footprints, such as bioenergy and afforestation or reforestation, to achieve mitigation goals</w:t>
            </w:r>
            <w:r w:rsidRPr="00E6768D">
              <w:t>. The scenarios surveyed in the chapter universally project the majority of bioenergy primary energy will occur in developing economies (50 – 90 % in non-OECD in 2050, see Section 6.3.5). These abatement patterns imply significant challenges for developing countries in general, and LDCs in particular, where large land-use abatement potentials lie.</w:t>
            </w:r>
          </w:p>
        </w:tc>
        <w:tc>
          <w:tcPr>
            <w:tcW w:w="829" w:type="dxa"/>
          </w:tcPr>
          <w:p w14:paraId="005775D0" w14:textId="77777777" w:rsidR="00C175FE" w:rsidRDefault="00E6768D" w:rsidP="003C2A33">
            <w:pPr>
              <w:pStyle w:val="KeinLeerraum"/>
            </w:pPr>
            <w:r>
              <w:t>6.4.2</w:t>
            </w:r>
          </w:p>
        </w:tc>
      </w:tr>
      <w:tr w:rsidR="00C175FE" w14:paraId="1D53A901" w14:textId="77777777" w:rsidTr="000F1568">
        <w:tc>
          <w:tcPr>
            <w:tcW w:w="531" w:type="dxa"/>
          </w:tcPr>
          <w:p w14:paraId="1B8F0F0E" w14:textId="77777777" w:rsidR="00C175FE" w:rsidRDefault="00E6768D" w:rsidP="003C2A33">
            <w:pPr>
              <w:pStyle w:val="KeinLeerraum"/>
            </w:pPr>
            <w:r>
              <w:t>31</w:t>
            </w:r>
          </w:p>
        </w:tc>
        <w:tc>
          <w:tcPr>
            <w:tcW w:w="8262" w:type="dxa"/>
          </w:tcPr>
          <w:p w14:paraId="5A414242" w14:textId="77777777" w:rsidR="00C175FE" w:rsidRPr="00F71281" w:rsidRDefault="00E6768D" w:rsidP="003C2A33">
            <w:pPr>
              <w:pStyle w:val="KeinLeerraum"/>
            </w:pPr>
            <w:r w:rsidRPr="00E6768D">
              <w:t xml:space="preserve">A large number of </w:t>
            </w:r>
            <w:r w:rsidRPr="00E6768D">
              <w:rPr>
                <w:b/>
              </w:rPr>
              <w:t>scenarios reaching CO2eq concentrations below 530 ppm CO2eq by 2100 deploy CDR technologies at large enough scales</w:t>
            </w:r>
            <w:r w:rsidRPr="00E6768D">
              <w:t xml:space="preserve"> that net global emissions become negative in the second half of the century.</w:t>
            </w:r>
          </w:p>
        </w:tc>
        <w:tc>
          <w:tcPr>
            <w:tcW w:w="829" w:type="dxa"/>
          </w:tcPr>
          <w:p w14:paraId="1497C455" w14:textId="77777777" w:rsidR="00C175FE" w:rsidRDefault="00E6768D" w:rsidP="003C2A33">
            <w:pPr>
              <w:pStyle w:val="KeinLeerraum"/>
            </w:pPr>
            <w:r>
              <w:t>6.4.2</w:t>
            </w:r>
          </w:p>
        </w:tc>
      </w:tr>
      <w:tr w:rsidR="00C175FE" w14:paraId="149242DF" w14:textId="77777777" w:rsidTr="000F1568">
        <w:tc>
          <w:tcPr>
            <w:tcW w:w="531" w:type="dxa"/>
          </w:tcPr>
          <w:p w14:paraId="2D8740B7" w14:textId="77777777" w:rsidR="00C175FE" w:rsidRDefault="00E6768D" w:rsidP="003C2A33">
            <w:pPr>
              <w:pStyle w:val="KeinLeerraum"/>
            </w:pPr>
            <w:r>
              <w:t>32</w:t>
            </w:r>
          </w:p>
        </w:tc>
        <w:tc>
          <w:tcPr>
            <w:tcW w:w="8262" w:type="dxa"/>
          </w:tcPr>
          <w:p w14:paraId="38CA6C8C" w14:textId="77777777" w:rsidR="00C175FE" w:rsidRPr="00F71281" w:rsidRDefault="00E6768D" w:rsidP="00E6768D">
            <w:pPr>
              <w:pStyle w:val="KeinLeerraum"/>
            </w:pPr>
            <w:r w:rsidRPr="00E6768D">
              <w:t xml:space="preserve">The availability of CDR options, as well as the representation of intertemporal flexibility, varies significantly across models and studies. </w:t>
            </w:r>
          </w:p>
        </w:tc>
        <w:tc>
          <w:tcPr>
            <w:tcW w:w="829" w:type="dxa"/>
          </w:tcPr>
          <w:p w14:paraId="48B2F5F3" w14:textId="77777777" w:rsidR="00C175FE" w:rsidRDefault="000A2D5F" w:rsidP="003C2A33">
            <w:pPr>
              <w:pStyle w:val="KeinLeerraum"/>
            </w:pPr>
            <w:r>
              <w:t>6.4.2</w:t>
            </w:r>
          </w:p>
        </w:tc>
      </w:tr>
      <w:tr w:rsidR="00E6768D" w14:paraId="01749120" w14:textId="77777777" w:rsidTr="000F1568">
        <w:tc>
          <w:tcPr>
            <w:tcW w:w="531" w:type="dxa"/>
          </w:tcPr>
          <w:p w14:paraId="4A1C2573" w14:textId="77777777" w:rsidR="00E6768D" w:rsidRDefault="00E6768D" w:rsidP="003C2A33">
            <w:pPr>
              <w:pStyle w:val="KeinLeerraum"/>
            </w:pPr>
            <w:r>
              <w:t>33</w:t>
            </w:r>
          </w:p>
        </w:tc>
        <w:tc>
          <w:tcPr>
            <w:tcW w:w="8262" w:type="dxa"/>
          </w:tcPr>
          <w:p w14:paraId="34D58EB6" w14:textId="77777777" w:rsidR="00E6768D" w:rsidRPr="00F71281" w:rsidRDefault="00E6768D" w:rsidP="00E6768D">
            <w:pPr>
              <w:pStyle w:val="KeinLeerraum"/>
            </w:pPr>
            <w:r w:rsidRPr="00E6768D">
              <w:t xml:space="preserve">The spread in reliance on CDR options across scenarios reveals a </w:t>
            </w:r>
            <w:r w:rsidRPr="00E6768D">
              <w:rPr>
                <w:b/>
              </w:rPr>
              <w:t>strong impact on the timing of emissions pathways</w:t>
            </w:r>
            <w:r w:rsidRPr="00E6768D">
              <w:t xml:space="preserve">. In scenarios reaching the 2100 concentration range of 430 – 530 ppm CO2eq in which global net CO2 emissions remain positive through the century, near-term emissions are generally lower than if the scenario deploys CDR technologies to a large enough scale to lead to net negative total global CO2 emissions later in the century (Figure 6.31, top panel). </w:t>
            </w:r>
          </w:p>
        </w:tc>
        <w:tc>
          <w:tcPr>
            <w:tcW w:w="829" w:type="dxa"/>
          </w:tcPr>
          <w:p w14:paraId="7FD09F19" w14:textId="77777777" w:rsidR="00E6768D" w:rsidRDefault="000A2D5F" w:rsidP="003C2A33">
            <w:pPr>
              <w:pStyle w:val="KeinLeerraum"/>
            </w:pPr>
            <w:r>
              <w:t>6.4.2</w:t>
            </w:r>
          </w:p>
        </w:tc>
      </w:tr>
      <w:tr w:rsidR="00E6768D" w14:paraId="1BEB9AA5" w14:textId="77777777" w:rsidTr="000F1568">
        <w:tc>
          <w:tcPr>
            <w:tcW w:w="531" w:type="dxa"/>
          </w:tcPr>
          <w:p w14:paraId="6FF022A8" w14:textId="77777777" w:rsidR="00E6768D" w:rsidRDefault="00E6768D" w:rsidP="003C2A33">
            <w:pPr>
              <w:pStyle w:val="KeinLeerraum"/>
            </w:pPr>
            <w:r>
              <w:t>34</w:t>
            </w:r>
          </w:p>
        </w:tc>
        <w:tc>
          <w:tcPr>
            <w:tcW w:w="8262" w:type="dxa"/>
          </w:tcPr>
          <w:p w14:paraId="6A6E8369" w14:textId="77777777" w:rsidR="00E6768D" w:rsidRPr="00F71281" w:rsidRDefault="00E6768D" w:rsidP="003C2A33">
            <w:pPr>
              <w:pStyle w:val="KeinLeerraum"/>
            </w:pPr>
            <w:r w:rsidRPr="00E6768D">
              <w:t>More generally, the scenarios indicate that a reliance on large-scale CDR, whether or not emissions become net negative, leads to higher near-term emissions (van Vuuren and Riahi, 2011).</w:t>
            </w:r>
          </w:p>
        </w:tc>
        <w:tc>
          <w:tcPr>
            <w:tcW w:w="829" w:type="dxa"/>
          </w:tcPr>
          <w:p w14:paraId="2CB44C9B" w14:textId="77777777" w:rsidR="00E6768D" w:rsidRDefault="000A2D5F" w:rsidP="003C2A33">
            <w:pPr>
              <w:pStyle w:val="KeinLeerraum"/>
            </w:pPr>
            <w:r>
              <w:t>6.4.2</w:t>
            </w:r>
          </w:p>
        </w:tc>
      </w:tr>
      <w:tr w:rsidR="00E6768D" w14:paraId="790CF4D1" w14:textId="77777777" w:rsidTr="000F1568">
        <w:tc>
          <w:tcPr>
            <w:tcW w:w="531" w:type="dxa"/>
          </w:tcPr>
          <w:p w14:paraId="38987898" w14:textId="77777777" w:rsidR="00E6768D" w:rsidRDefault="00E6768D" w:rsidP="003C2A33">
            <w:pPr>
              <w:pStyle w:val="KeinLeerraum"/>
            </w:pPr>
            <w:r>
              <w:t>35</w:t>
            </w:r>
          </w:p>
        </w:tc>
        <w:tc>
          <w:tcPr>
            <w:tcW w:w="8262" w:type="dxa"/>
          </w:tcPr>
          <w:p w14:paraId="4C573217" w14:textId="77777777" w:rsidR="00E6768D" w:rsidRPr="00F71281" w:rsidRDefault="00E6768D" w:rsidP="003C2A33">
            <w:pPr>
              <w:pStyle w:val="KeinLeerraum"/>
            </w:pPr>
            <w:r w:rsidRPr="00E6768D">
              <w:rPr>
                <w:b/>
              </w:rPr>
              <w:t>However, there are instances where the combination of delay and limited options for CDR has been explored and has resulted in model infeasibilities (Luderer et al., 2013; Rogelj et al., 2013b; Riahi et al., 2014), which supports the notion that this combination presents important challenges.</w:t>
            </w:r>
            <w:r w:rsidRPr="00E6768D">
              <w:t xml:space="preserve"> For example, in the AMPERE study, seven out of nine models could not produce a scenario with global delay through 2030 and a restriction on CCS technology that reached 450 CO2eq by 2100 (one of the remaining two had net negative global emissions through other channels and the other did not run past 2050). Several individual modelling team studies have also explored this space, and have found situations in which they could not reach solutions for more ambitious goals and delayed mitigation or constrained technology, including O’Neill et al. (2010), Edmonds et al. (2008), and Edmonds et al. (2013). Studies have found that delayed reductions through 2020 do not have as substantial an effect on the cost and challenge more broadly of meeting 2100 concentration levels such as 450 ppm CO2eq as delayed reductions through 2030 (Kriegler et al., 2013b; Luderer et al., 2013; Rogelj et al., 2013b)</w:t>
            </w:r>
          </w:p>
        </w:tc>
        <w:tc>
          <w:tcPr>
            <w:tcW w:w="829" w:type="dxa"/>
          </w:tcPr>
          <w:p w14:paraId="48297226" w14:textId="77777777" w:rsidR="00E6768D" w:rsidRDefault="000A2D5F" w:rsidP="003C2A33">
            <w:pPr>
              <w:pStyle w:val="KeinLeerraum"/>
            </w:pPr>
            <w:r>
              <w:t>6.4.2</w:t>
            </w:r>
          </w:p>
        </w:tc>
      </w:tr>
      <w:tr w:rsidR="00E6768D" w14:paraId="4F3B71BD" w14:textId="77777777" w:rsidTr="000F1568">
        <w:tc>
          <w:tcPr>
            <w:tcW w:w="531" w:type="dxa"/>
          </w:tcPr>
          <w:p w14:paraId="0118EE0A" w14:textId="77777777" w:rsidR="00E6768D" w:rsidRDefault="00E6768D" w:rsidP="003C2A33">
            <w:pPr>
              <w:pStyle w:val="KeinLeerraum"/>
            </w:pPr>
            <w:r>
              <w:t>36</w:t>
            </w:r>
          </w:p>
        </w:tc>
        <w:tc>
          <w:tcPr>
            <w:tcW w:w="8262" w:type="dxa"/>
          </w:tcPr>
          <w:p w14:paraId="3470AFB4" w14:textId="77777777" w:rsidR="00E6768D" w:rsidRPr="00F71281" w:rsidRDefault="00E6768D" w:rsidP="003C2A33">
            <w:pPr>
              <w:pStyle w:val="KeinLeerraum"/>
            </w:pPr>
            <w:r w:rsidRPr="00E6768D">
              <w:t>However, based on the MAGICC results, not all pathways in this range are consistent with at least a 50 % chance of remaining below 2 °C, in particular those that rely on net negative global emissions.</w:t>
            </w:r>
            <w:r>
              <w:t xml:space="preserve"> </w:t>
            </w:r>
            <w:r w:rsidRPr="00E6768D">
              <w:t xml:space="preserve">Based on the MAGICC results, very few scenarios in the 430 – 530 ppm CO2eq range have a 50 % chance of remaining below 1.5 °C, and none with delay or limited deployment of CDR technologies; most have a probability between 0 and 25 %. A few studies have explored scenarios that lead to concentrations below 430 ppm CO2eq in 2100 (e. g., Luderer et al., 2013, Rogelj et al., 2013a, b), some of which have been found to have more than a 66 % chance of returning to 1.5 °C by the end of the century after peaking at higher levels; these scenarios are characterized by </w:t>
            </w:r>
            <w:r w:rsidRPr="00E6768D">
              <w:lastRenderedPageBreak/>
              <w:t>immediate emissions reductions followed by very low mid-century emissions and extensive deployment of CDR technologies.</w:t>
            </w:r>
          </w:p>
        </w:tc>
        <w:tc>
          <w:tcPr>
            <w:tcW w:w="829" w:type="dxa"/>
          </w:tcPr>
          <w:p w14:paraId="62115D76" w14:textId="77777777" w:rsidR="00E6768D" w:rsidRDefault="000A2D5F" w:rsidP="003C2A33">
            <w:pPr>
              <w:pStyle w:val="KeinLeerraum"/>
            </w:pPr>
            <w:r>
              <w:lastRenderedPageBreak/>
              <w:t>6.4.2</w:t>
            </w:r>
          </w:p>
        </w:tc>
      </w:tr>
      <w:tr w:rsidR="00E6768D" w14:paraId="09FFA4F8" w14:textId="77777777" w:rsidTr="000F1568">
        <w:tc>
          <w:tcPr>
            <w:tcW w:w="531" w:type="dxa"/>
          </w:tcPr>
          <w:p w14:paraId="3687372D" w14:textId="77777777" w:rsidR="00E6768D" w:rsidRDefault="00E6768D" w:rsidP="003C2A33">
            <w:pPr>
              <w:pStyle w:val="KeinLeerraum"/>
            </w:pPr>
            <w:r>
              <w:t>37</w:t>
            </w:r>
          </w:p>
        </w:tc>
        <w:tc>
          <w:tcPr>
            <w:tcW w:w="8262" w:type="dxa"/>
          </w:tcPr>
          <w:p w14:paraId="7C5C992D" w14:textId="77777777" w:rsidR="00E6768D" w:rsidRPr="00F71281" w:rsidRDefault="00E6768D" w:rsidP="003C2A33">
            <w:pPr>
              <w:pStyle w:val="KeinLeerraum"/>
            </w:pPr>
            <w:r w:rsidRPr="00E6768D">
              <w:t xml:space="preserve">Whether due to </w:t>
            </w:r>
            <w:r w:rsidRPr="000A2D5F">
              <w:rPr>
                <w:b/>
              </w:rPr>
              <w:t>delayed mitigation or widespread use of CDR options or some combination of the two</w:t>
            </w:r>
            <w:r w:rsidRPr="00E6768D">
              <w:t xml:space="preserve">, </w:t>
            </w:r>
            <w:r w:rsidRPr="000A2D5F">
              <w:rPr>
                <w:b/>
              </w:rPr>
              <w:t>higher levels of emissions in the nearterm imply an emissions pathway shifted in time, resulting in steeper reductions later to remain consistent with a given long-term forcing goal.</w:t>
            </w:r>
          </w:p>
        </w:tc>
        <w:tc>
          <w:tcPr>
            <w:tcW w:w="829" w:type="dxa"/>
          </w:tcPr>
          <w:p w14:paraId="076D5FC4" w14:textId="77777777" w:rsidR="00E6768D" w:rsidRDefault="000A2D5F" w:rsidP="003C2A33">
            <w:pPr>
              <w:pStyle w:val="KeinLeerraum"/>
            </w:pPr>
            <w:r>
              <w:t>6.4.2</w:t>
            </w:r>
          </w:p>
        </w:tc>
      </w:tr>
      <w:tr w:rsidR="00E6768D" w14:paraId="44222307" w14:textId="77777777" w:rsidTr="000F1568">
        <w:tc>
          <w:tcPr>
            <w:tcW w:w="531" w:type="dxa"/>
          </w:tcPr>
          <w:p w14:paraId="2F686B80" w14:textId="77777777" w:rsidR="00E6768D" w:rsidRDefault="00E6768D" w:rsidP="003C2A33">
            <w:pPr>
              <w:pStyle w:val="KeinLeerraum"/>
            </w:pPr>
            <w:r>
              <w:t>38</w:t>
            </w:r>
          </w:p>
        </w:tc>
        <w:tc>
          <w:tcPr>
            <w:tcW w:w="8262" w:type="dxa"/>
          </w:tcPr>
          <w:p w14:paraId="53F0EA2F" w14:textId="77777777" w:rsidR="00E6768D" w:rsidRPr="00F71281" w:rsidRDefault="000A2D5F" w:rsidP="003C2A33">
            <w:pPr>
              <w:pStyle w:val="KeinLeerraum"/>
            </w:pPr>
            <w:r w:rsidRPr="000A2D5F">
              <w:t xml:space="preserve">The primary </w:t>
            </w:r>
            <w:r w:rsidRPr="000A2D5F">
              <w:rPr>
                <w:b/>
              </w:rPr>
              <w:t>biodiversity-related side-effects</w:t>
            </w:r>
            <w:r w:rsidRPr="000A2D5F">
              <w:t xml:space="preserve"> from mitigation involve the potentially large role of reforestation and afforestation efforts and of bioenergy production.</w:t>
            </w:r>
          </w:p>
        </w:tc>
        <w:tc>
          <w:tcPr>
            <w:tcW w:w="829" w:type="dxa"/>
          </w:tcPr>
          <w:p w14:paraId="5C55015D" w14:textId="77777777" w:rsidR="00E6768D" w:rsidRDefault="000A2D5F" w:rsidP="003C2A33">
            <w:pPr>
              <w:pStyle w:val="KeinLeerraum"/>
            </w:pPr>
            <w:r>
              <w:t>6.6.2.5</w:t>
            </w:r>
          </w:p>
        </w:tc>
      </w:tr>
      <w:tr w:rsidR="00E6768D" w14:paraId="639AB57B" w14:textId="77777777" w:rsidTr="000F1568">
        <w:tc>
          <w:tcPr>
            <w:tcW w:w="531" w:type="dxa"/>
          </w:tcPr>
          <w:p w14:paraId="6CA6A001" w14:textId="77777777" w:rsidR="00E6768D" w:rsidRDefault="00E6768D" w:rsidP="003C2A33">
            <w:pPr>
              <w:pStyle w:val="KeinLeerraum"/>
            </w:pPr>
            <w:r>
              <w:t>39</w:t>
            </w:r>
          </w:p>
        </w:tc>
        <w:tc>
          <w:tcPr>
            <w:tcW w:w="8262" w:type="dxa"/>
          </w:tcPr>
          <w:p w14:paraId="4F5525BF" w14:textId="77777777" w:rsidR="00E6768D" w:rsidRPr="00F71281" w:rsidRDefault="000A2D5F" w:rsidP="003C2A33">
            <w:pPr>
              <w:pStyle w:val="KeinLeerraum"/>
            </w:pPr>
            <w:r w:rsidRPr="000A2D5F">
              <w:t xml:space="preserve">Similarly, reforestation and afforestation efforts, as well as attempts to avoid deforestation, </w:t>
            </w:r>
            <w:r w:rsidRPr="000A2D5F">
              <w:rPr>
                <w:b/>
              </w:rPr>
              <w:t>will impact both water use and water quality</w:t>
            </w:r>
            <w:r w:rsidRPr="000A2D5F">
              <w:t>. The net effects could be either positive (Townsend et al., 2012) or negative (Jackson et al., 2005), depending on the local situation (see Section 11.7).</w:t>
            </w:r>
          </w:p>
        </w:tc>
        <w:tc>
          <w:tcPr>
            <w:tcW w:w="829" w:type="dxa"/>
          </w:tcPr>
          <w:p w14:paraId="1095F312" w14:textId="77777777" w:rsidR="00E6768D" w:rsidRDefault="000A2D5F" w:rsidP="003C2A33">
            <w:pPr>
              <w:pStyle w:val="KeinLeerraum"/>
            </w:pPr>
            <w:r>
              <w:t>6.6.2.6</w:t>
            </w:r>
          </w:p>
        </w:tc>
      </w:tr>
      <w:tr w:rsidR="00E6768D" w14:paraId="1CB73BAA" w14:textId="77777777" w:rsidTr="000F1568">
        <w:tc>
          <w:tcPr>
            <w:tcW w:w="531" w:type="dxa"/>
          </w:tcPr>
          <w:p w14:paraId="41311583" w14:textId="77777777" w:rsidR="00E6768D" w:rsidRDefault="00E6768D" w:rsidP="003C2A33">
            <w:pPr>
              <w:pStyle w:val="KeinLeerraum"/>
            </w:pPr>
            <w:r>
              <w:t>40</w:t>
            </w:r>
          </w:p>
        </w:tc>
        <w:tc>
          <w:tcPr>
            <w:tcW w:w="8262" w:type="dxa"/>
          </w:tcPr>
          <w:p w14:paraId="131316AA" w14:textId="77777777" w:rsidR="00E6768D" w:rsidRPr="00F71281" w:rsidRDefault="000A2D5F" w:rsidP="003C2A33">
            <w:pPr>
              <w:pStyle w:val="KeinLeerraum"/>
            </w:pPr>
            <w:r w:rsidRPr="00ED6FAC">
              <w:t xml:space="preserve">The integrated modelling literature provides limited information regarding the sufficiency of current technology, because </w:t>
            </w:r>
            <w:r w:rsidRPr="000A2D5F">
              <w:rPr>
                <w:b/>
              </w:rPr>
              <w:t>virtually all baseline and mitigation scenarios assume that technology will improve significantly over time, especially for technologies with a large potential for advancement</w:t>
            </w:r>
            <w:r w:rsidRPr="00ED6FAC">
              <w:t xml:space="preserve"> (see Riahi et al., 2013, and van der Zwaan et al., 2013, for two recent cross-model comparison examples).</w:t>
            </w:r>
          </w:p>
        </w:tc>
        <w:tc>
          <w:tcPr>
            <w:tcW w:w="829" w:type="dxa"/>
          </w:tcPr>
          <w:p w14:paraId="5E592397" w14:textId="77777777" w:rsidR="00E6768D" w:rsidRDefault="000A2D5F" w:rsidP="003C2A33">
            <w:pPr>
              <w:pStyle w:val="KeinLeerraum"/>
            </w:pPr>
            <w:r>
              <w:t>6.5.1</w:t>
            </w:r>
          </w:p>
        </w:tc>
      </w:tr>
      <w:tr w:rsidR="000A2D5F" w14:paraId="77B2632B" w14:textId="77777777" w:rsidTr="000F1568">
        <w:tc>
          <w:tcPr>
            <w:tcW w:w="531" w:type="dxa"/>
          </w:tcPr>
          <w:p w14:paraId="3C789A23" w14:textId="77777777" w:rsidR="000A2D5F" w:rsidRDefault="000A2D5F" w:rsidP="003C2A33">
            <w:pPr>
              <w:pStyle w:val="KeinLeerraum"/>
            </w:pPr>
            <w:r>
              <w:t>41</w:t>
            </w:r>
          </w:p>
        </w:tc>
        <w:tc>
          <w:tcPr>
            <w:tcW w:w="8262" w:type="dxa"/>
          </w:tcPr>
          <w:p w14:paraId="79BDFF16" w14:textId="77777777" w:rsidR="000A2D5F" w:rsidRPr="00ED6FAC" w:rsidRDefault="000A2D5F" w:rsidP="003C2A33">
            <w:pPr>
              <w:pStyle w:val="KeinLeerraum"/>
            </w:pPr>
            <w:r w:rsidRPr="000A2D5F">
              <w:t xml:space="preserve">The current scientific literature also emphasizes that the </w:t>
            </w:r>
            <w:r w:rsidRPr="000A2D5F">
              <w:rPr>
                <w:b/>
              </w:rPr>
              <w:t xml:space="preserve">development and deployment of CDR technologies </w:t>
            </w:r>
            <w:r w:rsidRPr="000A2D5F">
              <w:t>(see Section 6.9)</w:t>
            </w:r>
            <w:r w:rsidRPr="000A2D5F">
              <w:rPr>
                <w:b/>
              </w:rPr>
              <w:t>, are a further requirement for particular transformation pathways</w:t>
            </w:r>
            <w:r w:rsidRPr="000A2D5F">
              <w:t>, for example those leading to 450 ppm CO2eq by 2100 yet assuming substantial near-term delays in mitigation.</w:t>
            </w:r>
          </w:p>
        </w:tc>
        <w:tc>
          <w:tcPr>
            <w:tcW w:w="829" w:type="dxa"/>
          </w:tcPr>
          <w:p w14:paraId="08EFEF0C" w14:textId="77777777" w:rsidR="000A2D5F" w:rsidRDefault="000A2D5F" w:rsidP="003C2A33">
            <w:pPr>
              <w:pStyle w:val="KeinLeerraum"/>
            </w:pPr>
            <w:r>
              <w:t>6.5.1</w:t>
            </w:r>
          </w:p>
        </w:tc>
      </w:tr>
      <w:tr w:rsidR="000A2D5F" w14:paraId="12F56FDA" w14:textId="77777777" w:rsidTr="000F1568">
        <w:tc>
          <w:tcPr>
            <w:tcW w:w="531" w:type="dxa"/>
          </w:tcPr>
          <w:p w14:paraId="11935139" w14:textId="77777777" w:rsidR="000A2D5F" w:rsidRDefault="000A2D5F" w:rsidP="003C2A33">
            <w:pPr>
              <w:pStyle w:val="KeinLeerraum"/>
            </w:pPr>
            <w:r>
              <w:t>42</w:t>
            </w:r>
          </w:p>
        </w:tc>
        <w:tc>
          <w:tcPr>
            <w:tcW w:w="8262" w:type="dxa"/>
          </w:tcPr>
          <w:p w14:paraId="5B9FC10F" w14:textId="77777777" w:rsidR="000A2D5F" w:rsidRPr="00ED6FAC" w:rsidRDefault="000A2D5F" w:rsidP="003C2A33">
            <w:pPr>
              <w:pStyle w:val="KeinLeerraum"/>
            </w:pPr>
            <w:r w:rsidRPr="000A2D5F">
              <w:t>Direct options in AFOLU involve storing carbon in terrestrial systems (for example, through afforestation).</w:t>
            </w:r>
          </w:p>
        </w:tc>
        <w:tc>
          <w:tcPr>
            <w:tcW w:w="829" w:type="dxa"/>
          </w:tcPr>
          <w:p w14:paraId="1ABE55FC" w14:textId="77777777" w:rsidR="000A2D5F" w:rsidRDefault="000A2D5F" w:rsidP="003C2A33">
            <w:pPr>
              <w:pStyle w:val="KeinLeerraum"/>
            </w:pPr>
            <w:r>
              <w:t>6.8.1</w:t>
            </w:r>
          </w:p>
        </w:tc>
      </w:tr>
      <w:tr w:rsidR="000A2D5F" w14:paraId="2099FCCF" w14:textId="77777777" w:rsidTr="000F1568">
        <w:tc>
          <w:tcPr>
            <w:tcW w:w="531" w:type="dxa"/>
          </w:tcPr>
          <w:p w14:paraId="6CD0C6B9" w14:textId="77777777" w:rsidR="000A2D5F" w:rsidRDefault="000A2D5F" w:rsidP="003C2A33">
            <w:pPr>
              <w:pStyle w:val="KeinLeerraum"/>
            </w:pPr>
            <w:r>
              <w:t>43</w:t>
            </w:r>
          </w:p>
        </w:tc>
        <w:tc>
          <w:tcPr>
            <w:tcW w:w="8262" w:type="dxa"/>
          </w:tcPr>
          <w:p w14:paraId="2064A0D1" w14:textId="77777777" w:rsidR="000A2D5F" w:rsidRPr="00ED6FAC" w:rsidRDefault="000A2D5F" w:rsidP="003C2A33">
            <w:pPr>
              <w:pStyle w:val="KeinLeerraum"/>
            </w:pPr>
            <w:r w:rsidRPr="000A2D5F">
              <w:t xml:space="preserve">More so than any other energy supply technology, </w:t>
            </w:r>
            <w:r w:rsidRPr="000A2D5F">
              <w:rPr>
                <w:b/>
              </w:rPr>
              <w:t>the availability of BECCS and its role as a primary CDR technology</w:t>
            </w:r>
            <w:r w:rsidRPr="000A2D5F">
              <w:t xml:space="preserve"> (Sections 6.3.2 and 6.9) </w:t>
            </w:r>
            <w:r w:rsidRPr="000A2D5F">
              <w:rPr>
                <w:b/>
              </w:rPr>
              <w:t>has a substantial effect on this dynamic, allowing for energy supply sectors to serve as a net negative emissions source by mid-century and allowing for more gradual emissions reductions in other sectors</w:t>
            </w:r>
            <w:r w:rsidRPr="000A2D5F">
              <w:t>. In contrast, sectoral studies show available pathways to deep reductions in emissions (both direct and indirect) already by mid-century (see, e. g., Chapter 9).</w:t>
            </w:r>
          </w:p>
        </w:tc>
        <w:tc>
          <w:tcPr>
            <w:tcW w:w="829" w:type="dxa"/>
          </w:tcPr>
          <w:p w14:paraId="4F7A4445" w14:textId="77777777" w:rsidR="000A2D5F" w:rsidRDefault="000A2D5F" w:rsidP="003C2A33">
            <w:pPr>
              <w:pStyle w:val="KeinLeerraum"/>
            </w:pPr>
            <w:r>
              <w:t>6.8.2</w:t>
            </w:r>
          </w:p>
        </w:tc>
      </w:tr>
      <w:tr w:rsidR="000A2D5F" w14:paraId="3C7DE6D0" w14:textId="77777777" w:rsidTr="000F1568">
        <w:tc>
          <w:tcPr>
            <w:tcW w:w="531" w:type="dxa"/>
          </w:tcPr>
          <w:p w14:paraId="4E8460B3" w14:textId="77777777" w:rsidR="000A2D5F" w:rsidRDefault="000A2D5F" w:rsidP="003C2A33">
            <w:pPr>
              <w:pStyle w:val="KeinLeerraum"/>
            </w:pPr>
            <w:r>
              <w:t>44</w:t>
            </w:r>
          </w:p>
        </w:tc>
        <w:tc>
          <w:tcPr>
            <w:tcW w:w="8262" w:type="dxa"/>
          </w:tcPr>
          <w:p w14:paraId="477E8227" w14:textId="77777777" w:rsidR="000A2D5F" w:rsidRPr="00ED6FAC" w:rsidRDefault="000A2D5F" w:rsidP="003C2A33">
            <w:pPr>
              <w:pStyle w:val="KeinLeerraum"/>
            </w:pPr>
            <w:r w:rsidRPr="000A2D5F">
              <w:t xml:space="preserve">There is a </w:t>
            </w:r>
            <w:r w:rsidRPr="00613666">
              <w:rPr>
                <w:b/>
              </w:rPr>
              <w:t>wide uncertainty in the role of afforestation and reforestation in mitigation</w:t>
            </w:r>
            <w:r w:rsidRPr="000A2D5F">
              <w:t>, however. In some mitigation scenarios the AFOLU sectors can become a significant carbon sink (Section 6.3.2.4).</w:t>
            </w:r>
          </w:p>
        </w:tc>
        <w:tc>
          <w:tcPr>
            <w:tcW w:w="829" w:type="dxa"/>
          </w:tcPr>
          <w:p w14:paraId="5B53E4D0" w14:textId="77777777" w:rsidR="000A2D5F" w:rsidRDefault="000A2D5F" w:rsidP="003C2A33">
            <w:pPr>
              <w:pStyle w:val="KeinLeerraum"/>
            </w:pPr>
            <w:r>
              <w:t>6.8.2</w:t>
            </w:r>
          </w:p>
        </w:tc>
      </w:tr>
      <w:tr w:rsidR="000A2D5F" w14:paraId="5061D3D6" w14:textId="77777777" w:rsidTr="000F1568">
        <w:tc>
          <w:tcPr>
            <w:tcW w:w="531" w:type="dxa"/>
          </w:tcPr>
          <w:p w14:paraId="450C9EF1" w14:textId="77777777" w:rsidR="000A2D5F" w:rsidRDefault="000A2D5F" w:rsidP="003C2A33">
            <w:pPr>
              <w:pStyle w:val="KeinLeerraum"/>
            </w:pPr>
            <w:r>
              <w:t>45</w:t>
            </w:r>
          </w:p>
        </w:tc>
        <w:tc>
          <w:tcPr>
            <w:tcW w:w="8262" w:type="dxa"/>
          </w:tcPr>
          <w:p w14:paraId="103A542D" w14:textId="77777777" w:rsidR="000A2D5F" w:rsidRPr="00ED6FAC" w:rsidRDefault="00613666" w:rsidP="00613666">
            <w:pPr>
              <w:pStyle w:val="KeinLeerraum"/>
            </w:pPr>
            <w:r w:rsidRPr="00613666">
              <w:t xml:space="preserve">The one exception to this flexibility in energy supply surrounds the use of BECCS. </w:t>
            </w:r>
            <w:r w:rsidRPr="00613666">
              <w:rPr>
                <w:b/>
              </w:rPr>
              <w:t>CDR technologies such as BECCS are fundamental to many scenarios that achieve low-CO2eq concentrations</w:t>
            </w:r>
            <w:r w:rsidRPr="00613666">
              <w:t xml:space="preserve">, particularly those based on substantial overshoot as might occur if near-term mitigation is delayed (Sections 6.3.2 and 6.4). </w:t>
            </w:r>
          </w:p>
        </w:tc>
        <w:tc>
          <w:tcPr>
            <w:tcW w:w="829" w:type="dxa"/>
          </w:tcPr>
          <w:p w14:paraId="28BC06E9" w14:textId="77777777" w:rsidR="000A2D5F" w:rsidRDefault="00613666" w:rsidP="003C2A33">
            <w:pPr>
              <w:pStyle w:val="KeinLeerraum"/>
            </w:pPr>
            <w:r>
              <w:t>6.8.3</w:t>
            </w:r>
          </w:p>
        </w:tc>
      </w:tr>
      <w:tr w:rsidR="000A2D5F" w14:paraId="3F631417" w14:textId="77777777" w:rsidTr="000F1568">
        <w:tc>
          <w:tcPr>
            <w:tcW w:w="531" w:type="dxa"/>
          </w:tcPr>
          <w:p w14:paraId="5408A59D" w14:textId="77777777" w:rsidR="000A2D5F" w:rsidRDefault="000A2D5F" w:rsidP="003C2A33">
            <w:pPr>
              <w:pStyle w:val="KeinLeerraum"/>
            </w:pPr>
            <w:r>
              <w:t>46</w:t>
            </w:r>
          </w:p>
        </w:tc>
        <w:tc>
          <w:tcPr>
            <w:tcW w:w="8262" w:type="dxa"/>
          </w:tcPr>
          <w:p w14:paraId="6AC64EF3" w14:textId="77777777" w:rsidR="000A2D5F" w:rsidRPr="00ED6FAC" w:rsidRDefault="00613666" w:rsidP="003C2A33">
            <w:pPr>
              <w:pStyle w:val="KeinLeerraum"/>
            </w:pPr>
            <w:r w:rsidRPr="00613666">
              <w:t xml:space="preserve">In contrast to the electricity sector, decarbonization of the </w:t>
            </w:r>
            <w:r w:rsidRPr="00613666">
              <w:rPr>
                <w:b/>
              </w:rPr>
              <w:t>non-electric energy-supply sector (e. g., liquid fuels supply) is progressing typically at much lower pace</w:t>
            </w:r>
            <w:r w:rsidRPr="00613666">
              <w:t xml:space="preserve"> (Section 7.11.3, Figures 7.14 and 7.15) and could therefore constitute a </w:t>
            </w:r>
            <w:r w:rsidRPr="00613666">
              <w:rPr>
                <w:b/>
              </w:rPr>
              <w:t>bottleneck</w:t>
            </w:r>
            <w:r w:rsidRPr="00613666">
              <w:t xml:space="preserve"> in the transformation process.</w:t>
            </w:r>
          </w:p>
        </w:tc>
        <w:tc>
          <w:tcPr>
            <w:tcW w:w="829" w:type="dxa"/>
          </w:tcPr>
          <w:p w14:paraId="54CFB517" w14:textId="77777777" w:rsidR="000A2D5F" w:rsidRDefault="00613666" w:rsidP="003C2A33">
            <w:pPr>
              <w:pStyle w:val="KeinLeerraum"/>
            </w:pPr>
            <w:r>
              <w:t>6.8.3</w:t>
            </w:r>
          </w:p>
        </w:tc>
      </w:tr>
      <w:tr w:rsidR="00613666" w14:paraId="0B8E9878" w14:textId="77777777" w:rsidTr="000F1568">
        <w:tc>
          <w:tcPr>
            <w:tcW w:w="531" w:type="dxa"/>
          </w:tcPr>
          <w:p w14:paraId="57067CF0" w14:textId="77777777" w:rsidR="00613666" w:rsidRDefault="00613666" w:rsidP="003C2A33">
            <w:pPr>
              <w:pStyle w:val="KeinLeerraum"/>
            </w:pPr>
            <w:r>
              <w:t>47</w:t>
            </w:r>
          </w:p>
        </w:tc>
        <w:tc>
          <w:tcPr>
            <w:tcW w:w="8262" w:type="dxa"/>
          </w:tcPr>
          <w:p w14:paraId="2EF3E113" w14:textId="77777777" w:rsidR="00613666" w:rsidRPr="00613666" w:rsidRDefault="00797AC9" w:rsidP="003C2A33">
            <w:pPr>
              <w:pStyle w:val="KeinLeerraum"/>
            </w:pPr>
            <w:r w:rsidRPr="00797AC9">
              <w:t>However, in deep emission-reduction scenarios, indirect emissions from electricity are largely eliminated by 2050, and in many scenarios, the electricity sector even becomes a sink for CO2 through the use of BECCS (Figure 6.35, left panel).</w:t>
            </w:r>
          </w:p>
        </w:tc>
        <w:tc>
          <w:tcPr>
            <w:tcW w:w="829" w:type="dxa"/>
          </w:tcPr>
          <w:p w14:paraId="5D0E603B" w14:textId="77777777" w:rsidR="00613666" w:rsidRDefault="00797AC9" w:rsidP="003C2A33">
            <w:pPr>
              <w:pStyle w:val="KeinLeerraum"/>
            </w:pPr>
            <w:r>
              <w:t>6.8.4</w:t>
            </w:r>
          </w:p>
        </w:tc>
      </w:tr>
      <w:tr w:rsidR="00613666" w14:paraId="443FB624" w14:textId="77777777" w:rsidTr="000F1568">
        <w:tc>
          <w:tcPr>
            <w:tcW w:w="531" w:type="dxa"/>
          </w:tcPr>
          <w:p w14:paraId="787BEFAF" w14:textId="77777777" w:rsidR="00613666" w:rsidRDefault="00613666" w:rsidP="003C2A33">
            <w:pPr>
              <w:pStyle w:val="KeinLeerraum"/>
            </w:pPr>
            <w:r>
              <w:t>48</w:t>
            </w:r>
          </w:p>
        </w:tc>
        <w:tc>
          <w:tcPr>
            <w:tcW w:w="8262" w:type="dxa"/>
          </w:tcPr>
          <w:p w14:paraId="45A70057" w14:textId="77777777" w:rsidR="00613666" w:rsidRPr="00613666" w:rsidRDefault="00797AC9" w:rsidP="003C2A33">
            <w:pPr>
              <w:pStyle w:val="KeinLeerraum"/>
            </w:pPr>
            <w:r w:rsidRPr="00797AC9">
              <w:t xml:space="preserve">The integrated modelling studies sketch out a wide range of ways in which these forces might </w:t>
            </w:r>
            <w:r w:rsidRPr="00797AC9">
              <w:rPr>
                <w:b/>
              </w:rPr>
              <w:t>affect the land surface, from widespread afforestation under comprehensive climate policies to widespread deforestation if carbon storage on land is not included in the mitigation policy</w:t>
            </w:r>
            <w:r w:rsidRPr="00797AC9">
              <w:t xml:space="preserve"> (Sections 6.3.5 and 11.9).</w:t>
            </w:r>
          </w:p>
        </w:tc>
        <w:tc>
          <w:tcPr>
            <w:tcW w:w="829" w:type="dxa"/>
          </w:tcPr>
          <w:p w14:paraId="32C4D582" w14:textId="77777777" w:rsidR="00613666" w:rsidRDefault="00797AC9" w:rsidP="003C2A33">
            <w:pPr>
              <w:pStyle w:val="KeinLeerraum"/>
            </w:pPr>
            <w:r>
              <w:t>6.8.5</w:t>
            </w:r>
          </w:p>
        </w:tc>
      </w:tr>
      <w:tr w:rsidR="00613666" w14:paraId="63D9A0F2" w14:textId="77777777" w:rsidTr="000F1568">
        <w:tc>
          <w:tcPr>
            <w:tcW w:w="531" w:type="dxa"/>
          </w:tcPr>
          <w:p w14:paraId="5B3B5BB8" w14:textId="77777777" w:rsidR="00613666" w:rsidRDefault="00613666" w:rsidP="003C2A33">
            <w:pPr>
              <w:pStyle w:val="KeinLeerraum"/>
            </w:pPr>
            <w:r>
              <w:lastRenderedPageBreak/>
              <w:t>49</w:t>
            </w:r>
          </w:p>
        </w:tc>
        <w:tc>
          <w:tcPr>
            <w:tcW w:w="8262" w:type="dxa"/>
          </w:tcPr>
          <w:p w14:paraId="0F3A771E" w14:textId="77777777" w:rsidR="00613666" w:rsidRPr="00613666" w:rsidRDefault="00797AC9" w:rsidP="00797AC9">
            <w:pPr>
              <w:pStyle w:val="KeinLeerraum"/>
            </w:pPr>
            <w:r w:rsidRPr="00797AC9">
              <w:t xml:space="preserve">These challenges raise questions about transformation pathways (Section 11.6). For example, although increasing the land area covered by natural forests could enhance biodiversity and a range of other ecosystem services, </w:t>
            </w:r>
            <w:r w:rsidRPr="00797AC9">
              <w:rPr>
                <w:b/>
              </w:rPr>
              <w:t>afforestation occurring through large-scale plantations could negatively impact biodiversity, water, and other ecosystem services</w:t>
            </w:r>
            <w:r w:rsidRPr="00797AC9">
              <w:t xml:space="preserve"> (Sections 11.7 and 11.13.6). </w:t>
            </w:r>
          </w:p>
        </w:tc>
        <w:tc>
          <w:tcPr>
            <w:tcW w:w="829" w:type="dxa"/>
          </w:tcPr>
          <w:p w14:paraId="50F86222" w14:textId="77777777" w:rsidR="00613666" w:rsidRDefault="00797AC9" w:rsidP="003C2A33">
            <w:pPr>
              <w:pStyle w:val="KeinLeerraum"/>
            </w:pPr>
            <w:r>
              <w:t>6.8.5</w:t>
            </w:r>
          </w:p>
        </w:tc>
      </w:tr>
      <w:tr w:rsidR="00613666" w14:paraId="0F0082EB" w14:textId="77777777" w:rsidTr="000F1568">
        <w:tc>
          <w:tcPr>
            <w:tcW w:w="531" w:type="dxa"/>
          </w:tcPr>
          <w:p w14:paraId="2F0041A7" w14:textId="77777777" w:rsidR="00613666" w:rsidRDefault="00613666" w:rsidP="003C2A33">
            <w:pPr>
              <w:pStyle w:val="KeinLeerraum"/>
            </w:pPr>
            <w:r>
              <w:t>50</w:t>
            </w:r>
          </w:p>
        </w:tc>
        <w:tc>
          <w:tcPr>
            <w:tcW w:w="8262" w:type="dxa"/>
          </w:tcPr>
          <w:p w14:paraId="37E36010" w14:textId="77777777" w:rsidR="00613666" w:rsidRPr="00613666" w:rsidRDefault="00797AC9" w:rsidP="003C2A33">
            <w:pPr>
              <w:pStyle w:val="KeinLeerraum"/>
            </w:pPr>
            <w:r w:rsidRPr="00797AC9">
              <w:t xml:space="preserve">Similarly, the </w:t>
            </w:r>
            <w:r w:rsidRPr="00797AC9">
              <w:rPr>
                <w:b/>
              </w:rPr>
              <w:t>use of large land areas for afforestation or dedicated feedstocks for bioenergy could increase food prices</w:t>
            </w:r>
            <w:r w:rsidRPr="00797AC9">
              <w:t xml:space="preserve"> </w:t>
            </w:r>
            <w:r w:rsidRPr="00797AC9">
              <w:rPr>
                <w:b/>
              </w:rPr>
              <w:t>and compromise food security</w:t>
            </w:r>
            <w:r w:rsidRPr="00797AC9">
              <w:t xml:space="preserve"> if land normally used for food production is converted to bioenergy or forests (Section 11.4). The degree of these effects is uncertain and </w:t>
            </w:r>
            <w:r w:rsidRPr="00797AC9">
              <w:rPr>
                <w:b/>
              </w:rPr>
              <w:t>depends on a variety of sector-specific details regarding intensification of land use, changes in dietary habits, global market interactions, and biophysical characteristics and dynamics</w:t>
            </w:r>
            <w:r w:rsidRPr="00797AC9">
              <w:t>.</w:t>
            </w:r>
          </w:p>
        </w:tc>
        <w:tc>
          <w:tcPr>
            <w:tcW w:w="829" w:type="dxa"/>
          </w:tcPr>
          <w:p w14:paraId="28E908BA" w14:textId="77777777" w:rsidR="00613666" w:rsidRDefault="00797AC9" w:rsidP="003C2A33">
            <w:pPr>
              <w:pStyle w:val="KeinLeerraum"/>
            </w:pPr>
            <w:r>
              <w:t>6.8.5</w:t>
            </w:r>
          </w:p>
        </w:tc>
      </w:tr>
      <w:tr w:rsidR="00613666" w14:paraId="50B2ED3D" w14:textId="77777777" w:rsidTr="000F1568">
        <w:tc>
          <w:tcPr>
            <w:tcW w:w="531" w:type="dxa"/>
          </w:tcPr>
          <w:p w14:paraId="21AB1F74" w14:textId="77777777" w:rsidR="00613666" w:rsidRDefault="00613666" w:rsidP="003C2A33">
            <w:pPr>
              <w:pStyle w:val="KeinLeerraum"/>
            </w:pPr>
            <w:r>
              <w:t>51</w:t>
            </w:r>
          </w:p>
        </w:tc>
        <w:tc>
          <w:tcPr>
            <w:tcW w:w="8262" w:type="dxa"/>
          </w:tcPr>
          <w:p w14:paraId="3CE273D1" w14:textId="77777777" w:rsidR="00613666" w:rsidRPr="00613666" w:rsidRDefault="00797AC9" w:rsidP="003C2A33">
            <w:pPr>
              <w:pStyle w:val="KeinLeerraum"/>
            </w:pPr>
            <w:r w:rsidRPr="00797AC9">
              <w:t>Two categories of geoengineering are generally distinguished. Removal of GHGs, in particular carbon dioxide termed ‘carbon dioxide removal’ or CDR, would reduce atmospheric GHG concentrations. The boundary between some mitigation and some CDR methods is not always clear (Boucher et al., 2011, 2013).</w:t>
            </w:r>
          </w:p>
        </w:tc>
        <w:tc>
          <w:tcPr>
            <w:tcW w:w="829" w:type="dxa"/>
          </w:tcPr>
          <w:p w14:paraId="5681E820" w14:textId="77777777" w:rsidR="00613666" w:rsidRDefault="00797AC9" w:rsidP="003C2A33">
            <w:pPr>
              <w:pStyle w:val="KeinLeerraum"/>
            </w:pPr>
            <w:r>
              <w:t>6.9</w:t>
            </w:r>
          </w:p>
        </w:tc>
      </w:tr>
      <w:tr w:rsidR="00613666" w14:paraId="7E76478E" w14:textId="77777777" w:rsidTr="000F1568">
        <w:tc>
          <w:tcPr>
            <w:tcW w:w="531" w:type="dxa"/>
          </w:tcPr>
          <w:p w14:paraId="7B442049" w14:textId="77777777" w:rsidR="00613666" w:rsidRDefault="00613666" w:rsidP="003C2A33">
            <w:pPr>
              <w:pStyle w:val="KeinLeerraum"/>
            </w:pPr>
            <w:r>
              <w:t>52</w:t>
            </w:r>
          </w:p>
        </w:tc>
        <w:tc>
          <w:tcPr>
            <w:tcW w:w="8262" w:type="dxa"/>
          </w:tcPr>
          <w:p w14:paraId="7F979CA2" w14:textId="77777777" w:rsidR="00613666" w:rsidRPr="00613666" w:rsidRDefault="00797AC9" w:rsidP="003C2A33">
            <w:pPr>
              <w:pStyle w:val="KeinLeerraum"/>
            </w:pPr>
            <w:r w:rsidRPr="00797AC9">
              <w:rPr>
                <w:b/>
              </w:rPr>
              <w:t>Most assessments agree that geoengineering technologies should not be treated as a replacement for conventional mitigation and adaptation due to the high costs involved for some techniques, particularly most CDR methods, and the potential risks, or pervasive uncertainties involved with nearly all techniques</w:t>
            </w:r>
            <w:r w:rsidRPr="00797AC9">
              <w:t xml:space="preserve"> (Royal Society, 2009; Rickels et al., 2011).</w:t>
            </w:r>
          </w:p>
        </w:tc>
        <w:tc>
          <w:tcPr>
            <w:tcW w:w="829" w:type="dxa"/>
          </w:tcPr>
          <w:p w14:paraId="7660E677" w14:textId="77777777" w:rsidR="00613666" w:rsidRDefault="00797AC9" w:rsidP="003C2A33">
            <w:pPr>
              <w:pStyle w:val="KeinLeerraum"/>
            </w:pPr>
            <w:r>
              <w:t>6.9</w:t>
            </w:r>
          </w:p>
        </w:tc>
      </w:tr>
      <w:tr w:rsidR="00613666" w14:paraId="5E36EA25" w14:textId="77777777" w:rsidTr="000F1568">
        <w:tc>
          <w:tcPr>
            <w:tcW w:w="531" w:type="dxa"/>
          </w:tcPr>
          <w:p w14:paraId="1AA41B2F" w14:textId="77777777" w:rsidR="00613666" w:rsidRDefault="00613666" w:rsidP="003C2A33">
            <w:pPr>
              <w:pStyle w:val="KeinLeerraum"/>
            </w:pPr>
            <w:r>
              <w:t>53</w:t>
            </w:r>
          </w:p>
        </w:tc>
        <w:tc>
          <w:tcPr>
            <w:tcW w:w="8262" w:type="dxa"/>
          </w:tcPr>
          <w:p w14:paraId="24B392A6" w14:textId="77777777" w:rsidR="00613666" w:rsidRPr="00613666" w:rsidRDefault="00797AC9" w:rsidP="00797AC9">
            <w:pPr>
              <w:pStyle w:val="KeinLeerraum"/>
            </w:pPr>
            <w:r w:rsidRPr="00797AC9">
              <w:t xml:space="preserve">Proposed CDR methods involve removing CO2 from the atmosphere and storing the carbon in land, ocean, or geological reservoirs. These </w:t>
            </w:r>
            <w:r w:rsidRPr="00797AC9">
              <w:rPr>
                <w:b/>
              </w:rPr>
              <w:t>methods vary greatly in their estimated costs, risks to humans and the environment, potential scalability, and notably in the depth of research about their potential and risks</w:t>
            </w:r>
            <w:r w:rsidRPr="00797AC9">
              <w:t xml:space="preserve">. Some techniques that fall within the definition of CDR are also regarded as </w:t>
            </w:r>
            <w:r w:rsidRPr="00797AC9">
              <w:rPr>
                <w:b/>
              </w:rPr>
              <w:t>mitigation measures such as afforestation and BECCS</w:t>
            </w:r>
            <w:r w:rsidRPr="00797AC9">
              <w:t xml:space="preserve"> (see Glossary). </w:t>
            </w:r>
          </w:p>
        </w:tc>
        <w:tc>
          <w:tcPr>
            <w:tcW w:w="829" w:type="dxa"/>
          </w:tcPr>
          <w:p w14:paraId="180DA31A" w14:textId="77777777" w:rsidR="00613666" w:rsidRDefault="00797AC9" w:rsidP="003C2A33">
            <w:pPr>
              <w:pStyle w:val="KeinLeerraum"/>
            </w:pPr>
            <w:r>
              <w:t>6.9.1</w:t>
            </w:r>
          </w:p>
        </w:tc>
      </w:tr>
      <w:tr w:rsidR="00613666" w14:paraId="3C255564" w14:textId="77777777" w:rsidTr="003A1521">
        <w:tc>
          <w:tcPr>
            <w:tcW w:w="531" w:type="dxa"/>
            <w:shd w:val="clear" w:color="auto" w:fill="F2F2F2" w:themeFill="background1" w:themeFillShade="F2"/>
          </w:tcPr>
          <w:p w14:paraId="7BC17524" w14:textId="77777777" w:rsidR="00613666" w:rsidRDefault="00613666" w:rsidP="003C2A33">
            <w:pPr>
              <w:pStyle w:val="KeinLeerraum"/>
            </w:pPr>
            <w:r>
              <w:t>54</w:t>
            </w:r>
          </w:p>
        </w:tc>
        <w:tc>
          <w:tcPr>
            <w:tcW w:w="8262" w:type="dxa"/>
            <w:shd w:val="clear" w:color="auto" w:fill="F2F2F2" w:themeFill="background1" w:themeFillShade="F2"/>
          </w:tcPr>
          <w:p w14:paraId="47B7CEE7" w14:textId="77777777" w:rsidR="00613666" w:rsidRPr="00613666" w:rsidRDefault="00797AC9" w:rsidP="003C2A33">
            <w:pPr>
              <w:pStyle w:val="KeinLeerraum"/>
            </w:pPr>
            <w:r w:rsidRPr="00797AC9">
              <w:t>The term ‘negative emissions technologies’ can be used as an alternative to CDR (McGlashan et al., 2012; McLaren, 2012; Tavoni and Socolow, 2013).</w:t>
            </w:r>
          </w:p>
        </w:tc>
        <w:tc>
          <w:tcPr>
            <w:tcW w:w="829" w:type="dxa"/>
            <w:shd w:val="clear" w:color="auto" w:fill="F2F2F2" w:themeFill="background1" w:themeFillShade="F2"/>
          </w:tcPr>
          <w:p w14:paraId="71895240" w14:textId="77777777" w:rsidR="00613666" w:rsidRDefault="00797AC9" w:rsidP="003C2A33">
            <w:pPr>
              <w:pStyle w:val="KeinLeerraum"/>
            </w:pPr>
            <w:r>
              <w:t>6.9.1.1</w:t>
            </w:r>
          </w:p>
        </w:tc>
      </w:tr>
      <w:tr w:rsidR="00613666" w14:paraId="69057823" w14:textId="77777777" w:rsidTr="003A1521">
        <w:tc>
          <w:tcPr>
            <w:tcW w:w="531" w:type="dxa"/>
            <w:shd w:val="clear" w:color="auto" w:fill="F2F2F2" w:themeFill="background1" w:themeFillShade="F2"/>
          </w:tcPr>
          <w:p w14:paraId="7F49A5C8" w14:textId="77777777" w:rsidR="00613666" w:rsidRDefault="00613666" w:rsidP="003C2A33">
            <w:pPr>
              <w:pStyle w:val="KeinLeerraum"/>
            </w:pPr>
            <w:r>
              <w:t>55</w:t>
            </w:r>
          </w:p>
        </w:tc>
        <w:tc>
          <w:tcPr>
            <w:tcW w:w="8262" w:type="dxa"/>
            <w:shd w:val="clear" w:color="auto" w:fill="F2F2F2" w:themeFill="background1" w:themeFillShade="F2"/>
          </w:tcPr>
          <w:p w14:paraId="4769DC4C" w14:textId="77777777" w:rsidR="00613666" w:rsidRPr="00613666" w:rsidRDefault="00797AC9" w:rsidP="003C2A33">
            <w:pPr>
              <w:pStyle w:val="KeinLeerraum"/>
            </w:pPr>
            <w:r w:rsidRPr="00797AC9">
              <w:t>CDR techniques can be categorized in alternative ways. For example, they can be categorized (1) as industrial technologies versus ecosystem manipulation; (2) by the pathway for carbon dioxide capture (e. g. McLaren, 2012; Caldeira et al., 2013); (3) by the fate of the stored carbon (Stephens and Keith, 2008); and (4) by the scale of implementation (Boucher et al., 2013). Removal of other GHGs, e. g., CH4 and N2O, have also been proposed (Boucher and Folberth, 2010; de Richter and Caillol, 2011; Stolaroff et al., 2012).</w:t>
            </w:r>
          </w:p>
        </w:tc>
        <w:tc>
          <w:tcPr>
            <w:tcW w:w="829" w:type="dxa"/>
            <w:shd w:val="clear" w:color="auto" w:fill="F2F2F2" w:themeFill="background1" w:themeFillShade="F2"/>
          </w:tcPr>
          <w:p w14:paraId="43352627" w14:textId="77777777" w:rsidR="00613666" w:rsidRDefault="00797AC9" w:rsidP="003C2A33">
            <w:pPr>
              <w:pStyle w:val="KeinLeerraum"/>
            </w:pPr>
            <w:r>
              <w:t>6.9.1.1</w:t>
            </w:r>
          </w:p>
        </w:tc>
      </w:tr>
      <w:tr w:rsidR="00613666" w14:paraId="0D9A4897" w14:textId="77777777" w:rsidTr="003A1521">
        <w:tc>
          <w:tcPr>
            <w:tcW w:w="531" w:type="dxa"/>
            <w:shd w:val="clear" w:color="auto" w:fill="F2F2F2" w:themeFill="background1" w:themeFillShade="F2"/>
          </w:tcPr>
          <w:p w14:paraId="11DECBFB" w14:textId="77777777" w:rsidR="00613666" w:rsidRDefault="00613666" w:rsidP="003C2A33">
            <w:pPr>
              <w:pStyle w:val="KeinLeerraum"/>
            </w:pPr>
            <w:r>
              <w:t>56</w:t>
            </w:r>
          </w:p>
        </w:tc>
        <w:tc>
          <w:tcPr>
            <w:tcW w:w="8262" w:type="dxa"/>
            <w:shd w:val="clear" w:color="auto" w:fill="F2F2F2" w:themeFill="background1" w:themeFillShade="F2"/>
          </w:tcPr>
          <w:p w14:paraId="2B4419ED" w14:textId="77777777" w:rsidR="00613666" w:rsidRPr="00613666" w:rsidRDefault="00797AC9" w:rsidP="00797AC9">
            <w:pPr>
              <w:pStyle w:val="KeinLeerraum"/>
            </w:pPr>
            <w:r w:rsidRPr="00797AC9">
              <w:t xml:space="preserve">All CDR techniques have a similar slow impact on rates of warming as mitigation measures (van Vuuren and Stehfest, 2013) (see WG I Section 6.5.1). </w:t>
            </w:r>
            <w:r w:rsidRPr="00797AC9">
              <w:rPr>
                <w:b/>
              </w:rPr>
              <w:t>An atmospheric ‘rebound effect’ (see WG I Glossary) dictates that CDR requires roughly twice as much CO2 removed from the atmosphere for any desired net reduction in atmospheric CO2 concentration, as some CO2 will be returned from the natural carbon sinks (Lenton and Vaughan, 2009; Matthews, 2010).</w:t>
            </w:r>
            <w:r w:rsidRPr="00797AC9">
              <w:t xml:space="preserve"> </w:t>
            </w:r>
          </w:p>
        </w:tc>
        <w:tc>
          <w:tcPr>
            <w:tcW w:w="829" w:type="dxa"/>
            <w:shd w:val="clear" w:color="auto" w:fill="F2F2F2" w:themeFill="background1" w:themeFillShade="F2"/>
          </w:tcPr>
          <w:p w14:paraId="6EA36659" w14:textId="77777777" w:rsidR="00613666" w:rsidRDefault="00797AC9" w:rsidP="003C2A33">
            <w:pPr>
              <w:pStyle w:val="KeinLeerraum"/>
            </w:pPr>
            <w:r>
              <w:t>6.9.1.1</w:t>
            </w:r>
          </w:p>
        </w:tc>
      </w:tr>
      <w:tr w:rsidR="00613666" w14:paraId="65B8150F" w14:textId="77777777" w:rsidTr="003A1521">
        <w:tc>
          <w:tcPr>
            <w:tcW w:w="531" w:type="dxa"/>
            <w:shd w:val="clear" w:color="auto" w:fill="F2F2F2" w:themeFill="background1" w:themeFillShade="F2"/>
          </w:tcPr>
          <w:p w14:paraId="72DF7DD4" w14:textId="77777777" w:rsidR="00613666" w:rsidRDefault="00613666" w:rsidP="003C2A33">
            <w:pPr>
              <w:pStyle w:val="KeinLeerraum"/>
            </w:pPr>
            <w:r>
              <w:t>57</w:t>
            </w:r>
          </w:p>
        </w:tc>
        <w:tc>
          <w:tcPr>
            <w:tcW w:w="8262" w:type="dxa"/>
            <w:shd w:val="clear" w:color="auto" w:fill="F2F2F2" w:themeFill="background1" w:themeFillShade="F2"/>
          </w:tcPr>
          <w:p w14:paraId="02EB17F8" w14:textId="77777777" w:rsidR="00613666" w:rsidRPr="00613666" w:rsidRDefault="00797AC9" w:rsidP="003C2A33">
            <w:pPr>
              <w:pStyle w:val="KeinLeerraum"/>
            </w:pPr>
            <w:r w:rsidRPr="00797AC9">
              <w:rPr>
                <w:b/>
              </w:rPr>
              <w:t>Permanence of the storage reservoir</w:t>
            </w:r>
            <w:r w:rsidRPr="00797AC9">
              <w:t xml:space="preserve"> is a key consideration for CDR efficacy. Permanent (larger than tens of thousands of years) could be geological reservoirs while nonpermanent reservoirs include oceans and land (the latter could, among others, be affected by the magnitude of future climate change) (see WG I Section 6.5.1). </w:t>
            </w:r>
            <w:r w:rsidRPr="00797AC9">
              <w:rPr>
                <w:b/>
              </w:rPr>
              <w:t>Storage capacity estimates suggest geological reservoirs could store several thousand GtC</w:t>
            </w:r>
            <w:r w:rsidRPr="00797AC9">
              <w:t>; the oceans a few thousand GtC in the long term, and the land may have the potential to store the equivalent to historical land-use loss of 180 ±  80 GtC (also see Table 6.15 of WG I)</w:t>
            </w:r>
            <w:r>
              <w:t xml:space="preserve"> </w:t>
            </w:r>
            <w:r w:rsidRPr="00797AC9">
              <w:t>(IPCC, 2005; House et al., 2006; Orr, 2009; Matthews, 2010).</w:t>
            </w:r>
          </w:p>
        </w:tc>
        <w:tc>
          <w:tcPr>
            <w:tcW w:w="829" w:type="dxa"/>
            <w:shd w:val="clear" w:color="auto" w:fill="F2F2F2" w:themeFill="background1" w:themeFillShade="F2"/>
          </w:tcPr>
          <w:p w14:paraId="10033294" w14:textId="77777777" w:rsidR="00613666" w:rsidRDefault="00797AC9" w:rsidP="003C2A33">
            <w:pPr>
              <w:pStyle w:val="KeinLeerraum"/>
            </w:pPr>
            <w:r>
              <w:t>6.9.1.1</w:t>
            </w:r>
          </w:p>
        </w:tc>
      </w:tr>
      <w:tr w:rsidR="00613666" w14:paraId="67ADD1E7" w14:textId="77777777" w:rsidTr="003A1521">
        <w:tc>
          <w:tcPr>
            <w:tcW w:w="531" w:type="dxa"/>
            <w:shd w:val="clear" w:color="auto" w:fill="F2F2F2" w:themeFill="background1" w:themeFillShade="F2"/>
          </w:tcPr>
          <w:p w14:paraId="620CC141" w14:textId="77777777" w:rsidR="00613666" w:rsidRDefault="00613666" w:rsidP="003C2A33">
            <w:pPr>
              <w:pStyle w:val="KeinLeerraum"/>
            </w:pPr>
            <w:r>
              <w:lastRenderedPageBreak/>
              <w:t>58</w:t>
            </w:r>
          </w:p>
        </w:tc>
        <w:tc>
          <w:tcPr>
            <w:tcW w:w="8262" w:type="dxa"/>
            <w:shd w:val="clear" w:color="auto" w:fill="F2F2F2" w:themeFill="background1" w:themeFillShade="F2"/>
          </w:tcPr>
          <w:p w14:paraId="1E5ECE88" w14:textId="77777777" w:rsidR="00613666" w:rsidRPr="00613666" w:rsidRDefault="00797AC9" w:rsidP="00797AC9">
            <w:pPr>
              <w:pStyle w:val="KeinLeerraum"/>
            </w:pPr>
            <w:r w:rsidRPr="00797AC9">
              <w:t xml:space="preserve">The use of CCS technologies (IPCC, 2005) with biomass energy also creates a carbon sink (Azar et al., 2006; Gough and Upham, 2011). </w:t>
            </w:r>
            <w:r w:rsidRPr="00797AC9">
              <w:rPr>
                <w:b/>
              </w:rPr>
              <w:t>BECCS is included in the RCP 2.6</w:t>
            </w:r>
            <w:r w:rsidRPr="00797AC9">
              <w:t xml:space="preserve"> (van Vuuren et al., 2007, 2011b) and a wide range of scenarios reaching similar and higher concentration goals. From a technical perspective, BECCS is very similar to a combination of other techniques that are part of the mitigation portfolio: the production of bio-energy and CCS for fossil fuels. </w:t>
            </w:r>
          </w:p>
        </w:tc>
        <w:tc>
          <w:tcPr>
            <w:tcW w:w="829" w:type="dxa"/>
            <w:shd w:val="clear" w:color="auto" w:fill="F2F2F2" w:themeFill="background1" w:themeFillShade="F2"/>
          </w:tcPr>
          <w:p w14:paraId="3625EACF" w14:textId="77777777" w:rsidR="00613666" w:rsidRDefault="00797AC9" w:rsidP="003C2A33">
            <w:pPr>
              <w:pStyle w:val="KeinLeerraum"/>
            </w:pPr>
            <w:r>
              <w:t>6.9.1.1</w:t>
            </w:r>
          </w:p>
        </w:tc>
      </w:tr>
      <w:tr w:rsidR="00613666" w14:paraId="162A1D54" w14:textId="77777777" w:rsidTr="003A1521">
        <w:tc>
          <w:tcPr>
            <w:tcW w:w="531" w:type="dxa"/>
            <w:shd w:val="clear" w:color="auto" w:fill="F2F2F2" w:themeFill="background1" w:themeFillShade="F2"/>
          </w:tcPr>
          <w:p w14:paraId="125A686E" w14:textId="77777777" w:rsidR="00613666" w:rsidRDefault="00613666" w:rsidP="003C2A33">
            <w:pPr>
              <w:pStyle w:val="KeinLeerraum"/>
            </w:pPr>
            <w:r>
              <w:t>59</w:t>
            </w:r>
          </w:p>
        </w:tc>
        <w:tc>
          <w:tcPr>
            <w:tcW w:w="8262" w:type="dxa"/>
            <w:shd w:val="clear" w:color="auto" w:fill="F2F2F2" w:themeFill="background1" w:themeFillShade="F2"/>
          </w:tcPr>
          <w:p w14:paraId="316511D0" w14:textId="77777777" w:rsidR="00613666" w:rsidRPr="00613666" w:rsidRDefault="00797AC9" w:rsidP="003C2A33">
            <w:pPr>
              <w:pStyle w:val="KeinLeerraum"/>
            </w:pPr>
            <w:r w:rsidRPr="00797AC9">
              <w:rPr>
                <w:b/>
              </w:rPr>
              <w:t>Estimates of the global technical potential for BECCS vary greatly ranging from 3 to more than 10 GtCO2 / yr</w:t>
            </w:r>
            <w:r w:rsidRPr="00797AC9">
              <w:t xml:space="preserve"> (Koornneef et al., 2012; McLaren, 2012; van Vuuren et al., 2013), while </w:t>
            </w:r>
            <w:r w:rsidRPr="00797AC9">
              <w:rPr>
                <w:b/>
              </w:rPr>
              <w:t>initial cost estimates also vary greatly from around 60 to 250 USD / tCO2</w:t>
            </w:r>
            <w:r w:rsidRPr="00797AC9">
              <w:t xml:space="preserve"> (McGlashan et al., 2012; McLaren, 2012). Important </w:t>
            </w:r>
            <w:r w:rsidRPr="00797AC9">
              <w:rPr>
                <w:b/>
              </w:rPr>
              <w:t>limiting factors</w:t>
            </w:r>
            <w:r w:rsidRPr="00797AC9">
              <w:t xml:space="preserve"> for BECCS include </w:t>
            </w:r>
            <w:r w:rsidRPr="00797AC9">
              <w:rPr>
                <w:b/>
              </w:rPr>
              <w:t>land availability, a sustainable supply of biomass and storage capacity</w:t>
            </w:r>
            <w:r w:rsidRPr="00797AC9">
              <w:t xml:space="preserve"> (Gough and Upham, 2011; McLaren, 2012). There is also a </w:t>
            </w:r>
            <w:r w:rsidRPr="00797AC9">
              <w:rPr>
                <w:b/>
              </w:rPr>
              <w:t>potential issue of competition for biomass under bioenergy-dependent mitigation pathways</w:t>
            </w:r>
            <w:r w:rsidRPr="00797AC9">
              <w:t>.</w:t>
            </w:r>
          </w:p>
        </w:tc>
        <w:tc>
          <w:tcPr>
            <w:tcW w:w="829" w:type="dxa"/>
            <w:shd w:val="clear" w:color="auto" w:fill="F2F2F2" w:themeFill="background1" w:themeFillShade="F2"/>
          </w:tcPr>
          <w:p w14:paraId="0D6927D7" w14:textId="77777777" w:rsidR="00613666" w:rsidRDefault="00797AC9" w:rsidP="003C2A33">
            <w:pPr>
              <w:pStyle w:val="KeinLeerraum"/>
            </w:pPr>
            <w:r>
              <w:t>6.9.1.1</w:t>
            </w:r>
          </w:p>
        </w:tc>
      </w:tr>
      <w:tr w:rsidR="00797AC9" w14:paraId="1172688E" w14:textId="77777777" w:rsidTr="003A1521">
        <w:tc>
          <w:tcPr>
            <w:tcW w:w="531" w:type="dxa"/>
            <w:shd w:val="clear" w:color="auto" w:fill="F2F2F2" w:themeFill="background1" w:themeFillShade="F2"/>
          </w:tcPr>
          <w:p w14:paraId="68B3D829" w14:textId="77777777" w:rsidR="00797AC9" w:rsidRDefault="00797AC9" w:rsidP="003C2A33">
            <w:pPr>
              <w:pStyle w:val="KeinLeerraum"/>
            </w:pPr>
            <w:r>
              <w:t>60</w:t>
            </w:r>
          </w:p>
        </w:tc>
        <w:tc>
          <w:tcPr>
            <w:tcW w:w="8262" w:type="dxa"/>
            <w:shd w:val="clear" w:color="auto" w:fill="F2F2F2" w:themeFill="background1" w:themeFillShade="F2"/>
          </w:tcPr>
          <w:p w14:paraId="56788305" w14:textId="77777777" w:rsidR="00797AC9" w:rsidRPr="00797AC9" w:rsidRDefault="00797AC9" w:rsidP="00415E62">
            <w:pPr>
              <w:pStyle w:val="KeinLeerraum"/>
              <w:rPr>
                <w:b/>
              </w:rPr>
            </w:pPr>
            <w:r w:rsidRPr="00797AC9">
              <w:rPr>
                <w:b/>
              </w:rPr>
              <w:t>Carbon dioxide captured through CCS, BECCS, and DAC are all intended to use the same storage reservoirs (in particular deep geologic reservoirs), potentially limiting their combined use under a transition pathway.</w:t>
            </w:r>
          </w:p>
        </w:tc>
        <w:tc>
          <w:tcPr>
            <w:tcW w:w="829" w:type="dxa"/>
            <w:shd w:val="clear" w:color="auto" w:fill="F2F2F2" w:themeFill="background1" w:themeFillShade="F2"/>
          </w:tcPr>
          <w:p w14:paraId="684746C2" w14:textId="77777777" w:rsidR="00797AC9" w:rsidRDefault="00797AC9" w:rsidP="00415E62">
            <w:pPr>
              <w:pStyle w:val="KeinLeerraum"/>
            </w:pPr>
            <w:r>
              <w:t>6.9.1.1</w:t>
            </w:r>
          </w:p>
        </w:tc>
      </w:tr>
      <w:tr w:rsidR="00797AC9" w14:paraId="570959CE" w14:textId="77777777" w:rsidTr="000F1568">
        <w:tc>
          <w:tcPr>
            <w:tcW w:w="531" w:type="dxa"/>
          </w:tcPr>
          <w:p w14:paraId="6D21CE86" w14:textId="77777777" w:rsidR="00797AC9" w:rsidRDefault="00797AC9" w:rsidP="003C2A33">
            <w:pPr>
              <w:pStyle w:val="KeinLeerraum"/>
            </w:pPr>
            <w:r>
              <w:t>61</w:t>
            </w:r>
          </w:p>
        </w:tc>
        <w:tc>
          <w:tcPr>
            <w:tcW w:w="8262" w:type="dxa"/>
          </w:tcPr>
          <w:p w14:paraId="44FCDAB3" w14:textId="77777777" w:rsidR="00797AC9" w:rsidRPr="003A1521" w:rsidRDefault="003A1521" w:rsidP="00B35030">
            <w:pPr>
              <w:pStyle w:val="KeinLeerraum"/>
            </w:pPr>
            <w:r w:rsidRPr="003A1521">
              <w:t xml:space="preserve">Two of the CDR techniques listed above, </w:t>
            </w:r>
            <w:r w:rsidRPr="00B35030">
              <w:rPr>
                <w:b/>
              </w:rPr>
              <w:t>BECCS and afforestation, are already evaluated in the current integrated models</w:t>
            </w:r>
            <w:r w:rsidRPr="003A1521">
              <w:t xml:space="preserve">. </w:t>
            </w:r>
            <w:r w:rsidRPr="00B35030">
              <w:rPr>
                <w:b/>
              </w:rPr>
              <w:t>For concentration goals on the order of 430 – 530 ppm CO2eq by 2100, BECCS forms an essential component</w:t>
            </w:r>
            <w:r w:rsidRPr="003A1521">
              <w:t xml:space="preserve"> of the response strategy for climate change in the majority of scenarios in the literature, particularly in the context of concentration overshoot. </w:t>
            </w:r>
          </w:p>
        </w:tc>
        <w:tc>
          <w:tcPr>
            <w:tcW w:w="829" w:type="dxa"/>
          </w:tcPr>
          <w:p w14:paraId="335ECDC9" w14:textId="77777777" w:rsidR="00797AC9" w:rsidRDefault="00B35030" w:rsidP="00415E62">
            <w:pPr>
              <w:pStyle w:val="KeinLeerraum"/>
            </w:pPr>
            <w:r>
              <w:t>6.9.1.2</w:t>
            </w:r>
          </w:p>
        </w:tc>
      </w:tr>
      <w:tr w:rsidR="00797AC9" w14:paraId="75ABB9DB" w14:textId="77777777" w:rsidTr="000F1568">
        <w:tc>
          <w:tcPr>
            <w:tcW w:w="531" w:type="dxa"/>
          </w:tcPr>
          <w:p w14:paraId="1CC7201C" w14:textId="77777777" w:rsidR="00797AC9" w:rsidRDefault="00797AC9" w:rsidP="003C2A33">
            <w:pPr>
              <w:pStyle w:val="KeinLeerraum"/>
            </w:pPr>
            <w:r>
              <w:t>62</w:t>
            </w:r>
          </w:p>
        </w:tc>
        <w:tc>
          <w:tcPr>
            <w:tcW w:w="8262" w:type="dxa"/>
          </w:tcPr>
          <w:p w14:paraId="1E2797B5" w14:textId="77777777" w:rsidR="00797AC9" w:rsidRPr="00797AC9" w:rsidRDefault="00B35030" w:rsidP="00B35030">
            <w:pPr>
              <w:pStyle w:val="KeinLeerraum"/>
              <w:rPr>
                <w:b/>
              </w:rPr>
            </w:pPr>
            <w:r w:rsidRPr="003A1521">
              <w:t xml:space="preserve">As discussed in Section 6.2.2, </w:t>
            </w:r>
            <w:r w:rsidRPr="00B35030">
              <w:rPr>
                <w:b/>
              </w:rPr>
              <w:t>BECCS offers additional mitigation potential, but also an option to delay some of the drastic mitigation action that would need to happen to reach lower GHG-concentration goals by the second half of the century</w:t>
            </w:r>
            <w:r w:rsidRPr="003A1521">
              <w:t xml:space="preserve">. </w:t>
            </w:r>
          </w:p>
        </w:tc>
        <w:tc>
          <w:tcPr>
            <w:tcW w:w="829" w:type="dxa"/>
          </w:tcPr>
          <w:p w14:paraId="6FF3C3CE" w14:textId="77777777" w:rsidR="00797AC9" w:rsidRDefault="00B35030" w:rsidP="00415E62">
            <w:pPr>
              <w:pStyle w:val="KeinLeerraum"/>
            </w:pPr>
            <w:r>
              <w:t>6.9.1.2</w:t>
            </w:r>
          </w:p>
        </w:tc>
      </w:tr>
      <w:tr w:rsidR="00797AC9" w14:paraId="44EBE520" w14:textId="77777777" w:rsidTr="000F1568">
        <w:tc>
          <w:tcPr>
            <w:tcW w:w="531" w:type="dxa"/>
          </w:tcPr>
          <w:p w14:paraId="580608DC" w14:textId="77777777" w:rsidR="00797AC9" w:rsidRDefault="00797AC9" w:rsidP="003C2A33">
            <w:pPr>
              <w:pStyle w:val="KeinLeerraum"/>
            </w:pPr>
            <w:r>
              <w:t>63</w:t>
            </w:r>
          </w:p>
        </w:tc>
        <w:tc>
          <w:tcPr>
            <w:tcW w:w="8262" w:type="dxa"/>
          </w:tcPr>
          <w:p w14:paraId="7A8EB4F6" w14:textId="77777777" w:rsidR="00797AC9" w:rsidRPr="00797AC9" w:rsidRDefault="00B35030" w:rsidP="00415E62">
            <w:pPr>
              <w:pStyle w:val="KeinLeerraum"/>
              <w:rPr>
                <w:b/>
              </w:rPr>
            </w:pPr>
            <w:r w:rsidRPr="003A1521">
              <w:t xml:space="preserve">In scenarios aiming at such low-concentration levels, </w:t>
            </w:r>
            <w:r w:rsidRPr="00B35030">
              <w:rPr>
                <w:b/>
              </w:rPr>
              <w:t>BECCS is usually competitive with conventional mitigation technologies, but only after these have been deployed at very large scale</w:t>
            </w:r>
            <w:r w:rsidRPr="003A1521">
              <w:t xml:space="preserve"> (see Azar et al., 2010; Tavoni and Socolow, 2013). At same time, </w:t>
            </w:r>
            <w:r w:rsidRPr="00B35030">
              <w:rPr>
                <w:b/>
              </w:rPr>
              <w:t>BECCS applications do not feature in less ambitious mitigation pathways</w:t>
            </w:r>
            <w:r w:rsidRPr="003A1521">
              <w:t xml:space="preserve"> (van Vuuren et al., 2011a). Key implications of the use of BECCS in transition pathways is that emission reduction decisions are directly related to expected availability and deployment of BECCS in the second half of the century and that scenarios might temporarily overshoot temperature or concentration goals.</w:t>
            </w:r>
          </w:p>
        </w:tc>
        <w:tc>
          <w:tcPr>
            <w:tcW w:w="829" w:type="dxa"/>
          </w:tcPr>
          <w:p w14:paraId="4FC147CA" w14:textId="77777777" w:rsidR="00797AC9" w:rsidRDefault="00B35030" w:rsidP="00415E62">
            <w:pPr>
              <w:pStyle w:val="KeinLeerraum"/>
            </w:pPr>
            <w:r>
              <w:t>6.9.1.2</w:t>
            </w:r>
          </w:p>
        </w:tc>
      </w:tr>
      <w:tr w:rsidR="00797AC9" w14:paraId="49124124" w14:textId="77777777" w:rsidTr="000F1568">
        <w:tc>
          <w:tcPr>
            <w:tcW w:w="531" w:type="dxa"/>
          </w:tcPr>
          <w:p w14:paraId="28C1E72D" w14:textId="77777777" w:rsidR="00797AC9" w:rsidRDefault="00797AC9" w:rsidP="003C2A33">
            <w:pPr>
              <w:pStyle w:val="KeinLeerraum"/>
            </w:pPr>
            <w:r>
              <w:t>64</w:t>
            </w:r>
          </w:p>
        </w:tc>
        <w:tc>
          <w:tcPr>
            <w:tcW w:w="8262" w:type="dxa"/>
          </w:tcPr>
          <w:p w14:paraId="31CE6810" w14:textId="77777777" w:rsidR="00797AC9" w:rsidRPr="00B35030" w:rsidRDefault="00B35030" w:rsidP="00415E62">
            <w:pPr>
              <w:pStyle w:val="KeinLeerraum"/>
            </w:pPr>
            <w:r w:rsidRPr="00B35030">
              <w:t xml:space="preserve">Additionally </w:t>
            </w:r>
            <w:r w:rsidRPr="00B35030">
              <w:rPr>
                <w:b/>
              </w:rPr>
              <w:t>afforestation as part of mitigation policy is included in a smaller set of models</w:t>
            </w:r>
            <w:r w:rsidRPr="00B35030">
              <w:t xml:space="preserve">. In these models, </w:t>
            </w:r>
            <w:r w:rsidRPr="00B35030">
              <w:rPr>
                <w:b/>
              </w:rPr>
              <w:t>afforestation measures increase for lower-concentration categories, potentially leading to net uptake of carbon of around 10 GtCO2 / yr</w:t>
            </w:r>
            <w:r w:rsidRPr="00B35030">
              <w:t>.</w:t>
            </w:r>
          </w:p>
        </w:tc>
        <w:tc>
          <w:tcPr>
            <w:tcW w:w="829" w:type="dxa"/>
          </w:tcPr>
          <w:p w14:paraId="567B08ED" w14:textId="77777777" w:rsidR="00797AC9" w:rsidRDefault="00B35030" w:rsidP="00415E62">
            <w:pPr>
              <w:pStyle w:val="KeinLeerraum"/>
            </w:pPr>
            <w:r>
              <w:t>6.9.1.2</w:t>
            </w:r>
          </w:p>
        </w:tc>
      </w:tr>
      <w:tr w:rsidR="00797AC9" w14:paraId="302D2005" w14:textId="77777777" w:rsidTr="000F1568">
        <w:tc>
          <w:tcPr>
            <w:tcW w:w="531" w:type="dxa"/>
          </w:tcPr>
          <w:p w14:paraId="5C59E223" w14:textId="77777777" w:rsidR="00797AC9" w:rsidRDefault="00797AC9" w:rsidP="003C2A33">
            <w:pPr>
              <w:pStyle w:val="KeinLeerraum"/>
            </w:pPr>
            <w:r>
              <w:t>65</w:t>
            </w:r>
          </w:p>
        </w:tc>
        <w:tc>
          <w:tcPr>
            <w:tcW w:w="8262" w:type="dxa"/>
          </w:tcPr>
          <w:p w14:paraId="7F452D4E" w14:textId="77777777" w:rsidR="00797AC9" w:rsidRPr="00B35030" w:rsidRDefault="00B35030" w:rsidP="00B35030">
            <w:pPr>
              <w:pStyle w:val="KeinLeerraum"/>
            </w:pPr>
            <w:r>
              <w:t xml:space="preserve">There are broader discussions in the literature regarding the </w:t>
            </w:r>
            <w:r w:rsidRPr="00B35030">
              <w:rPr>
                <w:b/>
              </w:rPr>
              <w:t>technological challenges and potential risks of large-scale BECCS deployment</w:t>
            </w:r>
            <w:r>
              <w:t xml:space="preserve">. The potential role of BECCS will be influenced by the sustainable supply of large-scale biomass feedstock and feasibility of capture, transport, and long-term underground storage of CO2 as well as the perceptions of these issues. The </w:t>
            </w:r>
            <w:r w:rsidRPr="00B35030">
              <w:rPr>
                <w:b/>
              </w:rPr>
              <w:t>use of BECCS faces large challenges in financing, and currently no such plants have been built and tested at scale</w:t>
            </w:r>
            <w:r>
              <w:t>. Integrated modeling studies have therefore explored the sensitivities regarding the availability of BECCS in the technology portfolio by limiting bioenergy supply or CCS storage (Section 6.3.6.3).</w:t>
            </w:r>
          </w:p>
        </w:tc>
        <w:tc>
          <w:tcPr>
            <w:tcW w:w="829" w:type="dxa"/>
          </w:tcPr>
          <w:p w14:paraId="1BE80C50" w14:textId="77777777" w:rsidR="00797AC9" w:rsidRDefault="00B35030" w:rsidP="00415E62">
            <w:pPr>
              <w:pStyle w:val="KeinLeerraum"/>
            </w:pPr>
            <w:r>
              <w:t>6.9.1.2</w:t>
            </w:r>
          </w:p>
        </w:tc>
      </w:tr>
      <w:tr w:rsidR="00797AC9" w14:paraId="16C1CD4E" w14:textId="77777777" w:rsidTr="000F1568">
        <w:tc>
          <w:tcPr>
            <w:tcW w:w="531" w:type="dxa"/>
          </w:tcPr>
          <w:p w14:paraId="4E323A2E" w14:textId="77777777" w:rsidR="00797AC9" w:rsidRDefault="00797AC9" w:rsidP="003C2A33">
            <w:pPr>
              <w:pStyle w:val="KeinLeerraum"/>
            </w:pPr>
            <w:r>
              <w:t>66</w:t>
            </w:r>
          </w:p>
        </w:tc>
        <w:tc>
          <w:tcPr>
            <w:tcW w:w="8262" w:type="dxa"/>
          </w:tcPr>
          <w:p w14:paraId="77EED2CB" w14:textId="77777777" w:rsidR="00797AC9" w:rsidRPr="00B35030" w:rsidRDefault="00B35030" w:rsidP="00B35030">
            <w:pPr>
              <w:pStyle w:val="KeinLeerraum"/>
            </w:pPr>
            <w:r w:rsidRPr="00B35030">
              <w:rPr>
                <w:b/>
              </w:rPr>
              <w:t>Only a few papers have assessed the role of DAC in mitigation scenarios</w:t>
            </w:r>
            <w:r>
              <w:t xml:space="preserve"> (e. g. Keith et al., 2006; Keller et al., 2008a; Pielke Jr, 2009; Nemet and Brandt, 2012; Chen and Tavoni, 2013). These studies generally show that </w:t>
            </w:r>
            <w:r w:rsidRPr="00B35030">
              <w:rPr>
                <w:b/>
              </w:rPr>
              <w:t>the contribution of DAC hinges critically on the stringency of the concentration goal, the costs relative to other mitigation technologies, time discounting and assumptions about scalability</w:t>
            </w:r>
            <w:r>
              <w:t xml:space="preserve">. In these models, </w:t>
            </w:r>
            <w:r w:rsidRPr="00B35030">
              <w:rPr>
                <w:b/>
              </w:rPr>
              <w:t xml:space="preserve">the influence of DAC on the mitigation pathways is similar to that of BECCS </w:t>
            </w:r>
            <w:r w:rsidRPr="00B35030">
              <w:rPr>
                <w:b/>
              </w:rPr>
              <w:lastRenderedPageBreak/>
              <w:t>(assuming similar costs).</w:t>
            </w:r>
            <w:r>
              <w:t xml:space="preserve"> That is, it </w:t>
            </w:r>
            <w:r w:rsidRPr="00B35030">
              <w:rPr>
                <w:b/>
              </w:rPr>
              <w:t>leads to a delay in short-term emission reduction in favour of further reductions in the second half of the century. Other techniques are even less mature and currently not evaluated in integrated models</w:t>
            </w:r>
            <w:r>
              <w:t>.</w:t>
            </w:r>
          </w:p>
        </w:tc>
        <w:tc>
          <w:tcPr>
            <w:tcW w:w="829" w:type="dxa"/>
          </w:tcPr>
          <w:p w14:paraId="2019BF04" w14:textId="77777777" w:rsidR="00797AC9" w:rsidRDefault="00B35030" w:rsidP="00415E62">
            <w:pPr>
              <w:pStyle w:val="KeinLeerraum"/>
            </w:pPr>
            <w:r>
              <w:lastRenderedPageBreak/>
              <w:t>6.9.1.2</w:t>
            </w:r>
          </w:p>
        </w:tc>
      </w:tr>
      <w:tr w:rsidR="00797AC9" w14:paraId="0D477AA7" w14:textId="77777777" w:rsidTr="000F1568">
        <w:tc>
          <w:tcPr>
            <w:tcW w:w="531" w:type="dxa"/>
          </w:tcPr>
          <w:p w14:paraId="23EDDC70" w14:textId="77777777" w:rsidR="00797AC9" w:rsidRDefault="00797AC9" w:rsidP="003C2A33">
            <w:pPr>
              <w:pStyle w:val="KeinLeerraum"/>
            </w:pPr>
            <w:r>
              <w:t>67</w:t>
            </w:r>
          </w:p>
        </w:tc>
        <w:tc>
          <w:tcPr>
            <w:tcW w:w="8262" w:type="dxa"/>
          </w:tcPr>
          <w:p w14:paraId="772E89E1" w14:textId="77777777" w:rsidR="00797AC9" w:rsidRPr="00B35030" w:rsidRDefault="00B35030" w:rsidP="00415E62">
            <w:pPr>
              <w:pStyle w:val="KeinLeerraum"/>
            </w:pPr>
            <w:r>
              <w:t xml:space="preserve">There are some </w:t>
            </w:r>
            <w:r w:rsidRPr="00B35030">
              <w:rPr>
                <w:b/>
              </w:rPr>
              <w:t>constraints to the use of CDR techniques</w:t>
            </w:r>
            <w:r>
              <w:t xml:space="preserve"> as emphasized in the scenario analysis. First of all, the </w:t>
            </w:r>
            <w:r w:rsidRPr="00B35030">
              <w:rPr>
                <w:b/>
              </w:rPr>
              <w:t>potential for BECCS, afforestation, and DAC are constrained on the basis of available land and / or safe geologic storage potential for CO2</w:t>
            </w:r>
            <w:r>
              <w:t xml:space="preserve">. Both the </w:t>
            </w:r>
            <w:r w:rsidRPr="00B35030">
              <w:rPr>
                <w:b/>
              </w:rPr>
              <w:t>potential for sustainable bio-energy use</w:t>
            </w:r>
            <w:r>
              <w:t xml:space="preserve"> (including com</w:t>
            </w:r>
            <w:r w:rsidR="00307946">
              <w:t>petition with other demands, e.</w:t>
            </w:r>
            <w:r>
              <w:t xml:space="preserve">g., food, fibre, and fuel production) and the </w:t>
            </w:r>
            <w:r w:rsidRPr="00B35030">
              <w:rPr>
                <w:b/>
              </w:rPr>
              <w:t>potential to store &gt; 100 GtC of CO2 per decade for many decades are very uncertain</w:t>
            </w:r>
            <w:r>
              <w:t xml:space="preserve"> (see previous section) and </w:t>
            </w:r>
            <w:r w:rsidRPr="00B35030">
              <w:rPr>
                <w:b/>
              </w:rPr>
              <w:t>raise important societal concerns</w:t>
            </w:r>
            <w:r>
              <w:t xml:space="preserve">. Finally, the </w:t>
            </w:r>
            <w:r w:rsidRPr="00B35030">
              <w:rPr>
                <w:b/>
              </w:rPr>
              <w:t>largescale availability of CDR, by shifting the mitigation burden in time, could also exacerbate inter-generational impacts.</w:t>
            </w:r>
          </w:p>
        </w:tc>
        <w:tc>
          <w:tcPr>
            <w:tcW w:w="829" w:type="dxa"/>
          </w:tcPr>
          <w:p w14:paraId="4F6C6ABB" w14:textId="77777777" w:rsidR="00797AC9" w:rsidRDefault="00B35030" w:rsidP="00415E62">
            <w:pPr>
              <w:pStyle w:val="KeinLeerraum"/>
            </w:pPr>
            <w:r>
              <w:t>6.9.1.2</w:t>
            </w:r>
          </w:p>
        </w:tc>
      </w:tr>
      <w:tr w:rsidR="00797AC9" w14:paraId="744919DA" w14:textId="77777777" w:rsidTr="000F1568">
        <w:tc>
          <w:tcPr>
            <w:tcW w:w="531" w:type="dxa"/>
          </w:tcPr>
          <w:p w14:paraId="0A390FAB" w14:textId="77777777" w:rsidR="00797AC9" w:rsidRDefault="00797AC9" w:rsidP="003C2A33">
            <w:pPr>
              <w:pStyle w:val="KeinLeerraum"/>
            </w:pPr>
            <w:r>
              <w:t>68</w:t>
            </w:r>
          </w:p>
        </w:tc>
        <w:tc>
          <w:tcPr>
            <w:tcW w:w="8262" w:type="dxa"/>
          </w:tcPr>
          <w:p w14:paraId="4A1AD309" w14:textId="77777777" w:rsidR="00797AC9" w:rsidRPr="00B35030" w:rsidRDefault="00B35030" w:rsidP="00415E62">
            <w:pPr>
              <w:pStyle w:val="KeinLeerraum"/>
            </w:pPr>
            <w:r w:rsidRPr="00B35030">
              <w:t xml:space="preserve">It has been suggested that this </w:t>
            </w:r>
            <w:r w:rsidRPr="00B35030">
              <w:rPr>
                <w:b/>
              </w:rPr>
              <w:t>risk could be minimized if SRM geoengineering was used moderately and combined with strong CDR geoengineering and mitigation efforts</w:t>
            </w:r>
            <w:r w:rsidRPr="00B35030">
              <w:t xml:space="preserve"> (Ross and Matthews, 2009; Smith and Rasch, 2012).</w:t>
            </w:r>
          </w:p>
        </w:tc>
        <w:tc>
          <w:tcPr>
            <w:tcW w:w="829" w:type="dxa"/>
          </w:tcPr>
          <w:p w14:paraId="021ED7CA" w14:textId="77777777" w:rsidR="00797AC9" w:rsidRDefault="00B35030" w:rsidP="00415E62">
            <w:pPr>
              <w:pStyle w:val="KeinLeerraum"/>
            </w:pPr>
            <w:r>
              <w:t>6.9.2</w:t>
            </w:r>
          </w:p>
        </w:tc>
      </w:tr>
      <w:tr w:rsidR="00797AC9" w14:paraId="3F75BD27" w14:textId="77777777" w:rsidTr="000F1568">
        <w:tc>
          <w:tcPr>
            <w:tcW w:w="531" w:type="dxa"/>
          </w:tcPr>
          <w:p w14:paraId="3371A640" w14:textId="77777777" w:rsidR="00797AC9" w:rsidRDefault="00797AC9" w:rsidP="003C2A33">
            <w:pPr>
              <w:pStyle w:val="KeinLeerraum"/>
            </w:pPr>
            <w:r>
              <w:t>69</w:t>
            </w:r>
          </w:p>
        </w:tc>
        <w:tc>
          <w:tcPr>
            <w:tcW w:w="8262" w:type="dxa"/>
          </w:tcPr>
          <w:p w14:paraId="2A03BEF1" w14:textId="77777777" w:rsidR="00797AC9" w:rsidRPr="00B35030" w:rsidRDefault="00B35030" w:rsidP="00415E62">
            <w:pPr>
              <w:pStyle w:val="KeinLeerraum"/>
            </w:pPr>
            <w:r w:rsidRPr="00B35030">
              <w:t xml:space="preserve">While current evidence is limited to few studies in a very narrow range of cultural contexts, in a first review of early studies on perceptions of geoengineering, </w:t>
            </w:r>
            <w:r w:rsidRPr="00B35030">
              <w:rPr>
                <w:b/>
              </w:rPr>
              <w:t>Corner et al. (2012) find that participants of different studies tend to prefer CDR over SRM and mitigation over geoengineering</w:t>
            </w:r>
          </w:p>
        </w:tc>
        <w:tc>
          <w:tcPr>
            <w:tcW w:w="829" w:type="dxa"/>
          </w:tcPr>
          <w:p w14:paraId="6CC0E749" w14:textId="77777777" w:rsidR="00797AC9" w:rsidRDefault="00B35030" w:rsidP="00415E62">
            <w:pPr>
              <w:pStyle w:val="KeinLeerraum"/>
            </w:pPr>
            <w:r>
              <w:t>6.9.2</w:t>
            </w:r>
          </w:p>
        </w:tc>
      </w:tr>
      <w:tr w:rsidR="00797AC9" w14:paraId="79893175" w14:textId="77777777" w:rsidTr="000F1568">
        <w:tc>
          <w:tcPr>
            <w:tcW w:w="531" w:type="dxa"/>
          </w:tcPr>
          <w:p w14:paraId="22E64EB9" w14:textId="77777777" w:rsidR="00797AC9" w:rsidRDefault="00797AC9" w:rsidP="003C2A33">
            <w:pPr>
              <w:pStyle w:val="KeinLeerraum"/>
            </w:pPr>
            <w:r>
              <w:t>70</w:t>
            </w:r>
          </w:p>
        </w:tc>
        <w:tc>
          <w:tcPr>
            <w:tcW w:w="8262" w:type="dxa"/>
          </w:tcPr>
          <w:p w14:paraId="7866C29B" w14:textId="77777777" w:rsidR="00797AC9" w:rsidRPr="00B35030" w:rsidRDefault="00B35030" w:rsidP="00B35030">
            <w:pPr>
              <w:pStyle w:val="KeinLeerraum"/>
            </w:pPr>
            <w:r>
              <w:t xml:space="preserve">Despite the assumption of some form of negative CO2 emissions in many scenarios, including those leading to 2100 concentrations approaching 450 ppm CO2eq, </w:t>
            </w:r>
            <w:r w:rsidRPr="001001C2">
              <w:rPr>
                <w:b/>
              </w:rPr>
              <w:t>whether proposed CDR or SRM geoengineering techniques can actually play a useful role in transformation pathways is uncertain as the efficacy and risks of many techniques are poorly understood at present</w:t>
            </w:r>
            <w:r>
              <w:t xml:space="preserve">. </w:t>
            </w:r>
          </w:p>
        </w:tc>
        <w:tc>
          <w:tcPr>
            <w:tcW w:w="829" w:type="dxa"/>
          </w:tcPr>
          <w:p w14:paraId="1944A561" w14:textId="77777777" w:rsidR="00797AC9" w:rsidRDefault="004323E1" w:rsidP="00415E62">
            <w:pPr>
              <w:pStyle w:val="KeinLeerraum"/>
            </w:pPr>
            <w:r>
              <w:t>6.9.3</w:t>
            </w:r>
          </w:p>
        </w:tc>
      </w:tr>
      <w:tr w:rsidR="00797AC9" w14:paraId="1081528E" w14:textId="77777777" w:rsidTr="000F1568">
        <w:tc>
          <w:tcPr>
            <w:tcW w:w="531" w:type="dxa"/>
          </w:tcPr>
          <w:p w14:paraId="1F3B50B0" w14:textId="77777777" w:rsidR="00797AC9" w:rsidRDefault="00797AC9" w:rsidP="003C2A33">
            <w:pPr>
              <w:pStyle w:val="KeinLeerraum"/>
            </w:pPr>
            <w:r>
              <w:t>71</w:t>
            </w:r>
          </w:p>
        </w:tc>
        <w:tc>
          <w:tcPr>
            <w:tcW w:w="8262" w:type="dxa"/>
          </w:tcPr>
          <w:p w14:paraId="41933B17" w14:textId="77777777" w:rsidR="00797AC9" w:rsidRPr="00797AC9" w:rsidRDefault="00B35030" w:rsidP="001001C2">
            <w:pPr>
              <w:pStyle w:val="KeinLeerraum"/>
              <w:rPr>
                <w:b/>
              </w:rPr>
            </w:pPr>
            <w:r w:rsidRPr="001001C2">
              <w:rPr>
                <w:b/>
              </w:rPr>
              <w:t>A broad definition of CDR would cover afforestation and BECCS</w:t>
            </w:r>
            <w:r>
              <w:t xml:space="preserve">, which are sometimes classified as mitigation techniques, but also proposals that are very distinct from mitigation in terms of technical maturity, scientific understanding, and risks such as ocean iron fertilization. </w:t>
            </w:r>
          </w:p>
        </w:tc>
        <w:tc>
          <w:tcPr>
            <w:tcW w:w="829" w:type="dxa"/>
          </w:tcPr>
          <w:p w14:paraId="484EC250" w14:textId="77777777" w:rsidR="00797AC9" w:rsidRDefault="004323E1" w:rsidP="00415E62">
            <w:pPr>
              <w:pStyle w:val="KeinLeerraum"/>
            </w:pPr>
            <w:r>
              <w:t>6.9.3</w:t>
            </w:r>
          </w:p>
        </w:tc>
      </w:tr>
      <w:tr w:rsidR="00B35030" w14:paraId="6BA6CE67" w14:textId="77777777" w:rsidTr="000F1568">
        <w:tc>
          <w:tcPr>
            <w:tcW w:w="531" w:type="dxa"/>
          </w:tcPr>
          <w:p w14:paraId="4C48BCBF" w14:textId="77777777" w:rsidR="00B35030" w:rsidRDefault="00B35030" w:rsidP="003C2A33">
            <w:pPr>
              <w:pStyle w:val="KeinLeerraum"/>
            </w:pPr>
            <w:r>
              <w:t>72</w:t>
            </w:r>
          </w:p>
        </w:tc>
        <w:tc>
          <w:tcPr>
            <w:tcW w:w="8262" w:type="dxa"/>
          </w:tcPr>
          <w:p w14:paraId="1D7DB6D8" w14:textId="77777777" w:rsidR="00B35030" w:rsidRDefault="001001C2" w:rsidP="001001C2">
            <w:pPr>
              <w:pStyle w:val="KeinLeerraum"/>
            </w:pPr>
            <w:r w:rsidRPr="001001C2">
              <w:rPr>
                <w:b/>
              </w:rPr>
              <w:t>BECCS</w:t>
            </w:r>
            <w:r>
              <w:t xml:space="preserve"> are often included in current integrated models and scenarios and are, in terms of their impact on the climate, </w:t>
            </w:r>
            <w:r w:rsidRPr="001001C2">
              <w:rPr>
                <w:b/>
              </w:rPr>
              <w:t>directly comparable with techniques that are considered to be conventional mitigation</w:t>
            </w:r>
            <w:r>
              <w:t xml:space="preserve">, notably fossil CCS and bio-energy use. </w:t>
            </w:r>
          </w:p>
        </w:tc>
        <w:tc>
          <w:tcPr>
            <w:tcW w:w="829" w:type="dxa"/>
          </w:tcPr>
          <w:p w14:paraId="7ADC2C92" w14:textId="77777777" w:rsidR="00B35030" w:rsidRDefault="004323E1" w:rsidP="00415E62">
            <w:pPr>
              <w:pStyle w:val="KeinLeerraum"/>
            </w:pPr>
            <w:r>
              <w:t>6.9.3</w:t>
            </w:r>
          </w:p>
        </w:tc>
      </w:tr>
      <w:tr w:rsidR="00B35030" w14:paraId="0E81E739" w14:textId="77777777" w:rsidTr="000F1568">
        <w:tc>
          <w:tcPr>
            <w:tcW w:w="531" w:type="dxa"/>
          </w:tcPr>
          <w:p w14:paraId="79493EE0" w14:textId="77777777" w:rsidR="00B35030" w:rsidRDefault="00B35030" w:rsidP="003C2A33">
            <w:pPr>
              <w:pStyle w:val="KeinLeerraum"/>
            </w:pPr>
            <w:r>
              <w:t>73</w:t>
            </w:r>
          </w:p>
        </w:tc>
        <w:tc>
          <w:tcPr>
            <w:tcW w:w="8262" w:type="dxa"/>
          </w:tcPr>
          <w:p w14:paraId="09FE0227" w14:textId="77777777" w:rsidR="00B35030" w:rsidRDefault="001001C2" w:rsidP="001001C2">
            <w:pPr>
              <w:pStyle w:val="KeinLeerraum"/>
            </w:pPr>
            <w:r>
              <w:t xml:space="preserve">Both </w:t>
            </w:r>
            <w:r w:rsidRPr="001001C2">
              <w:rPr>
                <w:b/>
              </w:rPr>
              <w:t>BECCS and afforestation</w:t>
            </w:r>
            <w:r>
              <w:t xml:space="preserve"> may play a key role in reaching low-GHG concentrations, but at </w:t>
            </w:r>
            <w:r w:rsidR="004323E1">
              <w:t xml:space="preserve">a large scale </w:t>
            </w:r>
            <w:r w:rsidR="004323E1" w:rsidRPr="001001C2">
              <w:rPr>
                <w:b/>
              </w:rPr>
              <w:t xml:space="preserve">have substantial land-use demands that may conflict with other </w:t>
            </w:r>
            <w:r w:rsidRPr="001001C2">
              <w:rPr>
                <w:b/>
              </w:rPr>
              <w:t>mitigation strategies and societal needs such as food production</w:t>
            </w:r>
            <w:r>
              <w:t xml:space="preserve">. </w:t>
            </w:r>
          </w:p>
        </w:tc>
        <w:tc>
          <w:tcPr>
            <w:tcW w:w="829" w:type="dxa"/>
          </w:tcPr>
          <w:p w14:paraId="70A53F7F" w14:textId="77777777" w:rsidR="00B35030" w:rsidRDefault="004323E1" w:rsidP="00415E62">
            <w:pPr>
              <w:pStyle w:val="KeinLeerraum"/>
            </w:pPr>
            <w:r>
              <w:t>6.9.3</w:t>
            </w:r>
          </w:p>
        </w:tc>
      </w:tr>
      <w:tr w:rsidR="00B35030" w14:paraId="0FE72C6F" w14:textId="77777777" w:rsidTr="000F1568">
        <w:tc>
          <w:tcPr>
            <w:tcW w:w="531" w:type="dxa"/>
          </w:tcPr>
          <w:p w14:paraId="28902164" w14:textId="77777777" w:rsidR="00B35030" w:rsidRDefault="00B35030" w:rsidP="003C2A33">
            <w:pPr>
              <w:pStyle w:val="KeinLeerraum"/>
            </w:pPr>
            <w:r>
              <w:t>74</w:t>
            </w:r>
          </w:p>
        </w:tc>
        <w:tc>
          <w:tcPr>
            <w:tcW w:w="8262" w:type="dxa"/>
          </w:tcPr>
          <w:p w14:paraId="3C5DCF32" w14:textId="77777777" w:rsidR="00B35030" w:rsidRDefault="001001C2" w:rsidP="001001C2">
            <w:pPr>
              <w:pStyle w:val="KeinLeerraum"/>
            </w:pPr>
            <w:r>
              <w:t xml:space="preserve">Whether </w:t>
            </w:r>
            <w:r w:rsidRPr="001001C2">
              <w:rPr>
                <w:b/>
              </w:rPr>
              <w:t xml:space="preserve">other CDR </w:t>
            </w:r>
            <w:r w:rsidRPr="00D575CE">
              <w:rPr>
                <w:b/>
              </w:rPr>
              <w:t>techniques</w:t>
            </w:r>
            <w:r>
              <w:t xml:space="preserve"> would be able to supplement mitigation at any significant scale in the future depends upon efficacy, cost, and risks of these techniques, which at present are highly uncertain. </w:t>
            </w:r>
          </w:p>
        </w:tc>
        <w:tc>
          <w:tcPr>
            <w:tcW w:w="829" w:type="dxa"/>
          </w:tcPr>
          <w:p w14:paraId="75E29125" w14:textId="77777777" w:rsidR="00B35030" w:rsidRDefault="004323E1" w:rsidP="00415E62">
            <w:pPr>
              <w:pStyle w:val="KeinLeerraum"/>
            </w:pPr>
            <w:r>
              <w:t>6.9.3</w:t>
            </w:r>
          </w:p>
        </w:tc>
      </w:tr>
      <w:tr w:rsidR="00B35030" w14:paraId="4A9ACF42" w14:textId="77777777" w:rsidTr="000F1568">
        <w:tc>
          <w:tcPr>
            <w:tcW w:w="531" w:type="dxa"/>
          </w:tcPr>
          <w:p w14:paraId="32A058B2" w14:textId="77777777" w:rsidR="00B35030" w:rsidRDefault="00B35030" w:rsidP="003C2A33">
            <w:pPr>
              <w:pStyle w:val="KeinLeerraum"/>
            </w:pPr>
            <w:r>
              <w:t>75</w:t>
            </w:r>
          </w:p>
        </w:tc>
        <w:tc>
          <w:tcPr>
            <w:tcW w:w="8262" w:type="dxa"/>
          </w:tcPr>
          <w:p w14:paraId="4C776B3F" w14:textId="77777777" w:rsidR="00B35030" w:rsidRDefault="004323E1" w:rsidP="001001C2">
            <w:pPr>
              <w:pStyle w:val="KeinLeerraum"/>
            </w:pPr>
            <w:r>
              <w:t xml:space="preserve">The properties of potential </w:t>
            </w:r>
            <w:r w:rsidRPr="001001C2">
              <w:rPr>
                <w:b/>
              </w:rPr>
              <w:t>carbon storage reservoirs</w:t>
            </w:r>
            <w:r>
              <w:t xml:space="preserve"> are also critically important</w:t>
            </w:r>
            <w:r w:rsidR="001001C2">
              <w:t xml:space="preserve">, as limits to reservoir capacity and longevity will constrain the quantity and permanence of CO2 storage. </w:t>
            </w:r>
          </w:p>
        </w:tc>
        <w:tc>
          <w:tcPr>
            <w:tcW w:w="829" w:type="dxa"/>
          </w:tcPr>
          <w:p w14:paraId="1C5A2DC6" w14:textId="77777777" w:rsidR="00B35030" w:rsidRDefault="004323E1" w:rsidP="00415E62">
            <w:pPr>
              <w:pStyle w:val="KeinLeerraum"/>
            </w:pPr>
            <w:r>
              <w:t>6.9.3</w:t>
            </w:r>
          </w:p>
        </w:tc>
      </w:tr>
      <w:tr w:rsidR="00B35030" w14:paraId="2F774B26" w14:textId="77777777" w:rsidTr="000F1568">
        <w:tc>
          <w:tcPr>
            <w:tcW w:w="531" w:type="dxa"/>
          </w:tcPr>
          <w:p w14:paraId="300DF803" w14:textId="77777777" w:rsidR="00B35030" w:rsidRDefault="00B35030" w:rsidP="003C2A33">
            <w:pPr>
              <w:pStyle w:val="KeinLeerraum"/>
            </w:pPr>
            <w:r>
              <w:t>76</w:t>
            </w:r>
          </w:p>
        </w:tc>
        <w:tc>
          <w:tcPr>
            <w:tcW w:w="8262" w:type="dxa"/>
          </w:tcPr>
          <w:p w14:paraId="22F0472F" w14:textId="77777777" w:rsidR="00B35030" w:rsidRDefault="001001C2" w:rsidP="00415E62">
            <w:pPr>
              <w:pStyle w:val="KeinLeerraum"/>
            </w:pPr>
            <w:r>
              <w:t>Furthermore</w:t>
            </w:r>
            <w:r w:rsidR="004323E1">
              <w:t xml:space="preserve">, </w:t>
            </w:r>
            <w:r w:rsidR="004323E1" w:rsidRPr="00D575CE">
              <w:rPr>
                <w:b/>
                <w:bCs/>
              </w:rPr>
              <w:t>some CDR techniques</w:t>
            </w:r>
            <w:r w:rsidR="004323E1">
              <w:t xml:space="preserve"> such as ocean iron fertilization may pose transboundary risks</w:t>
            </w:r>
            <w:r>
              <w:t xml:space="preserve">. The </w:t>
            </w:r>
            <w:r w:rsidRPr="00D575CE">
              <w:rPr>
                <w:b/>
                <w:bCs/>
              </w:rPr>
              <w:t>impacts of CDR</w:t>
            </w:r>
            <w:r>
              <w:t xml:space="preserve"> would be relatively slow: climate effects would unfold over the course of decades.</w:t>
            </w:r>
          </w:p>
        </w:tc>
        <w:tc>
          <w:tcPr>
            <w:tcW w:w="829" w:type="dxa"/>
          </w:tcPr>
          <w:p w14:paraId="76E7A379" w14:textId="77777777" w:rsidR="00B35030" w:rsidRDefault="004323E1" w:rsidP="00415E62">
            <w:pPr>
              <w:pStyle w:val="KeinLeerraum"/>
            </w:pPr>
            <w:r>
              <w:t>6.9.3</w:t>
            </w:r>
          </w:p>
        </w:tc>
      </w:tr>
      <w:tr w:rsidR="001001C2" w14:paraId="1FC6463F" w14:textId="77777777" w:rsidTr="000F1568">
        <w:tc>
          <w:tcPr>
            <w:tcW w:w="531" w:type="dxa"/>
          </w:tcPr>
          <w:p w14:paraId="0E8AC3C1" w14:textId="77777777" w:rsidR="001001C2" w:rsidRDefault="001001C2" w:rsidP="003C2A33">
            <w:pPr>
              <w:pStyle w:val="KeinLeerraum"/>
            </w:pPr>
            <w:r>
              <w:t>77</w:t>
            </w:r>
          </w:p>
        </w:tc>
        <w:tc>
          <w:tcPr>
            <w:tcW w:w="8262" w:type="dxa"/>
          </w:tcPr>
          <w:p w14:paraId="7C847982" w14:textId="77777777" w:rsidR="001001C2" w:rsidRDefault="001001C2" w:rsidP="00415E62">
            <w:pPr>
              <w:pStyle w:val="KeinLeerraum"/>
            </w:pPr>
            <w:r>
              <w:t xml:space="preserve">In contrast to CDR, SRM would aim to cool the climate by shielding sunlight. These techniques would not reduce elevated GHG concentrations, and thus not affect other consequences of high-GHG concentrations, such as ocean acidification. </w:t>
            </w:r>
            <w:r w:rsidRPr="001001C2">
              <w:rPr>
                <w:b/>
              </w:rPr>
              <w:t xml:space="preserve">Some SRM proposals could potentially cause a large cooling within years, much quicker than </w:t>
            </w:r>
            <w:r w:rsidRPr="001001C2">
              <w:rPr>
                <w:b/>
              </w:rPr>
              <w:lastRenderedPageBreak/>
              <w:t>mitigation or CDR, and a few studies suggest that costs might be considerably lower than CDR for some SRM techniques.</w:t>
            </w:r>
          </w:p>
        </w:tc>
        <w:tc>
          <w:tcPr>
            <w:tcW w:w="829" w:type="dxa"/>
          </w:tcPr>
          <w:p w14:paraId="01366B7D" w14:textId="77777777" w:rsidR="001001C2" w:rsidRDefault="004323E1" w:rsidP="00415E62">
            <w:pPr>
              <w:pStyle w:val="KeinLeerraum"/>
            </w:pPr>
            <w:r>
              <w:lastRenderedPageBreak/>
              <w:t>6.9.3</w:t>
            </w:r>
          </w:p>
        </w:tc>
      </w:tr>
    </w:tbl>
    <w:p w14:paraId="14819C55" w14:textId="77777777" w:rsidR="00101EA0" w:rsidRDefault="00101EA0"/>
    <w:p w14:paraId="4B5725C2" w14:textId="77777777" w:rsidR="00ED6FAC" w:rsidRPr="00ED6FAC" w:rsidRDefault="00ED6FAC" w:rsidP="00ED6FAC">
      <w:pPr>
        <w:rPr>
          <w:rStyle w:val="berschrift1Zchn"/>
        </w:rPr>
      </w:pPr>
      <w:r w:rsidRPr="00ED6FAC">
        <w:rPr>
          <w:rStyle w:val="berschrift1Zchn"/>
        </w:rPr>
        <w:t>Executive summary</w:t>
      </w:r>
    </w:p>
    <w:p w14:paraId="6950607F" w14:textId="77777777" w:rsidR="00ED6FAC" w:rsidRDefault="00ED6FAC" w:rsidP="00ED6FAC">
      <w:r w:rsidRPr="00ED6FAC">
        <w:rPr>
          <w:b/>
        </w:rPr>
        <w:t>Scenarios can be distinguished by the long-term concentration level they reach by 2100; however, the degree to which concentrations exceed (overshoot) this level before 2100 is also important (high confidence).</w:t>
      </w:r>
      <w:r w:rsidRPr="00ED6FAC">
        <w:t xml:space="preserve"> </w:t>
      </w:r>
      <w:r w:rsidRPr="00ED6FAC">
        <w:rPr>
          <w:highlight w:val="yellow"/>
        </w:rPr>
        <w:t xml:space="preserve">The large majority of scenarios produced in the literature that reach about 450 ppm CO2eq by 2100 are characterized by concentration overshoot facilitated by the deployment of </w:t>
      </w:r>
      <w:r w:rsidRPr="00ED6FAC">
        <w:rPr>
          <w:b/>
          <w:color w:val="00B050"/>
          <w:highlight w:val="yellow"/>
        </w:rPr>
        <w:t>carbon dioxide removal (CDR)</w:t>
      </w:r>
      <w:r w:rsidRPr="00ED6FAC">
        <w:rPr>
          <w:highlight w:val="yellow"/>
        </w:rPr>
        <w:t xml:space="preserve"> technologies.</w:t>
      </w:r>
      <w:r w:rsidRPr="00ED6FAC">
        <w:t xml:space="preserve"> Many scenarios have been constructed to reach about 550 ppm CO2eq by 2100 without overshoot</w:t>
      </w:r>
      <w:r w:rsidRPr="00ED6FAC">
        <w:rPr>
          <w:highlight w:val="yellow"/>
        </w:rPr>
        <w:t xml:space="preserve">. Scenarios with more overshoot exhibit less mitigation today, but they often rest on the assumption that future decision makers deploy </w:t>
      </w:r>
      <w:r w:rsidRPr="00ED6FAC">
        <w:rPr>
          <w:b/>
          <w:color w:val="00B050"/>
          <w:highlight w:val="yellow"/>
        </w:rPr>
        <w:t>CDR</w:t>
      </w:r>
      <w:r w:rsidRPr="00ED6FAC">
        <w:rPr>
          <w:color w:val="00B050"/>
          <w:highlight w:val="yellow"/>
        </w:rPr>
        <w:t xml:space="preserve"> </w:t>
      </w:r>
      <w:r w:rsidRPr="00ED6FAC">
        <w:rPr>
          <w:highlight w:val="yellow"/>
        </w:rPr>
        <w:t>technologies at large scale.</w:t>
      </w:r>
      <w:r w:rsidRPr="00ED6FAC">
        <w:t xml:space="preserve"> An assessment in this chapter of geophysical climate uncertainties consistent with the dynamics of Earth System Models assessed in Working Group I (WG I) provides estimates of the temperature implications of different emissions pathways. This assessment found that the likelihood of exceeding temperature goals this century increases with peak concentration levels, which are higher in overshoot scenarios. [</w:t>
      </w:r>
      <w:r w:rsidRPr="00ED6FAC">
        <w:rPr>
          <w:b/>
          <w:color w:val="FF0000"/>
        </w:rPr>
        <w:t>6.3.2</w:t>
      </w:r>
      <w:r w:rsidRPr="00ED6FAC">
        <w:t>]</w:t>
      </w:r>
    </w:p>
    <w:p w14:paraId="4B92E890" w14:textId="77777777" w:rsidR="004D7119" w:rsidRDefault="004D7119" w:rsidP="00ED6FAC">
      <w:r w:rsidRPr="004D7119">
        <w:rPr>
          <w:b/>
        </w:rPr>
        <w:t>Bringing concentrations to about 550 ppm CO2eq or below by 2100 will require large-scale changes to global and national energy systems, and potentially to the use of land; these changes are inconsistent with both long- and short-term trends (high confidence).</w:t>
      </w:r>
      <w:r w:rsidRPr="004D7119">
        <w:t xml:space="preserve"> Accelerated electrification of energy end use, coupled with decarbonization of the majority of electricity generation by 2050 and an associated phaseout of freely emitting coal generation, is a common feature of scenarios reaching about 550 ppm CO2eq or less by 2100. Scenarios suggest that sectors currently using liquid fuel are more costly to decarbonize than electricity and may be among the last sectors to be decarbonized for deep CO2 emissions reductions. </w:t>
      </w:r>
      <w:r w:rsidRPr="004D7119">
        <w:rPr>
          <w:highlight w:val="yellow"/>
        </w:rPr>
        <w:t xml:space="preserve">Scenarios articulate very different changes in the land surface, reflecting different assumptions about the potential for bioenergy production, </w:t>
      </w:r>
      <w:r w:rsidRPr="004D7119">
        <w:rPr>
          <w:b/>
          <w:color w:val="0070C0"/>
          <w:highlight w:val="yellow"/>
        </w:rPr>
        <w:t>afforestation</w:t>
      </w:r>
      <w:r w:rsidRPr="004D7119">
        <w:rPr>
          <w:highlight w:val="yellow"/>
        </w:rPr>
        <w:t>, and reduced deforestation.</w:t>
      </w:r>
      <w:r w:rsidRPr="004D7119">
        <w:t xml:space="preserve"> Studies indicate a large potential for energy use reductions, but also demonstrate that these reductions will not be sufficient by themselves to constrain GHG emissions. [</w:t>
      </w:r>
      <w:r w:rsidRPr="0083594E">
        <w:rPr>
          <w:b/>
          <w:color w:val="FF0000"/>
        </w:rPr>
        <w:t>6.3.4, 6.3.5, 6.8</w:t>
      </w:r>
      <w:r w:rsidRPr="004D7119">
        <w:t>]</w:t>
      </w:r>
    </w:p>
    <w:p w14:paraId="5DF0C2E3" w14:textId="77777777" w:rsidR="00ED6FAC" w:rsidRDefault="00ED6FAC" w:rsidP="00ED6FAC">
      <w:r w:rsidRPr="00ED6FAC">
        <w:rPr>
          <w:b/>
          <w:highlight w:val="yellow"/>
        </w:rPr>
        <w:t xml:space="preserve">There is uncertainty about the potential of geoengineering by </w:t>
      </w:r>
      <w:r w:rsidRPr="00ED6FAC">
        <w:rPr>
          <w:b/>
          <w:color w:val="00B050"/>
          <w:highlight w:val="yellow"/>
        </w:rPr>
        <w:t xml:space="preserve">CDR </w:t>
      </w:r>
      <w:r w:rsidRPr="00ED6FAC">
        <w:rPr>
          <w:b/>
          <w:highlight w:val="yellow"/>
        </w:rPr>
        <w:t>or solar radiation management (SRM) to counteract climate change, and all techniques carry risks and uncertainties</w:t>
      </w:r>
      <w:r w:rsidRPr="00ED6FAC">
        <w:rPr>
          <w:b/>
        </w:rPr>
        <w:t xml:space="preserve"> (high confidence).</w:t>
      </w:r>
      <w:r w:rsidRPr="00ED6FAC">
        <w:t xml:space="preserve"> </w:t>
      </w:r>
      <w:r w:rsidRPr="00ED6FAC">
        <w:rPr>
          <w:highlight w:val="yellow"/>
        </w:rPr>
        <w:t xml:space="preserve">A range of different SRM and </w:t>
      </w:r>
      <w:r w:rsidRPr="00ED6FAC">
        <w:rPr>
          <w:b/>
          <w:color w:val="00B050"/>
          <w:highlight w:val="yellow"/>
        </w:rPr>
        <w:t>CDR</w:t>
      </w:r>
      <w:r w:rsidRPr="00ED6FAC">
        <w:rPr>
          <w:color w:val="00B050"/>
          <w:highlight w:val="yellow"/>
        </w:rPr>
        <w:t xml:space="preserve"> </w:t>
      </w:r>
      <w:r w:rsidRPr="00ED6FAC">
        <w:rPr>
          <w:highlight w:val="yellow"/>
        </w:rPr>
        <w:t xml:space="preserve">techniques has been proposed, but no currently existing technique could fully replace mitigation or adaptation efforts. Nevertheless, many low-GHG concentration scenarios rely on two </w:t>
      </w:r>
      <w:r w:rsidRPr="00ED6FAC">
        <w:rPr>
          <w:b/>
          <w:color w:val="00B050"/>
          <w:highlight w:val="yellow"/>
        </w:rPr>
        <w:t>CDR</w:t>
      </w:r>
      <w:r w:rsidRPr="00ED6FAC">
        <w:rPr>
          <w:color w:val="00B050"/>
          <w:highlight w:val="yellow"/>
        </w:rPr>
        <w:t xml:space="preserve"> </w:t>
      </w:r>
      <w:r w:rsidRPr="00ED6FAC">
        <w:rPr>
          <w:highlight w:val="yellow"/>
        </w:rPr>
        <w:t xml:space="preserve">techniques, </w:t>
      </w:r>
      <w:r w:rsidRPr="00ED6FAC">
        <w:rPr>
          <w:b/>
          <w:color w:val="0070C0"/>
          <w:highlight w:val="yellow"/>
        </w:rPr>
        <w:t>afforestation</w:t>
      </w:r>
      <w:r w:rsidRPr="00ED6FAC">
        <w:rPr>
          <w:color w:val="0070C0"/>
          <w:highlight w:val="yellow"/>
        </w:rPr>
        <w:t xml:space="preserve"> </w:t>
      </w:r>
      <w:r w:rsidRPr="00ED6FAC">
        <w:rPr>
          <w:highlight w:val="yellow"/>
        </w:rPr>
        <w:t xml:space="preserve">and </w:t>
      </w:r>
      <w:r w:rsidRPr="00ED6FAC">
        <w:rPr>
          <w:b/>
          <w:color w:val="F79646" w:themeColor="accent6"/>
          <w:highlight w:val="yellow"/>
        </w:rPr>
        <w:t>biomass energy with carbon dioxide capture and storage (BECCS</w:t>
      </w:r>
      <w:r w:rsidRPr="00ED6FAC">
        <w:rPr>
          <w:color w:val="F79646" w:themeColor="accent6"/>
          <w:highlight w:val="yellow"/>
        </w:rPr>
        <w:t>)</w:t>
      </w:r>
      <w:r w:rsidRPr="00ED6FAC">
        <w:rPr>
          <w:highlight w:val="yellow"/>
        </w:rPr>
        <w:t>, which some studies consider to be comparable with conventional mitigation methods.</w:t>
      </w:r>
      <w:r w:rsidRPr="00ED6FAC">
        <w:t xml:space="preserve"> Solar radiation management could reduce global mean temperatures, but with uneven regional effects, for example on temperature and precipitation, and it would not address all of the impacts of increased CO2 concentrations, such as ocean acidification. Techniques requiring large-scale interventions in the earth system, such as ocean fertilization or stratospheric aerosol injections, carry significant risks. </w:t>
      </w:r>
      <w:r w:rsidRPr="00ED6FAC">
        <w:rPr>
          <w:highlight w:val="yellow"/>
        </w:rPr>
        <w:t>Although proposed geoengineering techniques differ substantially from each other, all raise complex questions about costs, risks, governance, and ethical implications of research and potential implementation.</w:t>
      </w:r>
      <w:r w:rsidRPr="00ED6FAC">
        <w:t xml:space="preserve"> [</w:t>
      </w:r>
      <w:r w:rsidRPr="00ED6FAC">
        <w:rPr>
          <w:b/>
          <w:color w:val="FF0000"/>
        </w:rPr>
        <w:t>6.9</w:t>
      </w:r>
      <w:r w:rsidRPr="00ED6FAC">
        <w:t>]</w:t>
      </w:r>
    </w:p>
    <w:p w14:paraId="787171DA" w14:textId="77777777" w:rsidR="00ED6FAC" w:rsidRDefault="00ED6FAC" w:rsidP="00ED6FAC">
      <w:r w:rsidRPr="00ED6FAC">
        <w:lastRenderedPageBreak/>
        <w:t>Despite the advances in our understanding of transformation pathways since AR4, many avenues of inquiry remain unanswered. Important future research directions include the following: development of a broader set of socioeconomic and technological storylines to support development of scenarios; scenarios explicitly pursuing a wider set of climate goals, including those related to temperature change; more mitigation scenarios that include impacts from, and adaptations</w:t>
      </w:r>
      <w:r>
        <w:t xml:space="preserve"> </w:t>
      </w:r>
      <w:r w:rsidRPr="00ED6FAC">
        <w:t xml:space="preserve">to, a changing climate, including energy and land use systems critical for mitigation; </w:t>
      </w:r>
      <w:r w:rsidRPr="00ED6FAC">
        <w:rPr>
          <w:highlight w:val="yellow"/>
        </w:rPr>
        <w:t xml:space="preserve">expanded treatment of the benefits and risks of </w:t>
      </w:r>
      <w:r w:rsidRPr="00ED6FAC">
        <w:rPr>
          <w:b/>
          <w:color w:val="00B050"/>
          <w:highlight w:val="yellow"/>
        </w:rPr>
        <w:t>CDR</w:t>
      </w:r>
      <w:r w:rsidRPr="00ED6FAC">
        <w:rPr>
          <w:color w:val="00B050"/>
          <w:highlight w:val="yellow"/>
        </w:rPr>
        <w:t xml:space="preserve"> </w:t>
      </w:r>
      <w:r w:rsidRPr="00ED6FAC">
        <w:rPr>
          <w:highlight w:val="yellow"/>
        </w:rPr>
        <w:t>and SRM options</w:t>
      </w:r>
      <w:r w:rsidRPr="00ED6FAC">
        <w:t>; expanded treatment of co-benefits and adverse side-effects of mitigation pathways; improvements in the treatment and understanding of mitigation options and responses in end-use sectors in transformation pathways; and more sophisticated treatments of land use and land use-based mitigation options in mitigation scenarios. [</w:t>
      </w:r>
      <w:r w:rsidRPr="00ED6FAC">
        <w:rPr>
          <w:b/>
          <w:color w:val="FF0000"/>
        </w:rPr>
        <w:t>6.10</w:t>
      </w:r>
      <w:r w:rsidRPr="00ED6FAC">
        <w:t>]</w:t>
      </w:r>
    </w:p>
    <w:p w14:paraId="3329ADE9" w14:textId="77777777" w:rsidR="00ED6FAC" w:rsidRDefault="00ED6FAC" w:rsidP="00ED6FAC">
      <w:r w:rsidRPr="00ED6FAC">
        <w:rPr>
          <w:b/>
        </w:rPr>
        <w:t>Emissions through 2030 will have strong implications for the challenges of, and options for, bringing concentrations to about 450 to about 500 ppm CO2eq by the end of the twenty-first century (high confidence).</w:t>
      </w:r>
      <w:r w:rsidRPr="00ED6FAC">
        <w:t xml:space="preserve"> The vast majority of cost-effective scenarios leading to 2100 concentrations of about 450 to about 500 ppm CO2eq are characterized by 2030 emissions roughly between 30 GtCO2eq and 50 GtCO2eq. Scenarios with emissions above 55 GtCO2eq in 2030 are predominantly driven by delays in additional mitigation relative to what would be most cost-effective. </w:t>
      </w:r>
      <w:r w:rsidRPr="00ED6FAC">
        <w:rPr>
          <w:highlight w:val="yellow"/>
        </w:rPr>
        <w:t xml:space="preserve">These scenarios are characterized by substantially higher rates of emissions reductions from 2030 to 2050, a larger reliance on </w:t>
      </w:r>
      <w:r w:rsidRPr="00ED6FAC">
        <w:rPr>
          <w:b/>
          <w:color w:val="00B050"/>
          <w:highlight w:val="yellow"/>
        </w:rPr>
        <w:t>CDR</w:t>
      </w:r>
      <w:r w:rsidRPr="00ED6FAC">
        <w:rPr>
          <w:color w:val="00B050"/>
          <w:highlight w:val="yellow"/>
        </w:rPr>
        <w:t xml:space="preserve"> </w:t>
      </w:r>
      <w:r w:rsidRPr="00ED6FAC">
        <w:rPr>
          <w:highlight w:val="yellow"/>
        </w:rPr>
        <w:t>technologies in the long term, and higher transitional and long-term economic impacts</w:t>
      </w:r>
      <w:r w:rsidRPr="00ED6FAC">
        <w:t>. Due to these challenges, many models with 2030 emissions in this range could not produce scenarios reaching about 450 ppm CO2eq in 2100. Studies confirm that delaying additional mitigation through 2030 has substantially larger influence on the subsequent challenges of mitigation than delaying only through 2020. [</w:t>
      </w:r>
      <w:r w:rsidRPr="00ED6FAC">
        <w:rPr>
          <w:b/>
          <w:color w:val="FF0000"/>
        </w:rPr>
        <w:t>6.3.2, 6.4</w:t>
      </w:r>
      <w:r w:rsidRPr="00ED6FAC">
        <w:t>]</w:t>
      </w:r>
    </w:p>
    <w:p w14:paraId="610184E8" w14:textId="77777777" w:rsidR="00ED6FAC" w:rsidRDefault="00ED6FAC" w:rsidP="00ED6FAC">
      <w:r w:rsidRPr="00ED6FAC">
        <w:rPr>
          <w:b/>
        </w:rPr>
        <w:t>The availability of key technologies and improvements in the cost and performance of these technologies will have important implications for the challenge of achieving concentration goals (high confidence).</w:t>
      </w:r>
      <w:r w:rsidRPr="00ED6FAC">
        <w:t xml:space="preserve"> Many models in recent multi-model comparisons could not produce scenarios reaching approximately 450 ppm CO2eq by 2100 with broadly pessimistic assumptions about key mitigation technologies. </w:t>
      </w:r>
      <w:r w:rsidRPr="00ED6FAC">
        <w:rPr>
          <w:b/>
          <w:highlight w:val="yellow"/>
        </w:rPr>
        <w:t xml:space="preserve">Large-scale deployment of </w:t>
      </w:r>
      <w:r w:rsidRPr="00ED6FAC">
        <w:rPr>
          <w:b/>
          <w:color w:val="00B050"/>
          <w:highlight w:val="yellow"/>
        </w:rPr>
        <w:t xml:space="preserve">CDR </w:t>
      </w:r>
      <w:r w:rsidRPr="00ED6FAC">
        <w:rPr>
          <w:b/>
          <w:highlight w:val="yellow"/>
        </w:rPr>
        <w:t>technologies in particular is relied upon in many of these scenarios in the second-half of the century.</w:t>
      </w:r>
      <w:r w:rsidRPr="00ED6FAC">
        <w:t xml:space="preserve"> For those models that could produce such scenarios, pessimistic assumptions about important technologies for decarbonizing non-electric energy supply significantly increased the discounted global mitigation costs of reaching about 450 ppm and about 550 ppm CO2eq by the end of the century, with the effect being larger for more stringent goals. These studies also showed that reducing energy demand can potentially decrease mitigation costs significantly. [</w:t>
      </w:r>
      <w:r w:rsidRPr="00ED6FAC">
        <w:rPr>
          <w:b/>
          <w:color w:val="FF0000"/>
        </w:rPr>
        <w:t>6.3.2, 6.3.4, 6.3.6, 6.4</w:t>
      </w:r>
      <w:r w:rsidRPr="00ED6FAC">
        <w:t>]</w:t>
      </w:r>
    </w:p>
    <w:p w14:paraId="12549A24" w14:textId="77777777" w:rsidR="00ED6FAC" w:rsidRPr="00ED6FAC" w:rsidRDefault="00ED6FAC" w:rsidP="00ED6FAC">
      <w:pPr>
        <w:rPr>
          <w:rStyle w:val="berschrift1Zchn"/>
        </w:rPr>
      </w:pPr>
      <w:r w:rsidRPr="00ED6FAC">
        <w:rPr>
          <w:rStyle w:val="berschrift1Zchn"/>
        </w:rPr>
        <w:t>6.1 Introduction</w:t>
      </w:r>
    </w:p>
    <w:p w14:paraId="52AA1318" w14:textId="77777777" w:rsidR="00ED6FAC" w:rsidRDefault="00ED6FAC" w:rsidP="00ED6FAC">
      <w:pPr>
        <w:pStyle w:val="berschrift2"/>
      </w:pPr>
      <w:bookmarkStart w:id="18" w:name="_Toc525298451"/>
      <w:r>
        <w:t>6.1.1 Framing and evaluating transformation pathways</w:t>
      </w:r>
      <w:bookmarkEnd w:id="18"/>
    </w:p>
    <w:p w14:paraId="61AB6C83" w14:textId="77777777" w:rsidR="00ED6FAC" w:rsidRDefault="00ED6FAC" w:rsidP="00ED6FAC">
      <w:r w:rsidRPr="00ED6FAC">
        <w:t xml:space="preserve">A question that is often raised about particular stabilization goals and transformation pathways to those goals is whether the goals or pathways are ‘feasible’. In many circumstances, there are clear physical constraints that can render particular long-term goals physically impossible. </w:t>
      </w:r>
      <w:r w:rsidRPr="00ED6FAC">
        <w:rPr>
          <w:highlight w:val="yellow"/>
        </w:rPr>
        <w:t xml:space="preserve">For example, if additional mitigation beyond that of today is delayed to a large enough degree and </w:t>
      </w:r>
      <w:r w:rsidRPr="00ED6FAC">
        <w:rPr>
          <w:b/>
          <w:color w:val="00B050"/>
          <w:highlight w:val="yellow"/>
        </w:rPr>
        <w:t>carbon dioxide removal (CDR)</w:t>
      </w:r>
      <w:r w:rsidRPr="00ED6FAC">
        <w:rPr>
          <w:color w:val="00B050"/>
          <w:highlight w:val="yellow"/>
        </w:rPr>
        <w:t xml:space="preserve"> </w:t>
      </w:r>
      <w:r w:rsidRPr="00ED6FAC">
        <w:rPr>
          <w:highlight w:val="yellow"/>
        </w:rPr>
        <w:t xml:space="preserve">options are not available (see </w:t>
      </w:r>
      <w:r w:rsidRPr="00ED6FAC">
        <w:rPr>
          <w:b/>
          <w:color w:val="FF0000"/>
          <w:highlight w:val="yellow"/>
        </w:rPr>
        <w:t>Section 6.9</w:t>
      </w:r>
      <w:r w:rsidRPr="00ED6FAC">
        <w:rPr>
          <w:highlight w:val="yellow"/>
        </w:rPr>
        <w:t xml:space="preserve">), a goal of reaching 450 ppm CO2eq by the end of the 21st </w:t>
      </w:r>
      <w:r w:rsidRPr="00ED6FAC">
        <w:rPr>
          <w:highlight w:val="yellow"/>
        </w:rPr>
        <w:lastRenderedPageBreak/>
        <w:t>century can be physically impossible.</w:t>
      </w:r>
      <w:r w:rsidRPr="00ED6FAC">
        <w:t xml:space="preserve"> However, in many cases, statements about feasibility are bound up in subjective assessments of the degree to which other characteristics of particular transformation pathways might influence the ability or desire of human societies to follow them. Important characteristics include economic implications, social acceptance of new technologies that underpin particular transformation pathways, the rapidity at which social and technological systems would need to change to follow particular pathways, political feasibility, and linkages to other national objectives. A primary goal of this chapter is to illuminate these characteristics of transformation pathways.</w:t>
      </w:r>
    </w:p>
    <w:p w14:paraId="086ED3E8" w14:textId="77777777" w:rsidR="00ED6FAC" w:rsidRDefault="00ED6FAC" w:rsidP="00ED6FAC">
      <w:pPr>
        <w:pStyle w:val="berschrift2"/>
      </w:pPr>
      <w:bookmarkStart w:id="19" w:name="_Toc525298452"/>
      <w:r>
        <w:t>6.1.2 New mitigation scenario since AR4</w:t>
      </w:r>
      <w:bookmarkEnd w:id="19"/>
    </w:p>
    <w:p w14:paraId="1EC4177E" w14:textId="77777777" w:rsidR="00ED6FAC" w:rsidRDefault="00ED6FAC" w:rsidP="00ED6FAC">
      <w:r w:rsidRPr="00ED6FAC">
        <w:t xml:space="preserve">Since the IPCC Fourth Assessment Report (AR4), the integrated modelling community has produced a range of new transformation pathway scenarios. </w:t>
      </w:r>
      <w:r w:rsidRPr="00ED6FAC">
        <w:rPr>
          <w:highlight w:val="yellow"/>
        </w:rPr>
        <w:t xml:space="preserve">Major advances include an increase in the number of scenarios exploring the following: low-concentration goals such as 450 ppm CO2eq; </w:t>
      </w:r>
      <w:r w:rsidRPr="00ED6FAC">
        <w:rPr>
          <w:b/>
          <w:highlight w:val="yellow"/>
        </w:rPr>
        <w:t xml:space="preserve">overshoot emissions trajectories with and without </w:t>
      </w:r>
      <w:r w:rsidRPr="00ED6FAC">
        <w:rPr>
          <w:b/>
          <w:color w:val="00B050"/>
          <w:highlight w:val="yellow"/>
        </w:rPr>
        <w:t xml:space="preserve">CDR </w:t>
      </w:r>
      <w:r w:rsidRPr="00ED6FAC">
        <w:rPr>
          <w:b/>
          <w:highlight w:val="yellow"/>
        </w:rPr>
        <w:t>technologies</w:t>
      </w:r>
      <w:r w:rsidRPr="00ED6FAC">
        <w:rPr>
          <w:highlight w:val="yellow"/>
        </w:rPr>
        <w:t>; a variety of international mitigation policy configurations, including fragmented action and delays in additional mitigation beyond that of today; and the implications of variations in technology cost, performance, and availability.</w:t>
      </w:r>
      <w:r w:rsidRPr="00ED6FAC">
        <w:t xml:space="preserve"> The literature also includes a small but growing set of scenarios and research exploring the linkage between mitigation and other policy objectives, an increasingly sophisticated treatment of the role of land use in mitigation, and scenarios exploring non-market approaches to mitigation. Two particularly important categories for the discussion in this chapter are non-idealized international implementation scenarios and scenarios with limits</w:t>
      </w:r>
      <w:r>
        <w:t xml:space="preserve"> </w:t>
      </w:r>
      <w:r w:rsidRPr="00ED6FAC">
        <w:t>on technology cost, performance, or availability. These categories of scenarios are discussed in more detail below.</w:t>
      </w:r>
    </w:p>
    <w:p w14:paraId="63C5F6B1" w14:textId="77777777" w:rsidR="00577D4B" w:rsidRDefault="00577D4B" w:rsidP="00577D4B">
      <w:pPr>
        <w:pStyle w:val="berschrift2"/>
      </w:pPr>
      <w:bookmarkStart w:id="20" w:name="_Toc525298453"/>
      <w:r>
        <w:t>6.2.4 Interpretation of model inability to produce particular scenarios</w:t>
      </w:r>
      <w:bookmarkEnd w:id="20"/>
    </w:p>
    <w:p w14:paraId="3C95CDCD" w14:textId="77777777" w:rsidR="00577D4B" w:rsidRDefault="00577D4B" w:rsidP="00577D4B">
      <w:r w:rsidRPr="00577D4B">
        <w:t xml:space="preserve">A question that is often raised about particular stabilization goals and transformation pathways is whether the goals or pathways are ‘feasible’ (see Section 6.1). Integrated models can be helpful in informing this question by providing information about key elements of transformation pathways that might go into assessments of feasibility, such as rates of deployment of energy technologies, rates of reductions in global and regional emissions, aggregate economic costs, financial flows among regions, and links to other policy objectives such as energy security or energy prices. </w:t>
      </w:r>
      <w:r w:rsidRPr="00577D4B">
        <w:rPr>
          <w:highlight w:val="yellow"/>
        </w:rPr>
        <w:t xml:space="preserve">However, beyond cases where physical laws might be violated to achieve a particular scenario (for example, a 2100 carbon budget is exceeded prior to 2100 with no option for </w:t>
      </w:r>
      <w:r w:rsidRPr="00577D4B">
        <w:rPr>
          <w:b/>
          <w:color w:val="7030A0"/>
          <w:highlight w:val="yellow"/>
        </w:rPr>
        <w:t>negative emissions</w:t>
      </w:r>
      <w:r w:rsidRPr="00577D4B">
        <w:rPr>
          <w:highlight w:val="yellow"/>
        </w:rPr>
        <w:t>), these integrated models cannot determine feasibility in an absolute sense.</w:t>
      </w:r>
    </w:p>
    <w:p w14:paraId="5A0501B8" w14:textId="77777777" w:rsidR="00577D4B" w:rsidRPr="00577D4B" w:rsidRDefault="00577D4B" w:rsidP="00577D4B">
      <w:r>
        <w:tab/>
      </w:r>
    </w:p>
    <w:p w14:paraId="0D1FDE4B" w14:textId="77777777" w:rsidR="00577D4B" w:rsidRDefault="00577D4B" w:rsidP="00ED6FAC">
      <w:pPr>
        <w:pStyle w:val="berschrift2"/>
      </w:pPr>
      <w:bookmarkStart w:id="21" w:name="_Toc525298454"/>
      <w:r>
        <w:t xml:space="preserve">6.3.2 </w:t>
      </w:r>
      <w:r w:rsidRPr="00577D4B">
        <w:t>Emissions trajectories, concentrations, and temperature in transformation pathways</w:t>
      </w:r>
      <w:bookmarkEnd w:id="21"/>
    </w:p>
    <w:p w14:paraId="1A9F8CAF" w14:textId="77777777" w:rsidR="00ED6FAC" w:rsidRDefault="00ED6FAC" w:rsidP="00577D4B">
      <w:pPr>
        <w:pStyle w:val="berschrift3"/>
      </w:pPr>
      <w:bookmarkStart w:id="22" w:name="_Toc525298455"/>
      <w:r w:rsidRPr="00ED6FAC">
        <w:t>6</w:t>
      </w:r>
      <w:r>
        <w:t>.</w:t>
      </w:r>
      <w:r w:rsidRPr="00ED6FAC">
        <w:t>3</w:t>
      </w:r>
      <w:r>
        <w:t>.</w:t>
      </w:r>
      <w:r w:rsidRPr="00ED6FAC">
        <w:t>2</w:t>
      </w:r>
      <w:r>
        <w:t>.</w:t>
      </w:r>
      <w:r w:rsidRPr="00ED6FAC">
        <w:t>2 The timing of emissions reductions: The influence of technology, policy, and overshoot</w:t>
      </w:r>
      <w:bookmarkEnd w:id="22"/>
    </w:p>
    <w:p w14:paraId="75E4DA35" w14:textId="77777777" w:rsidR="00ED6FAC" w:rsidRDefault="00ED6FAC" w:rsidP="00ED6FAC">
      <w:r w:rsidRPr="00ED6FAC">
        <w:t xml:space="preserve">The second consideration is technology. </w:t>
      </w:r>
      <w:r w:rsidRPr="00ED6FAC">
        <w:rPr>
          <w:highlight w:val="yellow"/>
        </w:rPr>
        <w:t xml:space="preserve">The most critical set of technologies in the context of the timing of emission reductions is </w:t>
      </w:r>
      <w:r w:rsidRPr="00ED6FAC">
        <w:rPr>
          <w:b/>
          <w:color w:val="00B050"/>
          <w:highlight w:val="yellow"/>
        </w:rPr>
        <w:t>CDR</w:t>
      </w:r>
      <w:r w:rsidRPr="00ED6FAC">
        <w:rPr>
          <w:color w:val="00B050"/>
          <w:highlight w:val="yellow"/>
        </w:rPr>
        <w:t xml:space="preserve"> </w:t>
      </w:r>
      <w:r w:rsidRPr="00ED6FAC">
        <w:rPr>
          <w:highlight w:val="yellow"/>
        </w:rPr>
        <w:t xml:space="preserve">technologies, which can be used to generate </w:t>
      </w:r>
      <w:r w:rsidRPr="00ED6FAC">
        <w:rPr>
          <w:b/>
          <w:color w:val="7030A0"/>
          <w:highlight w:val="yellow"/>
        </w:rPr>
        <w:t>negative emissions</w:t>
      </w:r>
      <w:r w:rsidRPr="00ED6FAC">
        <w:rPr>
          <w:b/>
          <w:color w:val="7030A0"/>
        </w:rPr>
        <w:t xml:space="preserve"> </w:t>
      </w:r>
      <w:r w:rsidRPr="00ED6FAC">
        <w:rPr>
          <w:highlight w:val="yellow"/>
        </w:rPr>
        <w:t>(</w:t>
      </w:r>
      <w:r w:rsidRPr="00ED6FAC">
        <w:rPr>
          <w:i/>
          <w:color w:val="808080" w:themeColor="background1" w:themeShade="80"/>
          <w:highlight w:val="yellow"/>
        </w:rPr>
        <w:t>van Vuuren et al., 2007; Edenhofer et al., 2010; Azar et al., 2010, 2013; van Vuuren and Riahi, 2011; Tavoni and Socolow, 2013</w:t>
      </w:r>
      <w:r w:rsidRPr="00ED6FAC">
        <w:rPr>
          <w:highlight w:val="yellow"/>
        </w:rPr>
        <w:t xml:space="preserve">). In most model studies in the literature, </w:t>
      </w:r>
      <w:r w:rsidRPr="00ED6FAC">
        <w:rPr>
          <w:b/>
          <w:color w:val="7030A0"/>
          <w:highlight w:val="yellow"/>
        </w:rPr>
        <w:t>negative emissions</w:t>
      </w:r>
      <w:r w:rsidRPr="00ED6FAC">
        <w:rPr>
          <w:color w:val="7030A0"/>
          <w:highlight w:val="yellow"/>
        </w:rPr>
        <w:t xml:space="preserve"> </w:t>
      </w:r>
      <w:r w:rsidRPr="00ED6FAC">
        <w:rPr>
          <w:highlight w:val="yellow"/>
        </w:rPr>
        <w:t xml:space="preserve">are generated via the </w:t>
      </w:r>
      <w:r w:rsidRPr="00ED6FAC">
        <w:rPr>
          <w:highlight w:val="yellow"/>
        </w:rPr>
        <w:lastRenderedPageBreak/>
        <w:t xml:space="preserve">use of </w:t>
      </w:r>
      <w:r w:rsidRPr="00ED6FAC">
        <w:rPr>
          <w:b/>
          <w:color w:val="F79646" w:themeColor="accent6"/>
          <w:highlight w:val="yellow"/>
        </w:rPr>
        <w:t>biomass energy with carbon dioxide capture and storage (BECCS)</w:t>
      </w:r>
      <w:r w:rsidRPr="00ED6FAC">
        <w:rPr>
          <w:highlight w:val="yellow"/>
        </w:rPr>
        <w:t xml:space="preserve">, and to a lesser extent, </w:t>
      </w:r>
      <w:r w:rsidRPr="00ED6FAC">
        <w:rPr>
          <w:b/>
          <w:color w:val="0070C0"/>
          <w:highlight w:val="yellow"/>
        </w:rPr>
        <w:t>afforestation</w:t>
      </w:r>
      <w:r w:rsidRPr="00ED6FAC">
        <w:rPr>
          <w:highlight w:val="yellow"/>
        </w:rPr>
        <w:t xml:space="preserve">, though in principle other options could potentially result in </w:t>
      </w:r>
      <w:r w:rsidRPr="00ED6FAC">
        <w:rPr>
          <w:b/>
          <w:color w:val="7030A0"/>
          <w:highlight w:val="yellow"/>
        </w:rPr>
        <w:t>negative emissions</w:t>
      </w:r>
      <w:r w:rsidRPr="00ED6FAC">
        <w:rPr>
          <w:color w:val="7030A0"/>
          <w:highlight w:val="yellow"/>
        </w:rPr>
        <w:t xml:space="preserve"> </w:t>
      </w:r>
      <w:r w:rsidRPr="00ED6FAC">
        <w:rPr>
          <w:highlight w:val="yellow"/>
        </w:rPr>
        <w:t xml:space="preserve">as well (see </w:t>
      </w:r>
      <w:r w:rsidRPr="00ED6FAC">
        <w:rPr>
          <w:b/>
          <w:color w:val="FF0000"/>
          <w:highlight w:val="yellow"/>
        </w:rPr>
        <w:t>Section 6.9</w:t>
      </w:r>
      <w:r w:rsidRPr="00ED6FAC">
        <w:rPr>
          <w:highlight w:val="yellow"/>
        </w:rPr>
        <w:t xml:space="preserve">). </w:t>
      </w:r>
      <w:r w:rsidRPr="00ED6FAC">
        <w:rPr>
          <w:b/>
          <w:color w:val="00B050"/>
          <w:highlight w:val="yellow"/>
        </w:rPr>
        <w:t>CDR</w:t>
      </w:r>
      <w:r w:rsidRPr="00ED6FAC">
        <w:rPr>
          <w:color w:val="00B050"/>
          <w:highlight w:val="yellow"/>
        </w:rPr>
        <w:t xml:space="preserve"> </w:t>
      </w:r>
      <w:r w:rsidRPr="00ED6FAC">
        <w:rPr>
          <w:highlight w:val="yellow"/>
        </w:rPr>
        <w:t xml:space="preserve">technologies have not been applied yet at large scale. The potential of </w:t>
      </w:r>
      <w:r w:rsidRPr="000C681A">
        <w:rPr>
          <w:b/>
          <w:color w:val="0070C0"/>
          <w:highlight w:val="yellow"/>
        </w:rPr>
        <w:t>afforestation</w:t>
      </w:r>
      <w:r w:rsidRPr="000C681A">
        <w:rPr>
          <w:color w:val="0070C0"/>
          <w:highlight w:val="yellow"/>
        </w:rPr>
        <w:t xml:space="preserve"> </w:t>
      </w:r>
      <w:r w:rsidRPr="00ED6FAC">
        <w:rPr>
          <w:highlight w:val="yellow"/>
        </w:rPr>
        <w:t xml:space="preserve">is limited, and the use of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is ultimately constrained by the potential for CCS and biomass supply (</w:t>
      </w:r>
      <w:r w:rsidRPr="00ED6FAC">
        <w:rPr>
          <w:i/>
          <w:color w:val="808080" w:themeColor="background1" w:themeShade="80"/>
          <w:highlight w:val="yellow"/>
        </w:rPr>
        <w:t>van Vuuren et al., 2013</w:t>
      </w:r>
      <w:r w:rsidRPr="00ED6FAC">
        <w:rPr>
          <w:highlight w:val="yellow"/>
        </w:rPr>
        <w:t xml:space="preserve">). </w:t>
      </w:r>
      <w:r w:rsidRPr="00ED6FAC">
        <w:rPr>
          <w:b/>
          <w:color w:val="00B050"/>
          <w:highlight w:val="yellow"/>
        </w:rPr>
        <w:t>CDR</w:t>
      </w:r>
      <w:r w:rsidRPr="00ED6FAC">
        <w:rPr>
          <w:color w:val="00B050"/>
          <w:highlight w:val="yellow"/>
        </w:rPr>
        <w:t xml:space="preserve"> </w:t>
      </w:r>
      <w:r w:rsidRPr="00ED6FAC">
        <w:rPr>
          <w:highlight w:val="yellow"/>
        </w:rPr>
        <w:t xml:space="preserve">technologies have two key implications for transformation pathways. One is that by removing emissions from the atmosphere, </w:t>
      </w:r>
      <w:r w:rsidRPr="00ED6FAC">
        <w:rPr>
          <w:b/>
          <w:color w:val="00B050"/>
          <w:highlight w:val="yellow"/>
        </w:rPr>
        <w:t>CDR</w:t>
      </w:r>
      <w:r w:rsidRPr="00ED6FAC">
        <w:rPr>
          <w:color w:val="00B050"/>
          <w:highlight w:val="yellow"/>
        </w:rPr>
        <w:t xml:space="preserve"> </w:t>
      </w:r>
      <w:r w:rsidRPr="00ED6FAC">
        <w:rPr>
          <w:highlight w:val="yellow"/>
        </w:rPr>
        <w:t xml:space="preserve">technologies can compensate for residual emissions from technologies and sectors with more expensive abatement. The second is that </w:t>
      </w:r>
      <w:r w:rsidRPr="00ED6FAC">
        <w:rPr>
          <w:b/>
          <w:color w:val="00B050"/>
          <w:highlight w:val="yellow"/>
        </w:rPr>
        <w:t>CDR</w:t>
      </w:r>
      <w:r w:rsidRPr="00ED6FAC">
        <w:rPr>
          <w:color w:val="00B050"/>
          <w:highlight w:val="yellow"/>
        </w:rPr>
        <w:t xml:space="preserve"> </w:t>
      </w:r>
      <w:r w:rsidRPr="00ED6FAC">
        <w:rPr>
          <w:highlight w:val="yellow"/>
        </w:rPr>
        <w:t xml:space="preserve">technologies can create net negative emissions flows, which allow faster declines in concentrations in the second half of the century and thus facilitate higher near-term emissions, effectively expanding the potential scope for overshoot. In model comparison studies, many of the models that could not produce scenarios leading to concentrations of about 450 ppm CO2eq by 2100, particularly in combination with delayed or fragmented policy approaches, did not include </w:t>
      </w:r>
      <w:r w:rsidRPr="00ED6FAC">
        <w:rPr>
          <w:b/>
          <w:color w:val="00B050"/>
          <w:highlight w:val="yellow"/>
        </w:rPr>
        <w:t>CDR</w:t>
      </w:r>
      <w:r w:rsidRPr="00ED6FAC">
        <w:rPr>
          <w:color w:val="00B050"/>
          <w:highlight w:val="yellow"/>
        </w:rPr>
        <w:t xml:space="preserve"> </w:t>
      </w:r>
      <w:r w:rsidRPr="00ED6FAC">
        <w:rPr>
          <w:highlight w:val="yellow"/>
        </w:rPr>
        <w:t>techniques (</w:t>
      </w:r>
      <w:r w:rsidRPr="00ED6FAC">
        <w:rPr>
          <w:i/>
          <w:color w:val="808080" w:themeColor="background1" w:themeShade="80"/>
          <w:highlight w:val="yellow"/>
        </w:rPr>
        <w:t>Clarke et al., 2009</w:t>
      </w:r>
      <w:r w:rsidRPr="00ED6FAC">
        <w:rPr>
          <w:highlight w:val="yellow"/>
        </w:rPr>
        <w:t xml:space="preserve">). The vast majority of scenarios with overshoot of greater than 0.4 W / m2 (greater than 20 ppm CO2eq) deploy </w:t>
      </w:r>
      <w:r w:rsidRPr="00ED6FAC">
        <w:rPr>
          <w:b/>
          <w:color w:val="00B050"/>
          <w:highlight w:val="yellow"/>
        </w:rPr>
        <w:t>CDR</w:t>
      </w:r>
      <w:r w:rsidRPr="00ED6FAC">
        <w:rPr>
          <w:color w:val="00B050"/>
          <w:highlight w:val="yellow"/>
        </w:rPr>
        <w:t xml:space="preserve"> </w:t>
      </w:r>
      <w:r w:rsidRPr="00ED6FAC">
        <w:rPr>
          <w:highlight w:val="yellow"/>
        </w:rPr>
        <w:t xml:space="preserve">technologies to an extent that </w:t>
      </w:r>
      <w:r w:rsidRPr="00ED6FAC">
        <w:rPr>
          <w:b/>
          <w:color w:val="7030A0"/>
          <w:highlight w:val="yellow"/>
        </w:rPr>
        <w:t>net global CO2 emissions become negative</w:t>
      </w:r>
      <w:r w:rsidRPr="00ED6FAC">
        <w:rPr>
          <w:highlight w:val="yellow"/>
        </w:rPr>
        <w:t xml:space="preserve">. Evidence is still mixed whether </w:t>
      </w:r>
      <w:r w:rsidRPr="00ED6FAC">
        <w:rPr>
          <w:b/>
          <w:color w:val="00B050"/>
          <w:highlight w:val="yellow"/>
        </w:rPr>
        <w:t>CDR</w:t>
      </w:r>
      <w:r w:rsidRPr="00ED6FAC">
        <w:rPr>
          <w:color w:val="00B050"/>
          <w:highlight w:val="yellow"/>
        </w:rPr>
        <w:t xml:space="preserve"> </w:t>
      </w:r>
      <w:r w:rsidRPr="00ED6FAC">
        <w:rPr>
          <w:highlight w:val="yellow"/>
        </w:rPr>
        <w:t>technologies are essential for achieving very low GHG concentration goals (</w:t>
      </w:r>
      <w:r w:rsidRPr="00ED6FAC">
        <w:rPr>
          <w:i/>
          <w:color w:val="808080" w:themeColor="background1" w:themeShade="80"/>
          <w:highlight w:val="yellow"/>
        </w:rPr>
        <w:t>Rose et al., 2013</w:t>
      </w:r>
      <w:r w:rsidRPr="00ED6FAC">
        <w:rPr>
          <w:highlight w:val="yellow"/>
        </w:rPr>
        <w:t xml:space="preserve">). A limited number of studies have explored scenarios with </w:t>
      </w:r>
      <w:r w:rsidRPr="00ED6FAC">
        <w:rPr>
          <w:b/>
          <w:color w:val="7030A0"/>
          <w:highlight w:val="yellow"/>
        </w:rPr>
        <w:t>net negative emissions</w:t>
      </w:r>
      <w:r w:rsidRPr="00ED6FAC">
        <w:rPr>
          <w:color w:val="7030A0"/>
          <w:highlight w:val="yellow"/>
        </w:rPr>
        <w:t xml:space="preserve"> </w:t>
      </w:r>
      <w:r w:rsidRPr="00ED6FAC">
        <w:rPr>
          <w:highlight w:val="yellow"/>
        </w:rPr>
        <w:t xml:space="preserve">as large as 20 GtCO2 per year or more (lower panels Figure 6.7), which allow for very substantial delays in emission reductions. However, the majority of studies have explored futures with smaller, but often still quite substantial, contributions of </w:t>
      </w:r>
      <w:r w:rsidRPr="00ED6FAC">
        <w:rPr>
          <w:b/>
          <w:color w:val="00B050"/>
          <w:highlight w:val="yellow"/>
        </w:rPr>
        <w:t>CDR</w:t>
      </w:r>
      <w:r w:rsidRPr="00ED6FAC">
        <w:rPr>
          <w:color w:val="00B050"/>
          <w:highlight w:val="yellow"/>
        </w:rPr>
        <w:t xml:space="preserve"> </w:t>
      </w:r>
      <w:r w:rsidRPr="00ED6FAC">
        <w:rPr>
          <w:highlight w:val="yellow"/>
        </w:rPr>
        <w:t xml:space="preserve">technologies. Technology portfolio assumptions other than </w:t>
      </w:r>
      <w:r w:rsidRPr="00ED6FAC">
        <w:rPr>
          <w:b/>
          <w:color w:val="00B050"/>
          <w:highlight w:val="yellow"/>
        </w:rPr>
        <w:t>CDR</w:t>
      </w:r>
      <w:r w:rsidRPr="00ED6FAC">
        <w:rPr>
          <w:color w:val="00B050"/>
          <w:highlight w:val="yellow"/>
        </w:rPr>
        <w:t xml:space="preserve"> </w:t>
      </w:r>
      <w:r w:rsidRPr="00ED6FAC">
        <w:rPr>
          <w:highlight w:val="yellow"/>
        </w:rPr>
        <w:t>technologies (e. g., regarding renewables, CCS, efficiency, and nuclear power) can also have implications for emissions trajectories, although these are often less pronounced and may in fact shift mitigation earlier or later (</w:t>
      </w:r>
      <w:r w:rsidRPr="00ED6FAC">
        <w:rPr>
          <w:i/>
          <w:color w:val="808080" w:themeColor="background1" w:themeShade="80"/>
          <w:highlight w:val="yellow"/>
        </w:rPr>
        <w:t>Rogelj et al., 2012; Eom et al., 2014; Krey et al., 2014; Kriegler et al., 2014a; Riahi et al., 2014</w:t>
      </w:r>
      <w:r w:rsidRPr="00ED6FAC">
        <w:rPr>
          <w:highlight w:val="yellow"/>
        </w:rPr>
        <w:t>).</w:t>
      </w:r>
    </w:p>
    <w:p w14:paraId="67940BC7" w14:textId="77777777" w:rsidR="00ED6FAC" w:rsidRPr="00ED6FAC" w:rsidRDefault="00ED6FAC" w:rsidP="00ED6FAC">
      <w:r w:rsidRPr="00ED6FAC">
        <w:rPr>
          <w:highlight w:val="yellow"/>
        </w:rPr>
        <w:t xml:space="preserve">The intersection of these three factors — overshoot, </w:t>
      </w:r>
      <w:r w:rsidRPr="00ED6FAC">
        <w:rPr>
          <w:b/>
          <w:color w:val="00B050"/>
          <w:highlight w:val="yellow"/>
        </w:rPr>
        <w:t>CDR</w:t>
      </w:r>
      <w:r w:rsidRPr="00ED6FAC">
        <w:rPr>
          <w:color w:val="00B050"/>
          <w:highlight w:val="yellow"/>
        </w:rPr>
        <w:t xml:space="preserve"> </w:t>
      </w:r>
      <w:r w:rsidRPr="00ED6FAC">
        <w:rPr>
          <w:highlight w:val="yellow"/>
        </w:rPr>
        <w:t>technologies, and delayed mitigation — can be viewed in the context of emissions pathways over the next several decades, for example, the emissions level in 2030 (Figure 6.8).</w:t>
      </w:r>
      <w:r w:rsidRPr="00ED6FAC">
        <w:t xml:space="preserve"> For a given range of forcing at the end of the century, pathways with the lowest levels in 2030 have higher emissions in the long run and slower rates of decline in the middle of the century. </w:t>
      </w:r>
      <w:r w:rsidRPr="00ED6FAC">
        <w:rPr>
          <w:highlight w:val="yellow"/>
        </w:rPr>
        <w:t xml:space="preserve">On the other hand, high emissions in 2030 leads to more rapid declines in the medium term and lower or eventually </w:t>
      </w:r>
      <w:r w:rsidRPr="00ED6FAC">
        <w:rPr>
          <w:b/>
          <w:color w:val="7030A0"/>
          <w:highlight w:val="yellow"/>
        </w:rPr>
        <w:t>net negative emissions</w:t>
      </w:r>
      <w:r w:rsidRPr="00ED6FAC">
        <w:rPr>
          <w:color w:val="7030A0"/>
          <w:highlight w:val="yellow"/>
        </w:rPr>
        <w:t xml:space="preserve"> </w:t>
      </w:r>
      <w:r w:rsidRPr="00ED6FAC">
        <w:rPr>
          <w:highlight w:val="yellow"/>
        </w:rPr>
        <w:t xml:space="preserve">in the long-run, with the pattern exaggerated in a few extreme scenarios exploring deployment of CDR of 20 GtCO2 / yr or more. (See </w:t>
      </w:r>
      <w:r w:rsidRPr="00ED6FAC">
        <w:rPr>
          <w:b/>
          <w:color w:val="FF0000"/>
          <w:highlight w:val="yellow"/>
        </w:rPr>
        <w:t xml:space="preserve">Section 6.4 </w:t>
      </w:r>
      <w:r w:rsidRPr="00ED6FAC">
        <w:rPr>
          <w:highlight w:val="yellow"/>
        </w:rPr>
        <w:t>for a more thorough discussion of the relationship between near-term actions and long-term goals.)</w:t>
      </w:r>
      <w:r w:rsidRPr="00ED6FAC">
        <w:t xml:space="preserve"> </w:t>
      </w:r>
      <w:r w:rsidRPr="00ED6FAC">
        <w:rPr>
          <w:highlight w:val="yellow"/>
        </w:rPr>
        <w:t>Deeper longterm goals also interact with these factors. For example, scenarios leading to concentrations below 430 ppm CO2eq by 2100 (</w:t>
      </w:r>
      <w:r w:rsidRPr="00ED6FAC">
        <w:rPr>
          <w:i/>
          <w:color w:val="808080" w:themeColor="background1" w:themeShade="80"/>
          <w:highlight w:val="yellow"/>
        </w:rPr>
        <w:t>Rogelj et al., 2013a,b; Luderer et al., 2013</w:t>
      </w:r>
      <w:r w:rsidRPr="00ED6FAC">
        <w:rPr>
          <w:highlight w:val="yellow"/>
        </w:rPr>
        <w:t xml:space="preserve">) feature large-scale application of </w:t>
      </w:r>
      <w:r w:rsidRPr="00ED6FAC">
        <w:rPr>
          <w:b/>
          <w:color w:val="00B050"/>
          <w:highlight w:val="yellow"/>
        </w:rPr>
        <w:t>CDR</w:t>
      </w:r>
      <w:r w:rsidRPr="00ED6FAC">
        <w:rPr>
          <w:color w:val="00B050"/>
          <w:highlight w:val="yellow"/>
        </w:rPr>
        <w:t xml:space="preserve"> </w:t>
      </w:r>
      <w:r w:rsidRPr="00ED6FAC">
        <w:rPr>
          <w:highlight w:val="yellow"/>
        </w:rPr>
        <w:t>technologies in the long-term, and most of them have deep emission reductions in the near term.</w:t>
      </w:r>
    </w:p>
    <w:p w14:paraId="3594BA1E" w14:textId="77777777" w:rsidR="00E63092" w:rsidRDefault="00E63092" w:rsidP="00ED6FAC">
      <w:pPr>
        <w:pStyle w:val="berschrift3"/>
      </w:pPr>
      <w:bookmarkStart w:id="23" w:name="_Toc525298456"/>
      <w:r>
        <w:t xml:space="preserve">6.3.2.4 </w:t>
      </w:r>
      <w:r w:rsidRPr="00E63092">
        <w:t>Projected CO2 emissions from land use</w:t>
      </w:r>
      <w:bookmarkEnd w:id="23"/>
    </w:p>
    <w:p w14:paraId="25B4EF29" w14:textId="77777777" w:rsidR="00E63092" w:rsidRPr="00E63092" w:rsidRDefault="00E63092" w:rsidP="00E63092">
      <w:r w:rsidRPr="00E63092">
        <w:t xml:space="preserve">Scenarios provide a wide range of outcomes for the contribution of CO2 emissions from land use (see </w:t>
      </w:r>
      <w:r w:rsidRPr="00E63092">
        <w:rPr>
          <w:b/>
          <w:color w:val="FF0000"/>
        </w:rPr>
        <w:t>Section 11.9</w:t>
      </w:r>
      <w:r w:rsidRPr="00E63092">
        <w:rPr>
          <w:color w:val="FF0000"/>
        </w:rPr>
        <w:t xml:space="preserve"> </w:t>
      </w:r>
      <w:r w:rsidRPr="00E63092">
        <w:t>for a sample from a model intercomparison study). However, one difficulty in interpreting this range is that many scenarios were developed from models that do not explicitly look at strategies to reduce net AFOLU CO2 emissions</w:t>
      </w:r>
      <w:r w:rsidRPr="00E63092">
        <w:rPr>
          <w:highlight w:val="yellow"/>
        </w:rPr>
        <w:t xml:space="preserve">. Nonetheless, the spread in net AFOLU emissions still reflects the implications of land-use related mitigation activities — bioenergy, avoided deforestation, and </w:t>
      </w:r>
      <w:r w:rsidRPr="00E63092">
        <w:rPr>
          <w:b/>
          <w:color w:val="0070C0"/>
          <w:highlight w:val="yellow"/>
        </w:rPr>
        <w:t>afforestation</w:t>
      </w:r>
      <w:r w:rsidRPr="00E63092">
        <w:rPr>
          <w:color w:val="0070C0"/>
          <w:highlight w:val="yellow"/>
        </w:rPr>
        <w:t xml:space="preserve"> </w:t>
      </w:r>
      <w:r w:rsidRPr="00E63092">
        <w:rPr>
          <w:highlight w:val="yellow"/>
        </w:rPr>
        <w:t xml:space="preserve">— in both models that explicitly represent land use and those that do not (see </w:t>
      </w:r>
      <w:r w:rsidRPr="00E63092">
        <w:rPr>
          <w:b/>
          <w:color w:val="FF0000"/>
          <w:highlight w:val="yellow"/>
        </w:rPr>
        <w:t xml:space="preserve">Section </w:t>
      </w:r>
      <w:r w:rsidRPr="00E63092">
        <w:rPr>
          <w:b/>
          <w:color w:val="FF0000"/>
          <w:highlight w:val="yellow"/>
        </w:rPr>
        <w:lastRenderedPageBreak/>
        <w:t>6.3.5</w:t>
      </w:r>
      <w:r w:rsidRPr="00E63092">
        <w:rPr>
          <w:highlight w:val="yellow"/>
        </w:rPr>
        <w:t xml:space="preserve"> for a detailed discussion).</w:t>
      </w:r>
      <w:r w:rsidRPr="00E63092">
        <w:t xml:space="preserve"> </w:t>
      </w:r>
      <w:r w:rsidRPr="00E63092">
        <w:rPr>
          <w:highlight w:val="yellow"/>
        </w:rPr>
        <w:t>Some studies emphasize a potential increase in net AFOLU emissions due to bioenergy production displacing forests (</w:t>
      </w:r>
      <w:r w:rsidRPr="00E63092">
        <w:rPr>
          <w:i/>
          <w:color w:val="808080" w:themeColor="background1" w:themeShade="80"/>
          <w:highlight w:val="yellow"/>
        </w:rPr>
        <w:t>van Vuuren et al., 2007; Searchinger et al., 2008; Wise et al., 2009; Melillo et al., 2009; Reilly et al., 2012</w:t>
      </w:r>
      <w:r w:rsidRPr="00E63092">
        <w:rPr>
          <w:highlight w:val="yellow"/>
        </w:rPr>
        <w:t>).</w:t>
      </w:r>
      <w:r w:rsidRPr="00E63092">
        <w:t xml:space="preserve"> </w:t>
      </w:r>
      <w:r w:rsidRPr="00E63092">
        <w:rPr>
          <w:highlight w:val="yellow"/>
        </w:rPr>
        <w:t xml:space="preserve">Others show a decrease in net AFOLU emissions as a result of decreased deforestation, forest protection, and / or net </w:t>
      </w:r>
      <w:r w:rsidRPr="00E63092">
        <w:rPr>
          <w:b/>
          <w:color w:val="0070C0"/>
          <w:highlight w:val="yellow"/>
        </w:rPr>
        <w:t>afforestation</w:t>
      </w:r>
      <w:r w:rsidRPr="00E63092">
        <w:rPr>
          <w:color w:val="0070C0"/>
          <w:highlight w:val="yellow"/>
        </w:rPr>
        <w:t xml:space="preserve"> </w:t>
      </w:r>
      <w:r w:rsidRPr="00E63092">
        <w:rPr>
          <w:highlight w:val="yellow"/>
        </w:rPr>
        <w:t xml:space="preserve">enacted as a mitigation measure (e. g. </w:t>
      </w:r>
      <w:r w:rsidRPr="00E63092">
        <w:rPr>
          <w:i/>
          <w:color w:val="808080" w:themeColor="background1" w:themeShade="80"/>
          <w:highlight w:val="yellow"/>
        </w:rPr>
        <w:t>Wise et al., 2009; Popp et al., 2011b; Riahi et al., 2011; Reilly et al., 2012</w:t>
      </w:r>
      <w:r w:rsidRPr="00E63092">
        <w:rPr>
          <w:highlight w:val="yellow"/>
        </w:rPr>
        <w:t>).</w:t>
      </w:r>
      <w:r w:rsidRPr="00E63092">
        <w:t xml:space="preserve"> </w:t>
      </w:r>
      <w:r w:rsidRPr="00E63092">
        <w:rPr>
          <w:highlight w:val="yellow"/>
        </w:rPr>
        <w:t xml:space="preserve">Wise et al. (2009) show a range of results from a single model, first focusing mitigation policy on the energy sector, thereby emphasizing the bioenergy production effect, and then focusing policy more broadly to also encourage </w:t>
      </w:r>
      <w:r w:rsidRPr="00E63092">
        <w:rPr>
          <w:b/>
          <w:color w:val="0070C0"/>
          <w:highlight w:val="yellow"/>
        </w:rPr>
        <w:t>afforestation</w:t>
      </w:r>
      <w:r w:rsidRPr="00E63092">
        <w:rPr>
          <w:color w:val="0070C0"/>
          <w:highlight w:val="yellow"/>
        </w:rPr>
        <w:t xml:space="preserve"> </w:t>
      </w:r>
      <w:r w:rsidRPr="00E63092">
        <w:rPr>
          <w:highlight w:val="yellow"/>
        </w:rPr>
        <w:t>and slow deforestation.</w:t>
      </w:r>
      <w:r w:rsidRPr="00E63092">
        <w:t xml:space="preserve"> Reilly et al. (2012) conduct a similar analysis, but with more policy design alternatives. However, policies to induce large-scale land-related mitigation will be challenging and actual implementation will affect costs and net benefits (Lubowski and Rose, 2013) (see Section 6.3.5, Section 6.8 and Chapter 11).</w:t>
      </w:r>
    </w:p>
    <w:p w14:paraId="2947BEB4" w14:textId="77777777" w:rsidR="00577D4B" w:rsidRDefault="00577D4B" w:rsidP="00ED6FAC">
      <w:pPr>
        <w:pStyle w:val="berschrift3"/>
      </w:pPr>
      <w:bookmarkStart w:id="24" w:name="_Toc525298457"/>
      <w:r>
        <w:t xml:space="preserve">6.3.2.6 </w:t>
      </w:r>
      <w:r w:rsidRPr="00577D4B">
        <w:t>The link between concentrations, radiative forcing, and temperature</w:t>
      </w:r>
      <w:bookmarkEnd w:id="24"/>
    </w:p>
    <w:p w14:paraId="406BCBD1" w14:textId="77777777" w:rsidR="00577D4B" w:rsidRPr="00577D4B" w:rsidRDefault="00577D4B" w:rsidP="00577D4B">
      <w:r w:rsidRPr="00577D4B">
        <w:t>For lower-emission scenarios, the MAGICC uncertainty range is more narrow, mainly due to the larger range methodologies representing non-CO2 forcings in the CMIP5 models, as well as the fact that MAGICC does not reflect all of the structural uncertainty represented by the range of CMIP5 models (see panels a and b in Figure 6.12, and WG I Figure 12.8 and Section 12.4.1.2). Uncertainty ranges are largest for emissions</w:t>
      </w:r>
      <w:r w:rsidR="00EF39E9">
        <w:t xml:space="preserve"> </w:t>
      </w:r>
      <w:r w:rsidRPr="00577D4B">
        <w:t xml:space="preserve">driven runs (only available for RCP 8.5 from CMIP5 models), since uncertainties in carbon-cycle feedbacks play a larger role (see also WG I Section 12.4.8.1). The relationship between the cumulative CO2 emissions and the transient temperature increase from MAGICC is well aligned with the CMIP5 model results for the RCP pathways (Figure 6.12 panel c, and WG I Section 12.5.4.2, Figure 12.46, TFE.8 Figure 1). WG I has estimated that a cumulative CO2 emissions budget of around 1000 GtCO2 from 2011 onward is associated with a likely (&gt; 66 %) chance of maintaining temperature change to less than 2 °C. For the database of scenarios assessed here, the majority of scenarios with a greater than 66 % chance of limiting temperature change to less than 2 °C, based on the MAGICC analysis, are those that reach between 430 and 480 ppm CO2eq, and these are associated with cumulative emissions over the century of 630 – 1180 GtCO2 (Table 6.3). </w:t>
      </w:r>
      <w:r w:rsidRPr="00577D4B">
        <w:rPr>
          <w:highlight w:val="yellow"/>
        </w:rPr>
        <w:t xml:space="preserve">The two budgets are not fully comparable, however, since the WG I budget relates to the cumulative emissions at the time of peak warming which are higher than the cumulative emissions until 2100 in overshoot scenarios with net </w:t>
      </w:r>
      <w:r w:rsidRPr="00577D4B">
        <w:rPr>
          <w:b/>
          <w:color w:val="7030A0"/>
          <w:highlight w:val="yellow"/>
        </w:rPr>
        <w:t>negative emissions</w:t>
      </w:r>
      <w:r w:rsidRPr="00577D4B">
        <w:rPr>
          <w:color w:val="7030A0"/>
          <w:highlight w:val="yellow"/>
        </w:rPr>
        <w:t xml:space="preserve"> </w:t>
      </w:r>
      <w:r w:rsidRPr="00577D4B">
        <w:rPr>
          <w:highlight w:val="yellow"/>
        </w:rPr>
        <w:t>by the end of the century.</w:t>
      </w:r>
      <w:r w:rsidRPr="00577D4B">
        <w:t xml:space="preserve"> In addition, the WGI AR5 estimate is based on a single scenario for non-CO2 substances, whereas the database assessed here considers a much wider range of non-CO2 emissions.</w:t>
      </w:r>
    </w:p>
    <w:p w14:paraId="0276F542" w14:textId="77777777" w:rsidR="00577D4B" w:rsidRDefault="00577D4B" w:rsidP="00577D4B">
      <w:pPr>
        <w:pStyle w:val="berschrift2"/>
      </w:pPr>
      <w:bookmarkStart w:id="25" w:name="_Toc525298458"/>
      <w:r>
        <w:t xml:space="preserve">6.3.5 </w:t>
      </w:r>
      <w:r w:rsidRPr="00577D4B">
        <w:t>Land and bioenergy in transformation pathways</w:t>
      </w:r>
      <w:bookmarkEnd w:id="25"/>
    </w:p>
    <w:p w14:paraId="28ABA0C5" w14:textId="77777777" w:rsidR="003C2A33" w:rsidRDefault="003C2A33" w:rsidP="00577D4B">
      <w:r w:rsidRPr="003C2A33">
        <w:t xml:space="preserve">Scenarios suggest a substantial cost-effective, and possibly essential, role for land in transformation pathways (Section 6.3.2.4 and Section 11.9), with baseline land-use emissions and sequestration an important uncertainty (Section 6.3.1.4). Changes in land use and management will result from a confluence of factors, only some of which are due to mitigation. </w:t>
      </w:r>
      <w:r w:rsidRPr="003C2A33">
        <w:rPr>
          <w:highlight w:val="yellow"/>
        </w:rPr>
        <w:t xml:space="preserve">The key forces associated with mitigation are (1) the demand for bioenergy, (2) the demand to store carbon in land by reducing deforestation, encouraging </w:t>
      </w:r>
      <w:r w:rsidRPr="003C2A33">
        <w:rPr>
          <w:b/>
          <w:color w:val="0070C0"/>
          <w:highlight w:val="yellow"/>
        </w:rPr>
        <w:t>afforestation</w:t>
      </w:r>
      <w:r w:rsidRPr="003C2A33">
        <w:rPr>
          <w:highlight w:val="yellow"/>
        </w:rPr>
        <w:t>, and altering soil management practices, and (3) reductions in non-CO2 GHG emissions by changing management practices.</w:t>
      </w:r>
      <w:r w:rsidRPr="003C2A33">
        <w:t xml:space="preserve"> Other forces include demand for food and other products, such as forest products, land for growing urban environments, and protecting lands for environmental, aesthetic, and economic purposes. Currently, only a subset of models explicitly model </w:t>
      </w:r>
      <w:r w:rsidRPr="003C2A33">
        <w:lastRenderedPageBreak/>
        <w:t>LUC in scenarios. The development of fully integrated land use models is an important area of model development.</w:t>
      </w:r>
    </w:p>
    <w:p w14:paraId="5B437D75" w14:textId="77777777" w:rsidR="003C2A33" w:rsidRDefault="003C2A33" w:rsidP="00577D4B">
      <w:r w:rsidRPr="003C2A33">
        <w:t xml:space="preserve">A common, but not universal, characteristic of mitigation scenarios is an expansion of energy cropland to support the production of modern bioenergy. There is also a clear tradeoff in the scenarios between energy cropland cover and other cover types. Most scenarios project reduced non-energy cropland expansion, relative to baseline expansion, with some projections losing cropland relative to today. On the other hand, there are projected pasture changes of every kind. Forest changes depend on the incentives and constraints considered in each scenario. </w:t>
      </w:r>
      <w:r w:rsidRPr="003C2A33">
        <w:rPr>
          <w:highlight w:val="yellow"/>
        </w:rPr>
        <w:t xml:space="preserve">Some of the variations in projected land cover change are attributable to specific assumptions, such as fixed pasture acreage, prioritized food provision, land availability constraints for energy crops, and the inclusion or exclusion of </w:t>
      </w:r>
      <w:r w:rsidRPr="003C2A33">
        <w:rPr>
          <w:b/>
          <w:color w:val="0070C0"/>
          <w:highlight w:val="yellow"/>
        </w:rPr>
        <w:t>afforestation</w:t>
      </w:r>
      <w:r w:rsidRPr="003C2A33">
        <w:rPr>
          <w:color w:val="0070C0"/>
          <w:highlight w:val="yellow"/>
        </w:rPr>
        <w:t xml:space="preserve"> </w:t>
      </w:r>
      <w:r w:rsidRPr="003C2A33">
        <w:rPr>
          <w:highlight w:val="yellow"/>
        </w:rPr>
        <w:t xml:space="preserve">options (e. g. </w:t>
      </w:r>
      <w:r w:rsidRPr="003C2A33">
        <w:rPr>
          <w:i/>
          <w:color w:val="808080" w:themeColor="background1" w:themeShade="80"/>
          <w:highlight w:val="yellow"/>
        </w:rPr>
        <w:t>Popp et al., 2014</w:t>
      </w:r>
      <w:r w:rsidRPr="003C2A33">
        <w:rPr>
          <w:highlight w:val="yellow"/>
        </w:rPr>
        <w:t>).</w:t>
      </w:r>
      <w:r w:rsidRPr="003C2A33">
        <w:t xml:space="preserve"> Others are more subtle outcomes of combinations of modelling assumption and structure, such as demands for food and energy, land productivity and heterogeneity, yield potential, land-production options, and land-conversion costs.</w:t>
      </w:r>
    </w:p>
    <w:p w14:paraId="4730E4D2" w14:textId="77777777" w:rsidR="003C2A33" w:rsidRDefault="003C2A33" w:rsidP="00577D4B">
      <w:pPr>
        <w:rPr>
          <w:highlight w:val="yellow"/>
        </w:rPr>
      </w:pPr>
      <w:r w:rsidRPr="003C2A33">
        <w:t xml:space="preserve">Which mitigation activities are available or incentivized has important implications for land conversion (Figure 6.19). </w:t>
      </w:r>
      <w:r w:rsidRPr="003C2A33">
        <w:rPr>
          <w:highlight w:val="yellow"/>
        </w:rPr>
        <w:t>Bioenergy incentives alone can produce energy cropland expansion, with increased forest and other land conversion (</w:t>
      </w:r>
      <w:r w:rsidRPr="003C2A33">
        <w:rPr>
          <w:i/>
          <w:color w:val="808080" w:themeColor="background1" w:themeShade="80"/>
          <w:highlight w:val="yellow"/>
        </w:rPr>
        <w:t>Wise et al., 2009; Reilly et al., 2012</w:t>
      </w:r>
      <w:r w:rsidRPr="003C2A33">
        <w:rPr>
          <w:highlight w:val="yellow"/>
        </w:rPr>
        <w:t>).</w:t>
      </w:r>
      <w:r w:rsidRPr="003C2A33">
        <w:t xml:space="preserve"> In general, forest land contraction results when increased demand for energy crops is not balanced by policies that incentivize or protect the storage</w:t>
      </w:r>
      <w:r>
        <w:t xml:space="preserve"> </w:t>
      </w:r>
      <w:r w:rsidRPr="003C2A33">
        <w:t xml:space="preserve">of carbon in terrestrial systems. However, the degree of this forest conversion will depend on a range of factors, including the potential for agricultural intensification and underlying modelling approaches. For example, Melillo et al. (2009) find twice as much forest land conversion by 2050 when they ignore agricultural intensification responses. </w:t>
      </w:r>
      <w:r w:rsidRPr="003C2A33">
        <w:rPr>
          <w:highlight w:val="yellow"/>
        </w:rPr>
        <w:t>Forest land expansion is projected when forests are protected, there are constraints on bioenergy deployment levels, or there are combined incentives for bioenergy and terrestrial carbon stocks (e. g., Wise et al., 2009; Reilly et al., 2012, and GCAM-EMF27 in Figure 6.19)</w:t>
      </w:r>
      <w:r w:rsidRPr="003C2A33">
        <w:t xml:space="preserve">. </w:t>
      </w:r>
      <w:r w:rsidRPr="003C2A33">
        <w:rPr>
          <w:highlight w:val="yellow"/>
        </w:rPr>
        <w:t xml:space="preserve">Differences in forest land expansion result largely from differences in approaches to incorporating land carbon in the mitigation regime. For example, in Figure 6.19, GCAM-EMF27 (all variants), Wise et al. (2009) (low bioe+land) and Reilly et al. (2012)(low bioe and bioe+land) include an explicit price incentive to store carbon in land, which serves to encourage </w:t>
      </w:r>
      <w:r w:rsidRPr="003C2A33">
        <w:rPr>
          <w:b/>
          <w:color w:val="0070C0"/>
          <w:highlight w:val="yellow"/>
        </w:rPr>
        <w:t>afforestation</w:t>
      </w:r>
      <w:r w:rsidRPr="003C2A33">
        <w:rPr>
          <w:color w:val="0070C0"/>
          <w:highlight w:val="yellow"/>
        </w:rPr>
        <w:t xml:space="preserve"> </w:t>
      </w:r>
      <w:r w:rsidRPr="003C2A33">
        <w:rPr>
          <w:highlight w:val="yellow"/>
        </w:rPr>
        <w:t>and reduce deforestation of existing forests, and discourage energy cropland expansion. In contrast, other scenarios consider only avoided deforestation (REMIND-MAgPIE-EMF27), or land conversion constraints (IMAGE-EMF27). Both protect existing forests, but neither encourages afforestation.</w:t>
      </w:r>
      <w:r w:rsidRPr="003C2A33">
        <w:t xml:space="preserve"> In other studies, Melillo et al. (2009) protect existing natural forests based on profitability and Popp et al. (2011a) (not shown) impose conservation policies that protect forest regardless of cost. </w:t>
      </w:r>
      <w:r w:rsidRPr="003C2A33">
        <w:rPr>
          <w:highlight w:val="yellow"/>
        </w:rPr>
        <w:t xml:space="preserve">The explicit pricing of land carbon incentives can lead to large land use carbon sinks in scenarios, and an </w:t>
      </w:r>
      <w:r w:rsidRPr="003C2A33">
        <w:rPr>
          <w:b/>
          <w:color w:val="0070C0"/>
          <w:highlight w:val="yellow"/>
        </w:rPr>
        <w:t>afforestation</w:t>
      </w:r>
      <w:r w:rsidRPr="003C2A33">
        <w:rPr>
          <w:color w:val="0070C0"/>
          <w:highlight w:val="yellow"/>
        </w:rPr>
        <w:t xml:space="preserve"> </w:t>
      </w:r>
      <w:r w:rsidRPr="003C2A33">
        <w:rPr>
          <w:highlight w:val="yellow"/>
        </w:rPr>
        <w:t xml:space="preserve">incentive or constraint on bioenergy use can result in less land conversion from bioenergy, but not necessarily less land conversion as </w:t>
      </w:r>
      <w:r w:rsidRPr="003C2A33">
        <w:rPr>
          <w:b/>
          <w:color w:val="0070C0"/>
          <w:highlight w:val="yellow"/>
        </w:rPr>
        <w:t>afforestation</w:t>
      </w:r>
      <w:r w:rsidRPr="003C2A33">
        <w:rPr>
          <w:color w:val="0070C0"/>
          <w:highlight w:val="yellow"/>
        </w:rPr>
        <w:t xml:space="preserve"> </w:t>
      </w:r>
      <w:r w:rsidRPr="003C2A33">
        <w:rPr>
          <w:highlight w:val="yellow"/>
        </w:rPr>
        <w:t>may increase.</w:t>
      </w:r>
    </w:p>
    <w:p w14:paraId="39C714AC" w14:textId="77777777" w:rsidR="003C2A33" w:rsidRDefault="003C2A33" w:rsidP="00577D4B">
      <w:pPr>
        <w:rPr>
          <w:highlight w:val="yellow"/>
        </w:rPr>
      </w:pPr>
    </w:p>
    <w:p w14:paraId="2570CFCC" w14:textId="77777777" w:rsidR="00577D4B" w:rsidRDefault="00577D4B" w:rsidP="00577D4B">
      <w:r w:rsidRPr="00577D4B">
        <w:rPr>
          <w:highlight w:val="yellow"/>
        </w:rPr>
        <w:t xml:space="preserve">An important issue with respect to bioenergy, and therefore to land transformation, is the availability and use of </w:t>
      </w:r>
      <w:r w:rsidRPr="00577D4B">
        <w:rPr>
          <w:b/>
          <w:color w:val="F79646" w:themeColor="accent6"/>
          <w:highlight w:val="yellow"/>
        </w:rPr>
        <w:t>BECCS</w:t>
      </w:r>
      <w:r w:rsidRPr="00577D4B">
        <w:rPr>
          <w:highlight w:val="yellow"/>
        </w:rPr>
        <w:t xml:space="preserve">. As discussed in </w:t>
      </w:r>
      <w:r w:rsidRPr="00577D4B">
        <w:rPr>
          <w:b/>
          <w:color w:val="FF0000"/>
          <w:highlight w:val="yellow"/>
        </w:rPr>
        <w:t>Section 6.3.2</w:t>
      </w:r>
      <w:r w:rsidRPr="00577D4B">
        <w:rPr>
          <w:highlight w:val="yellow"/>
        </w:rPr>
        <w:t xml:space="preserve">,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 xml:space="preserve">could be valuable for reaching lower-concentration levels, in part by facilitating concentration overshoot. The availability of CCS could therefore also have land-use implications. Constraints on the use of CCS would prohibit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lastRenderedPageBreak/>
        <w:t xml:space="preserve">deployment. However, CCS (for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 xml:space="preserve">as well as fossil energy with CCS) may not increase land conversion through 2050 relative to scenarios without </w:t>
      </w:r>
      <w:r w:rsidRPr="00577D4B">
        <w:rPr>
          <w:b/>
          <w:color w:val="F79646" w:themeColor="accent6"/>
          <w:highlight w:val="yellow"/>
        </w:rPr>
        <w:t>BECCS</w:t>
      </w:r>
      <w:r w:rsidRPr="00577D4B">
        <w:rPr>
          <w:highlight w:val="yellow"/>
        </w:rPr>
        <w:t xml:space="preserve">. Instead, the presence of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 xml:space="preserve">could decrease near-term energy crop expansion as some models project delayed mitigation with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w:t>
      </w:r>
      <w:r w:rsidRPr="00577D4B">
        <w:rPr>
          <w:i/>
          <w:color w:val="808080" w:themeColor="background1" w:themeShade="80"/>
          <w:highlight w:val="yellow"/>
        </w:rPr>
        <w:t>Rose et al., 2014a</w:t>
      </w:r>
      <w:r w:rsidRPr="00577D4B">
        <w:rPr>
          <w:highlight w:val="yellow"/>
        </w:rPr>
        <w:t xml:space="preserve">, 6.3.2.2). In addition to biomass feedstock requirements,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land considerations include bioenergy CCS facility land, as well as optimal siting relative to feedstock, geologic storage, and infrastructure.</w:t>
      </w:r>
    </w:p>
    <w:p w14:paraId="73E07942" w14:textId="77777777" w:rsidR="00577D4B" w:rsidRDefault="00577D4B" w:rsidP="00577D4B">
      <w:r w:rsidRPr="00577D4B">
        <w:t>As noted above, land transformation is tightly linked to the role of bioenergy in mitigation. To understand bioenergy’s role in transformation pathways, it is important to understand bioenergy’s role within the energy system. The review by Chum et al. (2011) estimated technical potential for bioenergy of 300 and 500 EJ / year in 2020 and 2050, respectively, and deployment of 100 to 300 EJ of biomass for energy globally in 2050, while Rose et al. (2012) found bioenergy contributing up to 15 % of cumulative primary energy over the century under climate policies. Rose et al. (2014a) analyze more recent results from 15 models (Figure 6.20). They find that modelled bioenergy structures vary substantially across models, with differences in feedstock assumptions, sustainability constraints, and conversion technologies. Nonetheless, the scenarios project increasing deployment of, and dependence on, bioenergy with tighter climate change goals, both in a given year as well as earlier in time. Shares of total primary energy increase under climate policies due to both increased deployment of bioenergy and</w:t>
      </w:r>
      <w:r>
        <w:t xml:space="preserve"> </w:t>
      </w:r>
      <w:r w:rsidRPr="00577D4B">
        <w:t xml:space="preserve">shrinking energy systems. Bioenergy’s share of total regional electricity and liquid fuels is projected to be up to 35 % and 75 %, respectively, by 2050. However, there is no single vision about where biomass is cost-effectively deployed within the energy system (electricity, liquid fuels, hydrogen, and / or heat), due in large part to uncertainties about relative technology options and costs over time. (See Chapter 7 for more detail on bioenergy’s role in energy supply.) </w:t>
      </w:r>
      <w:r w:rsidRPr="00577D4B">
        <w:rPr>
          <w:highlight w:val="yellow"/>
        </w:rPr>
        <w:t xml:space="preserve">As noted above, the availability of CCS, and therefore </w:t>
      </w:r>
      <w:r w:rsidRPr="00577D4B">
        <w:rPr>
          <w:b/>
          <w:color w:val="F79646" w:themeColor="accent6"/>
          <w:highlight w:val="yellow"/>
        </w:rPr>
        <w:t>BECCS</w:t>
      </w:r>
      <w:r w:rsidRPr="00577D4B">
        <w:rPr>
          <w:highlight w:val="yellow"/>
        </w:rPr>
        <w:t xml:space="preserve">, has important implications for bioenergy deployment. In scenarios that do include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 xml:space="preserve">technologies,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is deployed in greater quantities and earlier in time the more stringent the goal, potentially representing 100 % of bioenergy in 2050 (Figure 6.20).</w:t>
      </w:r>
    </w:p>
    <w:p w14:paraId="0598C301" w14:textId="77777777" w:rsidR="00577D4B" w:rsidRPr="00577D4B" w:rsidRDefault="00577D4B" w:rsidP="00577D4B">
      <w:pPr>
        <w:pStyle w:val="berschrift2"/>
      </w:pPr>
      <w:bookmarkStart w:id="26" w:name="_Toc525298459"/>
      <w:r>
        <w:t xml:space="preserve">6.3.6 </w:t>
      </w:r>
      <w:r w:rsidRPr="00577D4B">
        <w:t>The aggregate economic implications of transformation pathways</w:t>
      </w:r>
      <w:bookmarkEnd w:id="26"/>
    </w:p>
    <w:p w14:paraId="507DB1BD" w14:textId="77777777" w:rsidR="00ED6FAC" w:rsidRDefault="00ED6FAC" w:rsidP="00ED6FAC">
      <w:pPr>
        <w:pStyle w:val="berschrift3"/>
      </w:pPr>
      <w:bookmarkStart w:id="27" w:name="_Toc525298460"/>
      <w:r w:rsidRPr="00ED6FAC">
        <w:t>6</w:t>
      </w:r>
      <w:r>
        <w:t>.</w:t>
      </w:r>
      <w:r w:rsidRPr="00ED6FAC">
        <w:t>3</w:t>
      </w:r>
      <w:r>
        <w:t>.</w:t>
      </w:r>
      <w:r w:rsidRPr="00ED6FAC">
        <w:t>6</w:t>
      </w:r>
      <w:r>
        <w:t>.</w:t>
      </w:r>
      <w:r w:rsidRPr="00ED6FAC">
        <w:t>3 The implications of technology portfolios for aggregate global economic costs</w:t>
      </w:r>
      <w:bookmarkEnd w:id="27"/>
    </w:p>
    <w:p w14:paraId="0118783B" w14:textId="77777777" w:rsidR="00577D4B" w:rsidRDefault="00577D4B" w:rsidP="00577D4B">
      <w:r>
        <w:t xml:space="preserve">Because technology will underpin the transition to a low-carbon economy, the availability, cost, and performance of technologies will exert an influence on economic costs. Several multi-model studies and a wide range of individual model studies have explored this space (see Section 6.1.2.2). A precise understanding of the implications of technology availability on costs is confounded by several factors. One issue is that the sensitivities among technologies are not necessarily comparable across models or scenarios. </w:t>
      </w:r>
      <w:r w:rsidRPr="00577D4B">
        <w:rPr>
          <w:highlight w:val="yellow"/>
        </w:rPr>
        <w:t xml:space="preserve">Some models do not represent certain technologies such as </w:t>
      </w:r>
      <w:r w:rsidRPr="00577D4B">
        <w:rPr>
          <w:b/>
          <w:color w:val="F79646" w:themeColor="accent6"/>
          <w:highlight w:val="yellow"/>
        </w:rPr>
        <w:t>BECCS</w:t>
      </w:r>
      <w:r w:rsidRPr="00577D4B">
        <w:rPr>
          <w:color w:val="F79646" w:themeColor="accent6"/>
          <w:highlight w:val="yellow"/>
        </w:rPr>
        <w:t xml:space="preserve"> </w:t>
      </w:r>
      <w:r w:rsidRPr="00577D4B">
        <w:rPr>
          <w:highlight w:val="yellow"/>
        </w:rPr>
        <w:t>and therefore do not exhibit a strong cost increase if these options are restricted. These models may instead have difficulties in achieving tighter concentration goals regardless of the restriction (</w:t>
      </w:r>
      <w:r w:rsidRPr="00577D4B">
        <w:rPr>
          <w:i/>
          <w:color w:val="808080" w:themeColor="background1" w:themeShade="80"/>
          <w:highlight w:val="yellow"/>
        </w:rPr>
        <w:t>Krey et al., 2014</w:t>
      </w:r>
      <w:r w:rsidRPr="00577D4B">
        <w:rPr>
          <w:highlight w:val="yellow"/>
        </w:rPr>
        <w:t>).</w:t>
      </w:r>
      <w:r>
        <w:t xml:space="preserve"> In addition, assumptions about cost and performance can vary across models, even within a single, multi-model study. Moreover, many limited technology scenarios are characterized by frequent model infeasibilities, as shown by the fraction of models in the EMF27 study (Kriegler et al., 2014a) able to meet a particular goal with different technology combinations at the bottom of Figure 6.24. (See Section 6.2.4 regarding interpretation of model infeasibility).</w:t>
      </w:r>
    </w:p>
    <w:p w14:paraId="22C9175F" w14:textId="77777777" w:rsidR="001861C8" w:rsidRDefault="001861C8" w:rsidP="00577D4B">
      <w:r w:rsidRPr="001861C8">
        <w:lastRenderedPageBreak/>
        <w:t xml:space="preserve">Despite these limitations, the literature broadly confirms that mitigation costs are heavily influenced by the availability, cost, and performance of mitigation technologies. In addition, these studies indicate that the influence of technology on costs generally increases with increasing stringency of the concentration goal (Figure 6.24). The effect on mitigation costs varies by technology, however, the ranges reported by the different models tend to strongly overlap (Figure 6.24, Krey et al., 2014), reflecting the general variation of mitigation costs across models (Section 6.3.6.2, Fisher et al., 2007). In general, models have been able to produce scenarios leading to about 550 ppm CO2eq by 2100, even under limited technology assumptions. </w:t>
      </w:r>
      <w:r w:rsidRPr="001861C8">
        <w:rPr>
          <w:highlight w:val="yellow"/>
        </w:rPr>
        <w:t xml:space="preserve">However, many models could not produce scenarios leading to about 450 ppm CO2eq by 2100 with limited technology portfolios, particularly when assumptions preclude or limit the use of </w:t>
      </w:r>
      <w:r w:rsidRPr="001861C8">
        <w:rPr>
          <w:b/>
          <w:color w:val="F79646" w:themeColor="accent6"/>
          <w:highlight w:val="yellow"/>
        </w:rPr>
        <w:t>BECCS</w:t>
      </w:r>
      <w:r w:rsidRPr="001861C8">
        <w:rPr>
          <w:color w:val="F79646" w:themeColor="accent6"/>
          <w:highlight w:val="yellow"/>
        </w:rPr>
        <w:t xml:space="preserve"> </w:t>
      </w:r>
      <w:r w:rsidRPr="001861C8">
        <w:rPr>
          <w:highlight w:val="yellow"/>
        </w:rPr>
        <w:t>(</w:t>
      </w:r>
      <w:r w:rsidRPr="001861C8">
        <w:rPr>
          <w:i/>
          <w:color w:val="808080" w:themeColor="background1" w:themeShade="80"/>
          <w:highlight w:val="yellow"/>
        </w:rPr>
        <w:t>Azar et al., 2006; van Vliet et al., 2009; Krey et al., 2014; Kriegler et al., 2014a</w:t>
      </w:r>
      <w:r w:rsidRPr="001861C8">
        <w:rPr>
          <w:highlight w:val="yellow"/>
        </w:rPr>
        <w:t>).</w:t>
      </w:r>
    </w:p>
    <w:p w14:paraId="17926A3D" w14:textId="77777777" w:rsidR="00ED6FAC" w:rsidRDefault="00ED6FAC" w:rsidP="00ED6FAC">
      <w:r w:rsidRPr="00ED6FAC">
        <w:t xml:space="preserve">As noted above, the lack of availability of CCS is most frequently associated with the most significant cost increase (Edenhofer et al., 2010; Tavoni et al., 2012; Krey et al., 2014; Kriegler et al., 2014a; Riahi et al., 2014), particularly for concentration goals approaching 450 ppm CO2eq, which are characterized by often substantial overshoot. </w:t>
      </w:r>
      <w:r w:rsidRPr="00ED6FAC">
        <w:rPr>
          <w:highlight w:val="yellow"/>
        </w:rPr>
        <w:t xml:space="preserve">One fundamental reason for this is that the combination of biomass with CCS can serve as a </w:t>
      </w:r>
      <w:r w:rsidRPr="00ED6FAC">
        <w:rPr>
          <w:b/>
          <w:color w:val="00B050"/>
          <w:highlight w:val="yellow"/>
        </w:rPr>
        <w:t>CDR</w:t>
      </w:r>
      <w:r w:rsidRPr="00ED6FAC">
        <w:rPr>
          <w:color w:val="00B050"/>
          <w:highlight w:val="yellow"/>
        </w:rPr>
        <w:t xml:space="preserve"> </w:t>
      </w:r>
      <w:r w:rsidRPr="00ED6FAC">
        <w:rPr>
          <w:highlight w:val="yellow"/>
        </w:rPr>
        <w:t xml:space="preserve">technology in the form of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w:t>
      </w:r>
      <w:r w:rsidRPr="00ED6FAC">
        <w:rPr>
          <w:i/>
          <w:color w:val="808080" w:themeColor="background1" w:themeShade="80"/>
          <w:highlight w:val="yellow"/>
        </w:rPr>
        <w:t>Azar et al., 2006; Krey and Riahi, 2009; van Vliet et al., 2009; Edmonds et al., 2013; Kriegler et al., 2013a; van Vuuren et al., 2013</w:t>
      </w:r>
      <w:r w:rsidRPr="00ED6FAC">
        <w:rPr>
          <w:highlight w:val="yellow"/>
        </w:rPr>
        <w:t>) (see Sections 6.3.2 and 6.9)</w:t>
      </w:r>
      <w:r w:rsidRPr="00ED6FAC">
        <w:t xml:space="preserve">. </w:t>
      </w:r>
      <w:r w:rsidRPr="00ED6FAC">
        <w:rPr>
          <w:highlight w:val="yellow"/>
        </w:rPr>
        <w:t xml:space="preserve">In addition to the ability to produce </w:t>
      </w:r>
      <w:r w:rsidRPr="00ED6FAC">
        <w:rPr>
          <w:b/>
          <w:color w:val="7030A0"/>
          <w:highlight w:val="yellow"/>
        </w:rPr>
        <w:t>negative emissions</w:t>
      </w:r>
      <w:r w:rsidRPr="00ED6FAC">
        <w:rPr>
          <w:color w:val="7030A0"/>
          <w:highlight w:val="yellow"/>
        </w:rPr>
        <w:t xml:space="preserve"> </w:t>
      </w:r>
      <w:r w:rsidRPr="00ED6FAC">
        <w:rPr>
          <w:highlight w:val="yellow"/>
        </w:rPr>
        <w:t xml:space="preserve">when coupled with </w:t>
      </w:r>
      <w:r w:rsidRPr="00ED6FAC">
        <w:rPr>
          <w:b/>
          <w:color w:val="F79646" w:themeColor="accent6"/>
          <w:highlight w:val="yellow"/>
        </w:rPr>
        <w:t>bioenergy, CCS</w:t>
      </w:r>
      <w:r w:rsidRPr="00ED6FAC">
        <w:rPr>
          <w:color w:val="F79646" w:themeColor="accent6"/>
          <w:highlight w:val="yellow"/>
        </w:rPr>
        <w:t xml:space="preserve"> </w:t>
      </w:r>
      <w:r w:rsidRPr="00ED6FAC">
        <w:rPr>
          <w:highlight w:val="yellow"/>
        </w:rPr>
        <w:t>is a versatile technology that can be combined with electricity, synthetic fuel, and hydrogen production from several feedstocks and in energy-intensive industries such as cement and steel.</w:t>
      </w:r>
      <w:r>
        <w:t xml:space="preserve"> The CCS can also act as bridge technology that is compatible with existing fossil-fuel dominated supply structures </w:t>
      </w:r>
      <w:r w:rsidRPr="00ED6FAC">
        <w:rPr>
          <w:highlight w:val="yellow"/>
        </w:rPr>
        <w:t xml:space="preserve">(see </w:t>
      </w:r>
      <w:r w:rsidRPr="00764B9D">
        <w:rPr>
          <w:b/>
          <w:color w:val="FF0000"/>
          <w:highlight w:val="yellow"/>
        </w:rPr>
        <w:t>Sections 7.5.5, 7.9, and 6.9</w:t>
      </w:r>
      <w:r w:rsidRPr="00ED6FAC">
        <w:rPr>
          <w:highlight w:val="yellow"/>
        </w:rPr>
        <w:t xml:space="preserve"> for a discussion of challenges and risks of CCS and </w:t>
      </w:r>
      <w:r w:rsidRPr="00ED6FAC">
        <w:rPr>
          <w:b/>
          <w:color w:val="00B050"/>
          <w:highlight w:val="yellow"/>
        </w:rPr>
        <w:t>CDR</w:t>
      </w:r>
      <w:r w:rsidRPr="00ED6FAC">
        <w:rPr>
          <w:highlight w:val="yellow"/>
        </w:rPr>
        <w:t>)</w:t>
      </w:r>
      <w:r>
        <w:t xml:space="preserve">. </w:t>
      </w:r>
      <w:r w:rsidRPr="00ED6FAC">
        <w:rPr>
          <w:highlight w:val="yellow"/>
        </w:rPr>
        <w:t xml:space="preserve">Bioenergy shares some of these characteristics with CCS. It is also an essential ingredient for </w:t>
      </w:r>
      <w:r w:rsidRPr="00ED6FAC">
        <w:rPr>
          <w:b/>
          <w:color w:val="F79646" w:themeColor="accent6"/>
          <w:highlight w:val="yellow"/>
        </w:rPr>
        <w:t>BECCS</w:t>
      </w:r>
      <w:r w:rsidRPr="00ED6FAC">
        <w:rPr>
          <w:highlight w:val="yellow"/>
        </w:rPr>
        <w:t xml:space="preserve">, and it can be applied in various sectors of the energy system, including for the provision of liquid low-carbon fuels for transportation (see </w:t>
      </w:r>
      <w:r w:rsidRPr="00ED6FAC">
        <w:rPr>
          <w:b/>
          <w:color w:val="FF0000"/>
          <w:highlight w:val="yellow"/>
        </w:rPr>
        <w:t>Chapter 11, Bioenergy Annex for a discussion of related challenges and risks</w:t>
      </w:r>
      <w:r w:rsidRPr="00ED6FAC">
        <w:rPr>
          <w:highlight w:val="yellow"/>
        </w:rPr>
        <w:t>).</w:t>
      </w:r>
      <w:r>
        <w:t xml:space="preserve"> </w:t>
      </w:r>
      <w:r w:rsidRPr="00577D4B">
        <w:rPr>
          <w:highlight w:val="yellow"/>
        </w:rPr>
        <w:t xml:space="preserve">In contrast, those options that are largely confined to the electricity sector (e. g., wind, solar, and nuclear energy) and heat generation tend to show a lower value, both because they cannot be used to generate </w:t>
      </w:r>
      <w:r w:rsidRPr="00577D4B">
        <w:rPr>
          <w:b/>
          <w:color w:val="7030A0"/>
          <w:highlight w:val="yellow"/>
        </w:rPr>
        <w:t>negative emissions</w:t>
      </w:r>
      <w:r w:rsidRPr="00577D4B">
        <w:rPr>
          <w:highlight w:val="yellow"/>
        </w:rPr>
        <w:t xml:space="preserve"> and because there are a number of low-carbon electricity supply options available that can generally substitute each other (</w:t>
      </w:r>
      <w:r w:rsidRPr="00EF39E9">
        <w:rPr>
          <w:i/>
          <w:color w:val="808080" w:themeColor="background1" w:themeShade="80"/>
          <w:highlight w:val="yellow"/>
        </w:rPr>
        <w:t>Krey et al., 2014</w:t>
      </w:r>
      <w:r w:rsidRPr="00577D4B">
        <w:rPr>
          <w:highlight w:val="yellow"/>
        </w:rPr>
        <w:t>).</w:t>
      </w:r>
    </w:p>
    <w:p w14:paraId="67025327" w14:textId="77777777" w:rsidR="00ED6FAC" w:rsidRDefault="00ED6FAC" w:rsidP="00ED6FAC">
      <w:pPr>
        <w:pStyle w:val="berschrift3"/>
      </w:pPr>
      <w:bookmarkStart w:id="28" w:name="_Toc525298461"/>
      <w:r>
        <w:t xml:space="preserve">6.3.6.4 </w:t>
      </w:r>
      <w:r w:rsidRPr="00ED6FAC">
        <w:t>Economic implications of non-idealized international mitigation policy implementation</w:t>
      </w:r>
      <w:bookmarkEnd w:id="28"/>
    </w:p>
    <w:p w14:paraId="5F3CEF12" w14:textId="77777777" w:rsidR="00ED6FAC" w:rsidRDefault="00ED6FAC" w:rsidP="00ED6FAC">
      <w:r w:rsidRPr="00ED6FAC">
        <w:t xml:space="preserve">Studies have consistently found that delays through 2030 have substantially more profound aggregate economic implications than delays through 2020, both in terms of higher transitional impacts due to more rapidly increasing mitigation costs at the time of adopting the longterm strategy and higher long-term costs (Kriegler et al., 2013b; Rogelj et al., 2013a; Luderer et al., 2014a). This is directly related to prolonged delays in mitigation leading to both larger carbon lock-ins and higher short term emissions that need to be compensated by deeper emissions cuts in the long run (Sections 6.3.2 and 6.4). </w:t>
      </w:r>
      <w:r w:rsidRPr="00ED6FAC">
        <w:rPr>
          <w:highlight w:val="yellow"/>
        </w:rPr>
        <w:t xml:space="preserve">Moreover, delayed mitigation further increases the dependence on the full availability of mitigation options, especially on </w:t>
      </w:r>
      <w:r w:rsidRPr="00ED6FAC">
        <w:rPr>
          <w:b/>
          <w:color w:val="00B050"/>
          <w:highlight w:val="yellow"/>
        </w:rPr>
        <w:t>CDR</w:t>
      </w:r>
      <w:r w:rsidRPr="00ED6FAC">
        <w:rPr>
          <w:color w:val="00B050"/>
          <w:highlight w:val="yellow"/>
        </w:rPr>
        <w:t xml:space="preserve"> </w:t>
      </w:r>
      <w:r w:rsidRPr="00ED6FAC">
        <w:rPr>
          <w:highlight w:val="yellow"/>
        </w:rPr>
        <w:t xml:space="preserve">technologies such as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w:t>
      </w:r>
      <w:r w:rsidRPr="00ED6FAC">
        <w:rPr>
          <w:i/>
          <w:color w:val="808080" w:themeColor="background1" w:themeShade="80"/>
          <w:highlight w:val="yellow"/>
        </w:rPr>
        <w:t>Luderer et al., 2013; Rogelj et al., 2013b; Riahi et al., 2014</w:t>
      </w:r>
      <w:r w:rsidRPr="00ED6FAC">
        <w:rPr>
          <w:highlight w:val="yellow"/>
        </w:rPr>
        <w:t xml:space="preserve">). (See </w:t>
      </w:r>
      <w:r w:rsidRPr="00ED6FAC">
        <w:rPr>
          <w:b/>
          <w:color w:val="FF0000"/>
          <w:highlight w:val="yellow"/>
        </w:rPr>
        <w:t>Section 6.3.6.3, Section 6.4</w:t>
      </w:r>
      <w:r w:rsidRPr="00ED6FAC">
        <w:rPr>
          <w:highlight w:val="yellow"/>
        </w:rPr>
        <w:t>).</w:t>
      </w:r>
    </w:p>
    <w:p w14:paraId="3FAC7D46" w14:textId="77777777" w:rsidR="003C2A33" w:rsidRPr="003C2A33" w:rsidRDefault="003C2A33" w:rsidP="003C2A33">
      <w:pPr>
        <w:pStyle w:val="berschrift2"/>
        <w:rPr>
          <w:rStyle w:val="berschrift1Zchn"/>
          <w:b/>
          <w:bCs/>
          <w:color w:val="4F81BD" w:themeColor="accent1"/>
          <w:sz w:val="26"/>
          <w:szCs w:val="26"/>
        </w:rPr>
      </w:pPr>
      <w:bookmarkStart w:id="29" w:name="_Toc525298462"/>
      <w:r w:rsidRPr="003C2A33">
        <w:rPr>
          <w:rStyle w:val="berschrift1Zchn"/>
          <w:b/>
          <w:bCs/>
          <w:color w:val="4F81BD" w:themeColor="accent1"/>
          <w:sz w:val="26"/>
          <w:szCs w:val="26"/>
        </w:rPr>
        <w:lastRenderedPageBreak/>
        <w:t>Box 6.2</w:t>
      </w:r>
      <w:bookmarkEnd w:id="29"/>
    </w:p>
    <w:p w14:paraId="574ECA4F" w14:textId="77777777" w:rsidR="003C2A33" w:rsidRDefault="003C2A33" w:rsidP="003C2A33">
      <w:pPr>
        <w:rPr>
          <w:rStyle w:val="berschrift1Zchn"/>
          <w:rFonts w:asciiTheme="minorHAnsi" w:eastAsiaTheme="minorHAnsi" w:hAnsiTheme="minorHAnsi" w:cstheme="minorBidi"/>
          <w:b w:val="0"/>
          <w:bCs w:val="0"/>
          <w:color w:val="auto"/>
          <w:sz w:val="22"/>
          <w:szCs w:val="22"/>
        </w:rPr>
      </w:pPr>
      <w:r w:rsidRPr="003C2A33">
        <w:rPr>
          <w:rStyle w:val="berschrift1Zchn"/>
          <w:rFonts w:asciiTheme="minorHAnsi" w:eastAsiaTheme="minorHAnsi" w:hAnsiTheme="minorHAnsi" w:cstheme="minorBidi"/>
          <w:b w:val="0"/>
          <w:bCs w:val="0"/>
          <w:color w:val="auto"/>
          <w:sz w:val="22"/>
          <w:szCs w:val="22"/>
        </w:rPr>
        <w:t xml:space="preserve">The literature on the transformation pathways has also indicated the need for large deployment of low-carbon technologies. These projections pose critical challenges and uncertainties for LDCs when taking into account issues related to deployment, institutions and program design, and non-climate socioeconomic implications. </w:t>
      </w:r>
      <w:r w:rsidRPr="003C2A33">
        <w:rPr>
          <w:rStyle w:val="berschrift1Zchn"/>
          <w:rFonts w:asciiTheme="minorHAnsi" w:eastAsiaTheme="minorHAnsi" w:hAnsiTheme="minorHAnsi" w:cstheme="minorBidi"/>
          <w:b w:val="0"/>
          <w:bCs w:val="0"/>
          <w:color w:val="auto"/>
          <w:sz w:val="22"/>
          <w:szCs w:val="22"/>
          <w:highlight w:val="yellow"/>
        </w:rPr>
        <w:t xml:space="preserve">In particular, many scenarios rely on technologies with potentially large land footprints, such as bioenergy and </w:t>
      </w:r>
      <w:r w:rsidRPr="003C2A33">
        <w:rPr>
          <w:rStyle w:val="berschrift1Zchn"/>
          <w:rFonts w:asciiTheme="minorHAnsi" w:eastAsiaTheme="minorHAnsi" w:hAnsiTheme="minorHAnsi" w:cstheme="minorBidi"/>
          <w:bCs w:val="0"/>
          <w:color w:val="0070C0"/>
          <w:sz w:val="22"/>
          <w:szCs w:val="22"/>
          <w:highlight w:val="yellow"/>
        </w:rPr>
        <w:t>afforestation</w:t>
      </w:r>
      <w:r w:rsidRPr="003C2A33">
        <w:rPr>
          <w:rStyle w:val="berschrift1Zchn"/>
          <w:rFonts w:asciiTheme="minorHAnsi" w:eastAsiaTheme="minorHAnsi" w:hAnsiTheme="minorHAnsi" w:cstheme="minorBidi"/>
          <w:b w:val="0"/>
          <w:bCs w:val="0"/>
          <w:color w:val="0070C0"/>
          <w:sz w:val="22"/>
          <w:szCs w:val="22"/>
          <w:highlight w:val="yellow"/>
        </w:rPr>
        <w:t xml:space="preserve"> </w:t>
      </w:r>
      <w:r w:rsidRPr="003C2A33">
        <w:rPr>
          <w:rStyle w:val="berschrift1Zchn"/>
          <w:rFonts w:asciiTheme="minorHAnsi" w:eastAsiaTheme="minorHAnsi" w:hAnsiTheme="minorHAnsi" w:cstheme="minorBidi"/>
          <w:b w:val="0"/>
          <w:bCs w:val="0"/>
          <w:color w:val="auto"/>
          <w:sz w:val="22"/>
          <w:szCs w:val="22"/>
          <w:highlight w:val="yellow"/>
        </w:rPr>
        <w:t xml:space="preserve">or reforestation, to achieve mitigation goals. The scenarios surveyed in the chapter universally project the majority of bioenergy primary energy will occur in developing economies (50 – 90 % in non-OECD in 2050, see </w:t>
      </w:r>
      <w:r w:rsidRPr="003C2A33">
        <w:rPr>
          <w:rStyle w:val="berschrift1Zchn"/>
          <w:rFonts w:asciiTheme="minorHAnsi" w:eastAsiaTheme="minorHAnsi" w:hAnsiTheme="minorHAnsi" w:cstheme="minorBidi"/>
          <w:bCs w:val="0"/>
          <w:color w:val="FF0000"/>
          <w:sz w:val="22"/>
          <w:szCs w:val="22"/>
          <w:highlight w:val="yellow"/>
        </w:rPr>
        <w:t>Section 6.3.5</w:t>
      </w:r>
      <w:r w:rsidRPr="003C2A33">
        <w:rPr>
          <w:rStyle w:val="berschrift1Zchn"/>
          <w:rFonts w:asciiTheme="minorHAnsi" w:eastAsiaTheme="minorHAnsi" w:hAnsiTheme="minorHAnsi" w:cstheme="minorBidi"/>
          <w:b w:val="0"/>
          <w:bCs w:val="0"/>
          <w:color w:val="auto"/>
          <w:sz w:val="22"/>
          <w:szCs w:val="22"/>
          <w:highlight w:val="yellow"/>
        </w:rPr>
        <w:t>). These abatement patterns imply significant challenges for developing countries in general, and LDCs in particular, where large land-use abatement potentials lie.</w:t>
      </w:r>
    </w:p>
    <w:p w14:paraId="04B4176A" w14:textId="77777777" w:rsidR="003C2A33" w:rsidRPr="003C2A33" w:rsidRDefault="003C2A33" w:rsidP="003C2A33">
      <w:pPr>
        <w:pStyle w:val="KeinLeerraum"/>
        <w:rPr>
          <w:rStyle w:val="berschrift1Zchn"/>
          <w:rFonts w:asciiTheme="minorHAnsi" w:eastAsiaTheme="minorHAnsi" w:hAnsiTheme="minorHAnsi" w:cstheme="minorBidi"/>
          <w:b w:val="0"/>
          <w:bCs w:val="0"/>
          <w:color w:val="auto"/>
          <w:sz w:val="22"/>
          <w:szCs w:val="22"/>
        </w:rPr>
      </w:pPr>
    </w:p>
    <w:p w14:paraId="0BF2E167" w14:textId="77777777" w:rsidR="00ED6FAC" w:rsidRPr="00ED6FAC" w:rsidRDefault="00ED6FAC" w:rsidP="00ED6FAC">
      <w:pPr>
        <w:rPr>
          <w:rStyle w:val="berschrift1Zchn"/>
        </w:rPr>
      </w:pPr>
      <w:r w:rsidRPr="00ED6FAC">
        <w:rPr>
          <w:rStyle w:val="berschrift1Zchn"/>
        </w:rPr>
        <w:t>6.4 Integrating long- and short-term perspectives</w:t>
      </w:r>
    </w:p>
    <w:p w14:paraId="7FBDE01D" w14:textId="77777777" w:rsidR="00ED6FAC" w:rsidRDefault="00ED6FAC" w:rsidP="00ED6FAC">
      <w:pPr>
        <w:pStyle w:val="berschrift2"/>
      </w:pPr>
      <w:bookmarkStart w:id="30" w:name="_Toc525298463"/>
      <w:r>
        <w:t xml:space="preserve">6.4.2 </w:t>
      </w:r>
      <w:r w:rsidRPr="00ED6FAC">
        <w:t>Near-term emissions and long-term transformation pathways</w:t>
      </w:r>
      <w:bookmarkEnd w:id="30"/>
    </w:p>
    <w:p w14:paraId="324BC57A" w14:textId="77777777" w:rsidR="00ED6FAC" w:rsidRDefault="00ED6FAC" w:rsidP="00ED6FAC">
      <w:r w:rsidRPr="00ED6FAC">
        <w:rPr>
          <w:highlight w:val="yellow"/>
        </w:rPr>
        <w:t xml:space="preserve">A second distinction that can play a critical role is the extent to which </w:t>
      </w:r>
      <w:r w:rsidRPr="00ED6FAC">
        <w:rPr>
          <w:b/>
          <w:color w:val="00B050"/>
          <w:highlight w:val="yellow"/>
        </w:rPr>
        <w:t>CDR</w:t>
      </w:r>
      <w:r w:rsidRPr="00ED6FAC">
        <w:rPr>
          <w:color w:val="00B050"/>
          <w:highlight w:val="yellow"/>
        </w:rPr>
        <w:t xml:space="preserve"> </w:t>
      </w:r>
      <w:r w:rsidRPr="00ED6FAC">
        <w:rPr>
          <w:highlight w:val="yellow"/>
        </w:rPr>
        <w:t>options are available and deployed</w:t>
      </w:r>
      <w:r>
        <w:t xml:space="preserve">. </w:t>
      </w:r>
      <w:r w:rsidRPr="00ED6FAC">
        <w:rPr>
          <w:highlight w:val="yellow"/>
        </w:rPr>
        <w:t xml:space="preserve">In scenarios designed with a forcing goal applied only at the end of the century, particularly concentrations in the range of 430 – 530 ppm CO2eq, idealized implementation scenarios often choose to temporarily overshoot the 2100 concentration (Section </w:t>
      </w:r>
      <w:r w:rsidRPr="00ED6FAC">
        <w:rPr>
          <w:b/>
          <w:color w:val="FF0000"/>
          <w:highlight w:val="yellow"/>
        </w:rPr>
        <w:t>6.3.2</w:t>
      </w:r>
      <w:r w:rsidRPr="00ED6FAC">
        <w:rPr>
          <w:highlight w:val="yellow"/>
        </w:rPr>
        <w:t>)</w:t>
      </w:r>
      <w:r>
        <w:t xml:space="preserve">. </w:t>
      </w:r>
      <w:r w:rsidRPr="00ED6FAC">
        <w:rPr>
          <w:highlight w:val="yellow"/>
        </w:rPr>
        <w:t xml:space="preserve">As noted in </w:t>
      </w:r>
      <w:r w:rsidRPr="00ED6FAC">
        <w:rPr>
          <w:b/>
          <w:color w:val="FF0000"/>
          <w:highlight w:val="yellow"/>
        </w:rPr>
        <w:t>Section 6.3.2</w:t>
      </w:r>
      <w:r w:rsidRPr="00ED6FAC">
        <w:rPr>
          <w:highlight w:val="yellow"/>
        </w:rPr>
        <w:t xml:space="preserve">, </w:t>
      </w:r>
      <w:r w:rsidRPr="00ED6FAC">
        <w:rPr>
          <w:b/>
          <w:color w:val="00B050"/>
          <w:highlight w:val="yellow"/>
        </w:rPr>
        <w:t>CDR</w:t>
      </w:r>
      <w:r w:rsidRPr="00ED6FAC">
        <w:rPr>
          <w:color w:val="00B050"/>
          <w:highlight w:val="yellow"/>
        </w:rPr>
        <w:t xml:space="preserve"> </w:t>
      </w:r>
      <w:r w:rsidRPr="00ED6FAC">
        <w:rPr>
          <w:highlight w:val="yellow"/>
        </w:rPr>
        <w:t xml:space="preserve">options, typically represented in integrated models by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but also </w:t>
      </w:r>
      <w:r w:rsidRPr="00ED6FAC">
        <w:rPr>
          <w:b/>
          <w:color w:val="0070C0"/>
          <w:highlight w:val="yellow"/>
        </w:rPr>
        <w:t>afforestation</w:t>
      </w:r>
      <w:r w:rsidRPr="00ED6FAC">
        <w:rPr>
          <w:color w:val="0070C0"/>
          <w:highlight w:val="yellow"/>
        </w:rPr>
        <w:t xml:space="preserve"> </w:t>
      </w:r>
      <w:r w:rsidRPr="00ED6FAC">
        <w:rPr>
          <w:highlight w:val="yellow"/>
        </w:rPr>
        <w:t>in some cases, facilitate more rapid declines in emissions, amplifying this overshoot pattern (</w:t>
      </w:r>
      <w:r w:rsidRPr="00ED6FAC">
        <w:rPr>
          <w:i/>
          <w:color w:val="808080" w:themeColor="background1" w:themeShade="80"/>
          <w:highlight w:val="yellow"/>
        </w:rPr>
        <w:t>Krey et al., 2014</w:t>
      </w:r>
      <w:r w:rsidRPr="00ED6FAC">
        <w:rPr>
          <w:highlight w:val="yellow"/>
        </w:rPr>
        <w:t>).</w:t>
      </w:r>
      <w:r>
        <w:t xml:space="preserve"> </w:t>
      </w:r>
      <w:r w:rsidRPr="00ED6FAC">
        <w:rPr>
          <w:highlight w:val="yellow"/>
        </w:rPr>
        <w:t xml:space="preserve">A large number of scenarios reaching CO2eq concentrations below 530 ppm CO2eq by 2100 deploy </w:t>
      </w:r>
      <w:r w:rsidRPr="00ED6FAC">
        <w:rPr>
          <w:b/>
          <w:color w:val="00B050"/>
          <w:highlight w:val="yellow"/>
        </w:rPr>
        <w:t>CDR</w:t>
      </w:r>
      <w:r w:rsidRPr="00ED6FAC">
        <w:rPr>
          <w:color w:val="00B050"/>
          <w:highlight w:val="yellow"/>
        </w:rPr>
        <w:t xml:space="preserve"> </w:t>
      </w:r>
      <w:r w:rsidRPr="00ED6FAC">
        <w:rPr>
          <w:highlight w:val="yellow"/>
        </w:rPr>
        <w:t xml:space="preserve">technologies at large enough scales that </w:t>
      </w:r>
      <w:r w:rsidRPr="00ED6FAC">
        <w:rPr>
          <w:b/>
          <w:color w:val="7030A0"/>
          <w:highlight w:val="yellow"/>
        </w:rPr>
        <w:t>net global emissions become negative</w:t>
      </w:r>
      <w:r w:rsidRPr="00ED6FAC">
        <w:rPr>
          <w:highlight w:val="yellow"/>
        </w:rPr>
        <w:t xml:space="preserve"> in the second half of the century.</w:t>
      </w:r>
      <w:r>
        <w:t xml:space="preserve"> </w:t>
      </w:r>
      <w:r w:rsidRPr="00ED6FAC">
        <w:rPr>
          <w:highlight w:val="yellow"/>
        </w:rPr>
        <w:t xml:space="preserve">The availability of </w:t>
      </w:r>
      <w:r w:rsidRPr="00ED6FAC">
        <w:rPr>
          <w:b/>
          <w:color w:val="00B050"/>
          <w:highlight w:val="yellow"/>
        </w:rPr>
        <w:t>CDR</w:t>
      </w:r>
      <w:r w:rsidRPr="00ED6FAC">
        <w:rPr>
          <w:color w:val="00B050"/>
          <w:highlight w:val="yellow"/>
        </w:rPr>
        <w:t xml:space="preserve"> </w:t>
      </w:r>
      <w:r w:rsidRPr="00ED6FAC">
        <w:rPr>
          <w:highlight w:val="yellow"/>
        </w:rPr>
        <w:t xml:space="preserve">options, as well as the representation of intertemporal flexibility, varies significantly across models and studies. The spread in reliance on </w:t>
      </w:r>
      <w:r w:rsidRPr="00ED6FAC">
        <w:rPr>
          <w:b/>
          <w:color w:val="00B050"/>
          <w:highlight w:val="yellow"/>
        </w:rPr>
        <w:t>CDR</w:t>
      </w:r>
      <w:r w:rsidRPr="00ED6FAC">
        <w:rPr>
          <w:color w:val="00B050"/>
          <w:highlight w:val="yellow"/>
        </w:rPr>
        <w:t xml:space="preserve"> </w:t>
      </w:r>
      <w:r w:rsidRPr="00ED6FAC">
        <w:rPr>
          <w:highlight w:val="yellow"/>
        </w:rPr>
        <w:t xml:space="preserve">options across scenarios reveals a strong impact on the timing of emissions pathways. In scenarios reaching the 2100 concentration range of 430 – 530 ppm CO2eq in which global net CO2 emissions remain positive through the century, near-term emissions are generally lower than if the scenario deploys </w:t>
      </w:r>
      <w:r w:rsidRPr="00ED6FAC">
        <w:rPr>
          <w:b/>
          <w:color w:val="00B050"/>
          <w:highlight w:val="yellow"/>
        </w:rPr>
        <w:t>CDR</w:t>
      </w:r>
      <w:r w:rsidRPr="00ED6FAC">
        <w:rPr>
          <w:color w:val="00B050"/>
          <w:highlight w:val="yellow"/>
        </w:rPr>
        <w:t xml:space="preserve"> </w:t>
      </w:r>
      <w:r w:rsidRPr="00ED6FAC">
        <w:rPr>
          <w:highlight w:val="yellow"/>
        </w:rPr>
        <w:t xml:space="preserve">technologies to a large enough scale to lead to </w:t>
      </w:r>
      <w:r w:rsidRPr="00ED6FAC">
        <w:rPr>
          <w:b/>
          <w:color w:val="7030A0"/>
          <w:highlight w:val="yellow"/>
        </w:rPr>
        <w:t>net negative total global CO2 emissions</w:t>
      </w:r>
      <w:r w:rsidRPr="00ED6FAC">
        <w:rPr>
          <w:color w:val="7030A0"/>
          <w:highlight w:val="yellow"/>
        </w:rPr>
        <w:t xml:space="preserve"> </w:t>
      </w:r>
      <w:r w:rsidRPr="00ED6FAC">
        <w:rPr>
          <w:highlight w:val="yellow"/>
        </w:rPr>
        <w:t xml:space="preserve">later in the century (Figure 6.31, top panel). More generally, the scenarios indicate that a reliance on large-scale </w:t>
      </w:r>
      <w:r w:rsidRPr="00ED6FAC">
        <w:rPr>
          <w:b/>
          <w:color w:val="00B050"/>
          <w:highlight w:val="yellow"/>
        </w:rPr>
        <w:t>CDR</w:t>
      </w:r>
      <w:r w:rsidRPr="00ED6FAC">
        <w:rPr>
          <w:highlight w:val="yellow"/>
        </w:rPr>
        <w:t xml:space="preserve">, </w:t>
      </w:r>
      <w:r w:rsidRPr="00ED6FAC">
        <w:rPr>
          <w:b/>
          <w:color w:val="7030A0"/>
          <w:highlight w:val="yellow"/>
        </w:rPr>
        <w:t>whether or not emissions become net negative</w:t>
      </w:r>
      <w:r w:rsidRPr="00ED6FAC">
        <w:rPr>
          <w:highlight w:val="yellow"/>
        </w:rPr>
        <w:t>, leads to higher near-term emissions (</w:t>
      </w:r>
      <w:r w:rsidRPr="00ED6FAC">
        <w:rPr>
          <w:i/>
          <w:color w:val="808080" w:themeColor="background1" w:themeShade="80"/>
          <w:highlight w:val="yellow"/>
        </w:rPr>
        <w:t>van Vuuren and Riahi, 2011</w:t>
      </w:r>
      <w:r w:rsidRPr="00ED6FAC">
        <w:rPr>
          <w:highlight w:val="yellow"/>
        </w:rPr>
        <w:t>).</w:t>
      </w:r>
    </w:p>
    <w:p w14:paraId="1FE3A66C" w14:textId="77777777" w:rsidR="00ED6FAC" w:rsidRDefault="00ED6FAC" w:rsidP="00ED6FAC">
      <w:r w:rsidRPr="00ED6FAC">
        <w:rPr>
          <w:highlight w:val="yellow"/>
        </w:rPr>
        <w:t xml:space="preserve">The interaction between delayed mitigation and </w:t>
      </w:r>
      <w:r w:rsidRPr="00ED6FAC">
        <w:rPr>
          <w:b/>
          <w:color w:val="00B050"/>
          <w:highlight w:val="yellow"/>
        </w:rPr>
        <w:t>CDR</w:t>
      </w:r>
      <w:r w:rsidRPr="00ED6FAC">
        <w:rPr>
          <w:color w:val="00B050"/>
          <w:highlight w:val="yellow"/>
        </w:rPr>
        <w:t xml:space="preserve"> </w:t>
      </w:r>
      <w:r w:rsidRPr="00ED6FAC">
        <w:rPr>
          <w:highlight w:val="yellow"/>
        </w:rPr>
        <w:t>options is also important</w:t>
      </w:r>
      <w:r>
        <w:t xml:space="preserve">. Very few scenarios are available to demonstrate emissions pathways consistent with 2100 concentrations of 430 – 530 ppm CO2eq in which mitigation effort is delayed in some form and global carbon emissions do not become net negative. Whether these circumstances are not represented because they have been under-examined or because they have been examined and the scenarios failed is a crucial distinction, yet one that it is currently not possible to fully report (see discussion of model infeasibility in </w:t>
      </w:r>
      <w:r w:rsidRPr="00ED6FAC">
        <w:rPr>
          <w:b/>
          <w:color w:val="FF0000"/>
        </w:rPr>
        <w:t>Section 6.3.2</w:t>
      </w:r>
      <w:r>
        <w:t xml:space="preserve">). </w:t>
      </w:r>
      <w:r w:rsidRPr="00ED6FAC">
        <w:rPr>
          <w:highlight w:val="yellow"/>
        </w:rPr>
        <w:t xml:space="preserve">However, there are instances where the combination of delay and limited options for </w:t>
      </w:r>
      <w:r w:rsidRPr="00ED6FAC">
        <w:rPr>
          <w:b/>
          <w:color w:val="00B050"/>
          <w:highlight w:val="yellow"/>
        </w:rPr>
        <w:t>CDR</w:t>
      </w:r>
      <w:r w:rsidRPr="00ED6FAC">
        <w:rPr>
          <w:color w:val="00B050"/>
          <w:highlight w:val="yellow"/>
        </w:rPr>
        <w:t xml:space="preserve"> </w:t>
      </w:r>
      <w:r w:rsidRPr="00ED6FAC">
        <w:rPr>
          <w:highlight w:val="yellow"/>
        </w:rPr>
        <w:t>has been explored and has resulted in model infeasibilities (</w:t>
      </w:r>
      <w:r w:rsidRPr="00ED6FAC">
        <w:rPr>
          <w:i/>
          <w:color w:val="808080" w:themeColor="background1" w:themeShade="80"/>
          <w:highlight w:val="yellow"/>
        </w:rPr>
        <w:t>Luderer et al., 2013; Rogelj et al., 2013b; Riahi et al., 2014</w:t>
      </w:r>
      <w:r w:rsidRPr="00ED6FAC">
        <w:rPr>
          <w:highlight w:val="yellow"/>
        </w:rPr>
        <w:t xml:space="preserve">), which supports the notion that this combination presents important challenges. For example, in the AMPERE study, seven out of nine models could not produce a scenario with global delay through 2030 and a restriction on CCS technology that reached 450 CO2eq by 2100 (one of the remaining two </w:t>
      </w:r>
      <w:r w:rsidRPr="00ED6FAC">
        <w:rPr>
          <w:highlight w:val="yellow"/>
        </w:rPr>
        <w:lastRenderedPageBreak/>
        <w:t>had net negative global emissions through other channels and the other did not run past 2050).</w:t>
      </w:r>
      <w:r>
        <w:t xml:space="preserve"> </w:t>
      </w:r>
      <w:r w:rsidRPr="00ED6FAC">
        <w:rPr>
          <w:highlight w:val="yellow"/>
        </w:rPr>
        <w:t xml:space="preserve">Several individual modelling team studies have also explored this space, and have found situations in which they could not reach solutions for more ambitious goals and delayed mitigation or constrained technology, including </w:t>
      </w:r>
      <w:r w:rsidRPr="00ED6FAC">
        <w:rPr>
          <w:i/>
          <w:color w:val="808080" w:themeColor="background1" w:themeShade="80"/>
          <w:highlight w:val="yellow"/>
        </w:rPr>
        <w:t>O’Neill et al. (2010), Edmonds et al. (2008), and Edmonds et al. (2013).</w:t>
      </w:r>
      <w:r w:rsidRPr="00ED6FAC">
        <w:rPr>
          <w:color w:val="808080" w:themeColor="background1" w:themeShade="80"/>
          <w:highlight w:val="yellow"/>
        </w:rPr>
        <w:t xml:space="preserve"> </w:t>
      </w:r>
      <w:r w:rsidRPr="00ED6FAC">
        <w:rPr>
          <w:highlight w:val="yellow"/>
        </w:rPr>
        <w:t>Studies have found that delayed reductions through 2020 do not have as substantial an effect on the cost and challenge more broadly of meeting 2100 concentration levels such as 450 ppm CO2eq as delayed reductions through 2030 (</w:t>
      </w:r>
      <w:r w:rsidRPr="00ED6FAC">
        <w:rPr>
          <w:i/>
          <w:color w:val="808080" w:themeColor="background1" w:themeShade="80"/>
          <w:highlight w:val="yellow"/>
        </w:rPr>
        <w:t>Kriegler et al., 2013b; Luderer et al., 2013; Rogelj et al., 2013b</w:t>
      </w:r>
      <w:r w:rsidRPr="00ED6FAC">
        <w:rPr>
          <w:highlight w:val="yellow"/>
        </w:rPr>
        <w:t>)</w:t>
      </w:r>
      <w:r>
        <w:t xml:space="preserve"> </w:t>
      </w:r>
    </w:p>
    <w:p w14:paraId="7B74538C" w14:textId="77777777" w:rsidR="00ED6FAC" w:rsidRDefault="00ED6FAC" w:rsidP="00ED6FAC">
      <w:r w:rsidRPr="00ED6FAC">
        <w:rPr>
          <w:highlight w:val="yellow"/>
        </w:rPr>
        <w:t xml:space="preserve">The implications of delayed mitigation, </w:t>
      </w:r>
      <w:r w:rsidRPr="00ED6FAC">
        <w:rPr>
          <w:b/>
          <w:color w:val="00B050"/>
          <w:highlight w:val="yellow"/>
        </w:rPr>
        <w:t>CDR</w:t>
      </w:r>
      <w:r w:rsidRPr="00ED6FAC">
        <w:rPr>
          <w:color w:val="00B050"/>
          <w:highlight w:val="yellow"/>
        </w:rPr>
        <w:t xml:space="preserve"> </w:t>
      </w:r>
      <w:r w:rsidRPr="00ED6FAC">
        <w:rPr>
          <w:highlight w:val="yellow"/>
        </w:rPr>
        <w:t>options, and overshoot for possible temperature outcomes are also significant.</w:t>
      </w:r>
      <w:r>
        <w:t xml:space="preserve"> Numerous studies have attempted to place the possible outcome of the Cancún Agreements in the context of longer-term climate goals (Höhne et al., 2012; UNEP, 2012). Due to the factors discussed above, but also variation in assumptions about baseline growth, mitigation costs, tradeoffs between sectors such as energy and land use, and the evolution of non-gas forcing agents, models have found that a wide range of near-term emissions could be consistent with a given long-term outcome. Among scenarios with 2100 concentrations between 430 and 530 ppm CO2eq, focusing on those scenarios in the AR5 database for which temperature implications were calculated (see Section 6.3.2), near-term global emissions range from 22 to 56 GtCO2eq in 2020 and from 18 to 66 GtCO2eq in 2030 (Figure 6.31, top panel). </w:t>
      </w:r>
      <w:r w:rsidRPr="00ED6FAC">
        <w:rPr>
          <w:highlight w:val="yellow"/>
        </w:rPr>
        <w:t xml:space="preserve">However, based on the MAGICC results, not all pathways in this range are consistent with at least a 50 % chance of remaining below 2 °C, in particular those that rely on </w:t>
      </w:r>
      <w:r w:rsidRPr="00ED6FAC">
        <w:rPr>
          <w:b/>
          <w:color w:val="7030A0"/>
          <w:highlight w:val="yellow"/>
        </w:rPr>
        <w:t>net negative global emissions</w:t>
      </w:r>
      <w:r w:rsidRPr="00ED6FAC">
        <w:rPr>
          <w:highlight w:val="yellow"/>
        </w:rPr>
        <w:t>.</w:t>
      </w:r>
      <w:r>
        <w:t xml:space="preserve"> Pathways reaching the same 2100 concentration with higher emissions in 2030 tend to have more overshoot; when forcing stays higher for longer, the likelihood of reaching a temperature threshold increases</w:t>
      </w:r>
      <w:r w:rsidRPr="00ED6FAC">
        <w:rPr>
          <w:highlight w:val="yellow"/>
        </w:rPr>
        <w:t xml:space="preserve">. Based on the MAGICC results, very few scenarios in the 430 – 530 ppm CO2eq range have a 50 % chance of remaining below 1.5 °C, and none with delay or limited deployment of </w:t>
      </w:r>
      <w:r w:rsidRPr="00ED6FAC">
        <w:rPr>
          <w:b/>
          <w:color w:val="00B050"/>
          <w:highlight w:val="yellow"/>
        </w:rPr>
        <w:t>CDR</w:t>
      </w:r>
      <w:r w:rsidRPr="00ED6FAC">
        <w:rPr>
          <w:color w:val="00B050"/>
          <w:highlight w:val="yellow"/>
        </w:rPr>
        <w:t xml:space="preserve"> </w:t>
      </w:r>
      <w:r w:rsidRPr="00ED6FAC">
        <w:rPr>
          <w:highlight w:val="yellow"/>
        </w:rPr>
        <w:t>technologies; most have a probability between 0 and 25 %.</w:t>
      </w:r>
      <w:r>
        <w:t xml:space="preserve"> </w:t>
      </w:r>
      <w:r w:rsidRPr="00ED6FAC">
        <w:rPr>
          <w:highlight w:val="yellow"/>
        </w:rPr>
        <w:t xml:space="preserve">A few studies have explored scenarios that lead to concentrations below 430 ppm CO2eq in 2100 (e. g., </w:t>
      </w:r>
      <w:r w:rsidRPr="00ED6FAC">
        <w:rPr>
          <w:i/>
          <w:color w:val="808080" w:themeColor="background1" w:themeShade="80"/>
          <w:highlight w:val="yellow"/>
        </w:rPr>
        <w:t>Luderer et al., 2013, Rogelj et al., 2013a, b</w:t>
      </w:r>
      <w:r w:rsidRPr="00ED6FAC">
        <w:rPr>
          <w:highlight w:val="yellow"/>
        </w:rPr>
        <w:t xml:space="preserve">), some of which have been found to have more than a 66 % chance of returning to 1.5 °C by the end of the century after peaking at higher levels; these scenarios are characterized by immediate emissions reductions followed by very low mid-century emissions and extensive deployment of </w:t>
      </w:r>
      <w:r w:rsidRPr="00ED6FAC">
        <w:rPr>
          <w:b/>
          <w:color w:val="00B050"/>
          <w:highlight w:val="yellow"/>
        </w:rPr>
        <w:t>CDR</w:t>
      </w:r>
      <w:r w:rsidRPr="00ED6FAC">
        <w:rPr>
          <w:color w:val="00B050"/>
          <w:highlight w:val="yellow"/>
        </w:rPr>
        <w:t xml:space="preserve"> </w:t>
      </w:r>
      <w:r w:rsidRPr="00ED6FAC">
        <w:rPr>
          <w:highlight w:val="yellow"/>
        </w:rPr>
        <w:t>technologies.</w:t>
      </w:r>
      <w:r>
        <w:t xml:space="preserve"> Based on the MAGICC results, nearly all scenarios reaching 2100 concentrations in the range of 530 – 650 ppm CO2eq, have a greater than 50 % chance of exceeding 2 °C by 2100, but many have a probability of less than 50 % of exceeding 2.5 °C (Figure 6.31, bottom panel). Because of the higher long-term forcing range, some growth in emissions can occur, and the preferred leastcost range is similar to the delayed range and largely consistent with the global GHG emissions reductions through 2020 implied by the Cancún Pledges (see Section 13.13.1.3).</w:t>
      </w:r>
    </w:p>
    <w:p w14:paraId="38B62BA7" w14:textId="77777777" w:rsidR="00ED6FAC" w:rsidRDefault="00ED6FAC" w:rsidP="00ED6FAC">
      <w:r w:rsidRPr="00ED6FAC">
        <w:rPr>
          <w:highlight w:val="yellow"/>
        </w:rPr>
        <w:t xml:space="preserve">Whether due to delayed mitigation or widespread use of </w:t>
      </w:r>
      <w:r w:rsidRPr="00ED6FAC">
        <w:rPr>
          <w:b/>
          <w:color w:val="00B050"/>
          <w:highlight w:val="yellow"/>
        </w:rPr>
        <w:t>CDR</w:t>
      </w:r>
      <w:r w:rsidRPr="00ED6FAC">
        <w:rPr>
          <w:color w:val="00B050"/>
          <w:highlight w:val="yellow"/>
        </w:rPr>
        <w:t xml:space="preserve"> </w:t>
      </w:r>
      <w:r w:rsidRPr="00ED6FAC">
        <w:rPr>
          <w:highlight w:val="yellow"/>
        </w:rPr>
        <w:t>options or some combination of the two, higher levels of emissions in the nearterm imply an emissions pathway shifted in time, resulting in steeper reductions later to remain consistent with a given long-term forcing goal.</w:t>
      </w:r>
      <w:r w:rsidRPr="00ED6FAC">
        <w:t xml:space="preserve"> As discussed in Section 6.3.2, emissions in 2030 have been used as a rough indicator for understanding the relationship between nearterm and long-term mitigation. Higher emissions in 2030 require more rapid decreases in emissions from 2030 through 2050, both to make up for the larger cumulative emissions up through 2030 and because emissions must be reduced from a higher 2030 level (Figure 6.32). Emissions decline rates for any scenario that meets 2100 concentration goals such as 450 or 550 ppm CO2eq must at some </w:t>
      </w:r>
      <w:r w:rsidRPr="00ED6FAC">
        <w:lastRenderedPageBreak/>
        <w:t>point push beyond historical experience, because emissions have in general followed growth, with past instances of decline associated only with large-scale disruptions such as the collapse of the Soviet Union or special cases of policy intervention such as France and Sweden (see Chapter 5). Less mitigation over the coming decades will only exacerbate the required departure from the past to meet long-term goals — pathways with emissions above 55 GtCO2eq in 2030 indicate decline rates between 2030 and 2050 of around 6 % for scenarios in the range of 430 – 530 ppm CO2eq in 2100 (Figure 6.32).</w:t>
      </w:r>
    </w:p>
    <w:p w14:paraId="3FB58102" w14:textId="77777777" w:rsidR="003C2A33" w:rsidRPr="003C2A33" w:rsidRDefault="003C2A33" w:rsidP="003C2A33">
      <w:pPr>
        <w:pStyle w:val="KeinLeerraum"/>
        <w:rPr>
          <w:rStyle w:val="berschrift1Zchn"/>
        </w:rPr>
      </w:pPr>
      <w:r w:rsidRPr="003C2A33">
        <w:rPr>
          <w:rStyle w:val="berschrift1Zchn"/>
        </w:rPr>
        <w:t>6.6 Sustainable development and transformation pathways, taking into account differences across regions</w:t>
      </w:r>
    </w:p>
    <w:p w14:paraId="3122ED50" w14:textId="77777777" w:rsidR="003C2A33" w:rsidRDefault="003C2A33" w:rsidP="003C2A33">
      <w:pPr>
        <w:pStyle w:val="berschrift2"/>
      </w:pPr>
      <w:bookmarkStart w:id="31" w:name="_Toc525298464"/>
      <w:r>
        <w:t xml:space="preserve">6.6.2 </w:t>
      </w:r>
      <w:r w:rsidRPr="003C2A33">
        <w:t>Transformation pathways studies with links to other policy objectives</w:t>
      </w:r>
      <w:bookmarkEnd w:id="31"/>
    </w:p>
    <w:p w14:paraId="23F6E9C2" w14:textId="77777777" w:rsidR="003C2A33" w:rsidRDefault="003C2A33" w:rsidP="003C2A33">
      <w:pPr>
        <w:pStyle w:val="berschrift3"/>
      </w:pPr>
      <w:bookmarkStart w:id="32" w:name="_Toc525298465"/>
      <w:r>
        <w:t xml:space="preserve">6.6.2.5 </w:t>
      </w:r>
      <w:r w:rsidRPr="003C2A33">
        <w:t>Biodiversity conservation</w:t>
      </w:r>
      <w:bookmarkEnd w:id="32"/>
    </w:p>
    <w:p w14:paraId="52728D32" w14:textId="77777777" w:rsidR="003C2A33" w:rsidRDefault="003C2A33" w:rsidP="003C2A33">
      <w:r w:rsidRPr="003C2A33">
        <w:rPr>
          <w:highlight w:val="yellow"/>
        </w:rPr>
        <w:t xml:space="preserve">The primary biodiversity-related side-effects from mitigation involve the potentially large role of reforestation and </w:t>
      </w:r>
      <w:r w:rsidRPr="003C2A33">
        <w:rPr>
          <w:b/>
          <w:color w:val="0070C0"/>
          <w:highlight w:val="yellow"/>
        </w:rPr>
        <w:t>afforestation</w:t>
      </w:r>
      <w:r w:rsidRPr="003C2A33">
        <w:rPr>
          <w:color w:val="0070C0"/>
          <w:highlight w:val="yellow"/>
        </w:rPr>
        <w:t xml:space="preserve"> </w:t>
      </w:r>
      <w:r w:rsidRPr="003C2A33">
        <w:rPr>
          <w:highlight w:val="yellow"/>
        </w:rPr>
        <w:t>efforts and of bioenergy production.</w:t>
      </w:r>
      <w:r w:rsidRPr="003C2A33">
        <w:t xml:space="preserve"> These elements of mitigation strategy could either impose risks or lead to co-benefits, depending on where and how they are implemented (see Table 6.7). The integrated modelling literature does not at this time provide an explicit enough treatment of these issues to effectively capture the range of transformation pathways. One study (PBL, 2012) suggests that it is possible to stabilize average global biodiversity at the 2020 / 2030 level (MSA = 65 %) by 2050 even if land-use mitigation measures are deployed. Such an achievement represents more than a halving of all biodiversity loss projected to occur by mid-century in the baseline scenario and is interpreted to be in accordance with the Aichi Biodiversity Targets (CBD, 2010). Of critical importance in this regard are favourable institutional and policy mechanisms for reforestation / afforestation and bioenergy that complement mitigation actions (as described in Section 11.13).</w:t>
      </w:r>
    </w:p>
    <w:p w14:paraId="0F9F8937" w14:textId="77777777" w:rsidR="003C2A33" w:rsidRDefault="003C2A33" w:rsidP="003C2A33">
      <w:pPr>
        <w:pStyle w:val="berschrift3"/>
      </w:pPr>
      <w:bookmarkStart w:id="33" w:name="_Toc525298466"/>
      <w:r>
        <w:t>6.6.2.6 Water use</w:t>
      </w:r>
      <w:bookmarkEnd w:id="33"/>
    </w:p>
    <w:p w14:paraId="765FB27B" w14:textId="77777777" w:rsidR="003C2A33" w:rsidRDefault="003C2A33" w:rsidP="003C2A33">
      <w:r w:rsidRPr="003C2A33">
        <w:t xml:space="preserve">Renewable energy technologies such as solar PV and wind power will reduce freshwater withdrawals for thermal cooling relative to fossil alternatives. On the other hand, CCS and some forms of renewable energy, especially bioenergy, could demand a significant amount of water (see Table 6.7 and Section 7.9.2). For bioenergy in particular, the overall effect will depend importantly on which feedstocks are grown, where, and if they require irrigation (see Section 11.13.7). </w:t>
      </w:r>
      <w:r w:rsidRPr="003C2A33">
        <w:rPr>
          <w:highlight w:val="yellow"/>
        </w:rPr>
        <w:t xml:space="preserve">Similarly, reforestation and </w:t>
      </w:r>
      <w:r w:rsidRPr="003C2A33">
        <w:rPr>
          <w:b/>
          <w:color w:val="0070C0"/>
          <w:highlight w:val="yellow"/>
        </w:rPr>
        <w:t>afforestation</w:t>
      </w:r>
      <w:r w:rsidRPr="003C2A33">
        <w:rPr>
          <w:color w:val="0070C0"/>
          <w:highlight w:val="yellow"/>
        </w:rPr>
        <w:t xml:space="preserve"> </w:t>
      </w:r>
      <w:r w:rsidRPr="003C2A33">
        <w:rPr>
          <w:highlight w:val="yellow"/>
        </w:rPr>
        <w:t>efforts, as well as attempts to avoid deforestation, will impact both water use and water quality. The net effects could be either positive (</w:t>
      </w:r>
      <w:r w:rsidRPr="003C2A33">
        <w:rPr>
          <w:i/>
          <w:color w:val="808080" w:themeColor="background1" w:themeShade="80"/>
          <w:highlight w:val="yellow"/>
        </w:rPr>
        <w:t>Townsend et al., 2012</w:t>
      </w:r>
      <w:r w:rsidRPr="003C2A33">
        <w:rPr>
          <w:highlight w:val="yellow"/>
        </w:rPr>
        <w:t>) or negative (</w:t>
      </w:r>
      <w:r w:rsidRPr="003C2A33">
        <w:rPr>
          <w:i/>
          <w:color w:val="808080" w:themeColor="background1" w:themeShade="80"/>
          <w:highlight w:val="yellow"/>
        </w:rPr>
        <w:t>Jackson et al., 2005</w:t>
      </w:r>
      <w:r w:rsidRPr="003C2A33">
        <w:rPr>
          <w:highlight w:val="yellow"/>
        </w:rPr>
        <w:t>), depending on the local situation (see Section 11.7).</w:t>
      </w:r>
    </w:p>
    <w:p w14:paraId="504F1F08" w14:textId="77777777" w:rsidR="003C2A33" w:rsidRPr="003C2A33" w:rsidRDefault="003C2A33" w:rsidP="003C2A33"/>
    <w:p w14:paraId="0666439C" w14:textId="77777777" w:rsidR="00ED6FAC" w:rsidRDefault="00ED6FAC" w:rsidP="00ED6FAC">
      <w:pPr>
        <w:pStyle w:val="berschrift2"/>
      </w:pPr>
      <w:bookmarkStart w:id="34" w:name="_Toc525298467"/>
      <w:r>
        <w:t>6.5.1 Technological change</w:t>
      </w:r>
      <w:bookmarkEnd w:id="34"/>
    </w:p>
    <w:p w14:paraId="1C3C7903" w14:textId="77777777" w:rsidR="00ED6FAC" w:rsidRDefault="00ED6FAC" w:rsidP="00ED6FAC">
      <w:r w:rsidRPr="00ED6FAC">
        <w:t xml:space="preserve">A primary question regarding technological change is whether current technology is sufficient for the deep emissions reductions ultimately needed to stabilize GHG concentrations. Arguments have been made on both sides of this debate (see Hoffert et al. (2002), and Pacala and Socolow (2004), for complementary perspectives on this question). The integrated modelling literature provides limited information regarding the sufficiency of current technology, because virtually all baseline and mitigation scenarios assume that technology will improve significantly over time, especially for technologies with a </w:t>
      </w:r>
      <w:r w:rsidRPr="00ED6FAC">
        <w:lastRenderedPageBreak/>
        <w:t xml:space="preserve">large potential for advancement (see Riahi et al., 2013, and van der Zwaan et al., 2013, for two recent cross-model comparison examples). There is generally more agreement about the rate of incremental cost and performance improvements for mature technologies than for emerging technologies upon which transformation pathways may depend (see McCollum et al., 2013b, for a cross-model study on the investment dimension of this matter). Nonetheless, the literature makes clear that improvements in technology and the availability of advanced technologies can dramatically alter the costs of climate change mitigation (see also Section 6.3.6.3). </w:t>
      </w:r>
      <w:r w:rsidRPr="00ED6FAC">
        <w:rPr>
          <w:highlight w:val="yellow"/>
        </w:rPr>
        <w:t xml:space="preserve">The current scientific literature also emphasizes that the development and deployment of </w:t>
      </w:r>
      <w:r w:rsidRPr="00ED6FAC">
        <w:rPr>
          <w:b/>
          <w:color w:val="00B050"/>
          <w:highlight w:val="yellow"/>
        </w:rPr>
        <w:t>CDR</w:t>
      </w:r>
      <w:r w:rsidRPr="00ED6FAC">
        <w:rPr>
          <w:color w:val="00B050"/>
          <w:highlight w:val="yellow"/>
        </w:rPr>
        <w:t xml:space="preserve"> </w:t>
      </w:r>
      <w:r w:rsidRPr="00ED6FAC">
        <w:rPr>
          <w:highlight w:val="yellow"/>
        </w:rPr>
        <w:t xml:space="preserve">technologies (see </w:t>
      </w:r>
      <w:r w:rsidRPr="00ED6FAC">
        <w:rPr>
          <w:b/>
          <w:color w:val="FF0000"/>
          <w:highlight w:val="yellow"/>
        </w:rPr>
        <w:t>Section 6.9</w:t>
      </w:r>
      <w:r w:rsidRPr="00ED6FAC">
        <w:rPr>
          <w:highlight w:val="yellow"/>
        </w:rPr>
        <w:t>), are a further requirement for particular transformation pathways, for example those leading to 450 ppm CO2eq by 2100 yet assuming substantial near-term delays in mitigation.</w:t>
      </w:r>
    </w:p>
    <w:p w14:paraId="56FB2A8D" w14:textId="77777777" w:rsidR="00ED6FAC" w:rsidRDefault="00ED6FAC" w:rsidP="00ED6FAC">
      <w:pPr>
        <w:rPr>
          <w:rStyle w:val="berschrift1Zchn"/>
        </w:rPr>
      </w:pPr>
      <w:r w:rsidRPr="00ED6FAC">
        <w:rPr>
          <w:rStyle w:val="berschrift1Zchn"/>
        </w:rPr>
        <w:t xml:space="preserve">6.7 </w:t>
      </w:r>
      <w:r>
        <w:rPr>
          <w:rStyle w:val="berschrift1Zchn"/>
        </w:rPr>
        <w:t xml:space="preserve">Risks of </w:t>
      </w:r>
      <w:r w:rsidRPr="00ED6FAC">
        <w:rPr>
          <w:rStyle w:val="berschrift1Zchn"/>
        </w:rPr>
        <w:t>transformation pathways</w:t>
      </w:r>
    </w:p>
    <w:p w14:paraId="7C9C417B" w14:textId="77777777" w:rsidR="00ED6FAC" w:rsidRDefault="00ED6FAC" w:rsidP="00ED6FAC">
      <w:r w:rsidRPr="00ED6FAC">
        <w:t xml:space="preserve">The various risks associated with transformation pathways can be grouped into several categories, and many of these are discussed elsewhere in this chapter. One set of risks is associated with the linkage of mitigation with other policy objectives, such as clean air, energy security, or energy access. These linkages may be positive (co-benefits) or negative (risks). These relationships are discussed in Section 6.6. Another set of risks is associated with the possibility that particular mitigation measures might be taken off the table because of perceived negative side-effects and that stabilization will prove more challenging that what might have been expected (Strachan and Usher, 2012). </w:t>
      </w:r>
      <w:r w:rsidRPr="00ED6FAC">
        <w:rPr>
          <w:highlight w:val="yellow"/>
        </w:rPr>
        <w:t xml:space="preserve">These issues are discussed in </w:t>
      </w:r>
      <w:r w:rsidRPr="00EF39E9">
        <w:rPr>
          <w:b/>
          <w:color w:val="FF0000"/>
          <w:highlight w:val="yellow"/>
        </w:rPr>
        <w:t>Section 6.3</w:t>
      </w:r>
      <w:r w:rsidRPr="00ED6FAC">
        <w:rPr>
          <w:highlight w:val="yellow"/>
        </w:rPr>
        <w:t xml:space="preserve"> as well as elsewhere in the chapter, including </w:t>
      </w:r>
      <w:r w:rsidRPr="00ED6FAC">
        <w:rPr>
          <w:b/>
          <w:color w:val="FF0000"/>
          <w:highlight w:val="yellow"/>
        </w:rPr>
        <w:t>Section 6.9</w:t>
      </w:r>
      <w:r w:rsidRPr="00ED6FAC">
        <w:rPr>
          <w:color w:val="FF0000"/>
          <w:highlight w:val="yellow"/>
        </w:rPr>
        <w:t xml:space="preserve"> </w:t>
      </w:r>
      <w:r w:rsidRPr="00ED6FAC">
        <w:rPr>
          <w:highlight w:val="yellow"/>
        </w:rPr>
        <w:t xml:space="preserve">for </w:t>
      </w:r>
      <w:r w:rsidRPr="00ED6FAC">
        <w:rPr>
          <w:b/>
          <w:color w:val="00B050"/>
          <w:highlight w:val="yellow"/>
        </w:rPr>
        <w:t>CDR</w:t>
      </w:r>
      <w:r w:rsidRPr="00ED6FAC">
        <w:rPr>
          <w:color w:val="00B050"/>
          <w:highlight w:val="yellow"/>
        </w:rPr>
        <w:t xml:space="preserve"> </w:t>
      </w:r>
      <w:r w:rsidRPr="00ED6FAC">
        <w:rPr>
          <w:highlight w:val="yellow"/>
        </w:rPr>
        <w:t>options.</w:t>
      </w:r>
      <w:r w:rsidRPr="00ED6FAC">
        <w:t xml:space="preserve"> Another risk is that the economic costs may be higher or lower than anticipated, because the implications of mitigation cannot be understood with any degree of certainty today, for a wide range of reasons. This issue is discussed in Section 6.3.6. It is important to emphasize that both the economic costs and the economic benefits of mitigation are uncertain. One of the most fundamental risks associated with mitigation is that any transformation pathway may not maintain temperatures below a particular threshold, such as 2 °C or 1.5 °C above preindustrial levels due to limits in our understanding of the relationship between emissions and concentrations and, more importantly, the relationship between GHG concentrations and atmospheric temperatures. This topic is discussed in Section 6.3.2.</w:t>
      </w:r>
    </w:p>
    <w:p w14:paraId="1188F8DB" w14:textId="77777777" w:rsidR="00ED6FAC" w:rsidRPr="00ED6FAC" w:rsidRDefault="00ED6FAC" w:rsidP="00ED6FAC">
      <w:r w:rsidRPr="00ED6FAC">
        <w:t>A broad risk that underpins all the mitigation scenarios in this chapter is that every long-term pathway depends crucially not just on actions by today’s decision makers, but also by future decision-makers and future generations. Indeed, mitigation must be framed within a sequential</w:t>
      </w:r>
      <w:r>
        <w:t xml:space="preserve"> </w:t>
      </w:r>
      <w:r w:rsidRPr="00ED6FAC">
        <w:t>decision making not just because it is good practice, but more fundamentally because decision makers today cannot make decisions for those in the future. A consistent risk is that future decision makers may not undertake the mitigation that is required to meet particular longterm goals. In this context, actions today can be seen as creating or limiting options to manage risk rather than leading to particular goals. This topic is discussed in Sections 6.3 and 6.4 through the exploration of the consequences of different levels of near-term mitigation. This issue is particularly important in the context of scenarios that lead to concentration goals such as 450 ppm CO2eq by 2100. The vast majority of these scenarios temporarily overshoot the long-term goal and then</w:t>
      </w:r>
      <w:r>
        <w:t xml:space="preserve"> </w:t>
      </w:r>
      <w:r w:rsidRPr="00ED6FAC">
        <w:t xml:space="preserve">descend to it by the end of the century through increasing emissions reductions. </w:t>
      </w:r>
      <w:r w:rsidRPr="00ED6FAC">
        <w:rPr>
          <w:highlight w:val="yellow"/>
        </w:rPr>
        <w:t xml:space="preserve">When near-term mitigation is not sufficiently strong, future mitigation must rely heavily on </w:t>
      </w:r>
      <w:r w:rsidRPr="00ED6FAC">
        <w:rPr>
          <w:b/>
          <w:color w:val="00B050"/>
          <w:highlight w:val="yellow"/>
        </w:rPr>
        <w:t>CDR</w:t>
      </w:r>
      <w:r w:rsidRPr="00ED6FAC">
        <w:rPr>
          <w:color w:val="00B050"/>
          <w:highlight w:val="yellow"/>
        </w:rPr>
        <w:t xml:space="preserve"> </w:t>
      </w:r>
      <w:r w:rsidRPr="00ED6FAC">
        <w:rPr>
          <w:highlight w:val="yellow"/>
        </w:rPr>
        <w:t xml:space="preserve">technologies such as </w:t>
      </w:r>
      <w:r w:rsidRPr="00ED6FAC">
        <w:rPr>
          <w:b/>
          <w:color w:val="F79646" w:themeColor="accent6"/>
          <w:highlight w:val="yellow"/>
        </w:rPr>
        <w:t>BECCS</w:t>
      </w:r>
      <w:r w:rsidRPr="00ED6FAC">
        <w:rPr>
          <w:highlight w:val="yellow"/>
        </w:rPr>
        <w:t xml:space="preserve">, putting greater pressure on future decision makers and highlighting any </w:t>
      </w:r>
      <w:r w:rsidRPr="00ED6FAC">
        <w:rPr>
          <w:highlight w:val="yellow"/>
        </w:rPr>
        <w:lastRenderedPageBreak/>
        <w:t>uncertainties and risks surrounding these technologies.</w:t>
      </w:r>
      <w:r w:rsidRPr="00ED6FAC">
        <w:t xml:space="preserve"> </w:t>
      </w:r>
      <w:r w:rsidRPr="00ED6FAC">
        <w:rPr>
          <w:highlight w:val="yellow"/>
        </w:rPr>
        <w:t>While these scenarios are possible in a physical sense, they come with a very large risk that future decision makers will not take on the ambitious action that would ultimately be required. Indeed, studies have shown that delayed and fragmented mitigation can lead to a relaxation of long-term goals if countries that delay their participation in a global mitigation strategy are not willing or unable to pick up the higher costs of compensating higher short-term emissions (</w:t>
      </w:r>
      <w:r w:rsidRPr="00ED6FAC">
        <w:rPr>
          <w:i/>
          <w:color w:val="808080" w:themeColor="background1" w:themeShade="80"/>
          <w:highlight w:val="yellow"/>
        </w:rPr>
        <w:t>Blanford et al., 2014; Kriegler et al., 2014c</w:t>
      </w:r>
      <w:r w:rsidRPr="00ED6FAC">
        <w:rPr>
          <w:highlight w:val="yellow"/>
        </w:rPr>
        <w:t>).</w:t>
      </w:r>
    </w:p>
    <w:p w14:paraId="4EBFB60F" w14:textId="77777777" w:rsidR="0039009D" w:rsidRDefault="0039009D" w:rsidP="00ED6FAC">
      <w:pPr>
        <w:rPr>
          <w:rStyle w:val="berschrift1Zchn"/>
        </w:rPr>
      </w:pPr>
      <w:r>
        <w:rPr>
          <w:rStyle w:val="berschrift1Zchn"/>
        </w:rPr>
        <w:t xml:space="preserve">6.7 </w:t>
      </w:r>
      <w:r w:rsidRPr="0039009D">
        <w:rPr>
          <w:rStyle w:val="berschrift1Zchn"/>
        </w:rPr>
        <w:t>Risks of transformation pathways</w:t>
      </w:r>
    </w:p>
    <w:p w14:paraId="2BB848C0" w14:textId="77777777" w:rsidR="0039009D" w:rsidRPr="0039009D" w:rsidRDefault="0039009D" w:rsidP="0039009D">
      <w:pPr>
        <w:rPr>
          <w:rStyle w:val="berschrift1Zchn"/>
          <w:rFonts w:asciiTheme="minorHAnsi" w:eastAsiaTheme="minorHAnsi" w:hAnsiTheme="minorHAnsi" w:cstheme="minorBidi"/>
          <w:b w:val="0"/>
          <w:bCs w:val="0"/>
          <w:color w:val="auto"/>
          <w:sz w:val="22"/>
          <w:szCs w:val="22"/>
        </w:rPr>
      </w:pPr>
      <w:r w:rsidRPr="0039009D">
        <w:rPr>
          <w:rStyle w:val="berschrift1Zchn"/>
          <w:rFonts w:asciiTheme="minorHAnsi" w:eastAsiaTheme="minorHAnsi" w:hAnsiTheme="minorHAnsi" w:cstheme="minorBidi"/>
          <w:b w:val="0"/>
          <w:bCs w:val="0"/>
          <w:color w:val="auto"/>
          <w:sz w:val="22"/>
          <w:szCs w:val="22"/>
        </w:rPr>
        <w:t>A broad risk that underpins all the mitigation scenarios in this chapter is that every long-term pathway depends crucially not just on actions by today’s decision makers, but also by future decision-makers and future generations. Indeed, mitigation must be framed within a sequential</w:t>
      </w:r>
      <w:r>
        <w:rPr>
          <w:rStyle w:val="berschrift1Zchn"/>
          <w:rFonts w:asciiTheme="minorHAnsi" w:eastAsiaTheme="minorHAnsi" w:hAnsiTheme="minorHAnsi" w:cstheme="minorBidi"/>
          <w:b w:val="0"/>
          <w:bCs w:val="0"/>
          <w:color w:val="auto"/>
          <w:sz w:val="22"/>
          <w:szCs w:val="22"/>
        </w:rPr>
        <w:t xml:space="preserve"> </w:t>
      </w:r>
      <w:r w:rsidRPr="0039009D">
        <w:rPr>
          <w:rStyle w:val="berschrift1Zchn"/>
          <w:rFonts w:asciiTheme="minorHAnsi" w:eastAsiaTheme="minorHAnsi" w:hAnsiTheme="minorHAnsi" w:cstheme="minorBidi"/>
          <w:b w:val="0"/>
          <w:bCs w:val="0"/>
          <w:color w:val="auto"/>
          <w:sz w:val="22"/>
          <w:szCs w:val="22"/>
        </w:rPr>
        <w:t xml:space="preserve">decision making not just because it is good practice, but more fundamentally because decision makers today cannot make decisions for those in the future. A consistent risk is that future decision makers may not undertake the mitigation that is required to meet particular longterm goals. In this context, actions today can be seen as creating or limiting options to manage risk rather than leading to particular goals. This topic is discussed in Sections 6.3 and 6.4 through the exploration of the consequences of different levels of near-term mitigation. This issue is particularly important in the context of scenarios that lead to concentration goals such as 450 ppm CO2eq by 2100. The vast majority of these scenarios temporarily overshoot the long-term goal and then descend to it by the end of the century through increasing emissions reductions. </w:t>
      </w:r>
      <w:r w:rsidRPr="0039009D">
        <w:rPr>
          <w:rStyle w:val="berschrift1Zchn"/>
          <w:rFonts w:asciiTheme="minorHAnsi" w:eastAsiaTheme="minorHAnsi" w:hAnsiTheme="minorHAnsi" w:cstheme="minorBidi"/>
          <w:b w:val="0"/>
          <w:bCs w:val="0"/>
          <w:color w:val="auto"/>
          <w:sz w:val="22"/>
          <w:szCs w:val="22"/>
          <w:highlight w:val="yellow"/>
        </w:rPr>
        <w:t xml:space="preserve">When near-term mitigation is not sufficiently strong, future mitigation must rely heavily on </w:t>
      </w:r>
      <w:r w:rsidRPr="0039009D">
        <w:rPr>
          <w:rStyle w:val="berschrift1Zchn"/>
          <w:rFonts w:asciiTheme="minorHAnsi" w:eastAsiaTheme="minorHAnsi" w:hAnsiTheme="minorHAnsi" w:cstheme="minorBidi"/>
          <w:bCs w:val="0"/>
          <w:color w:val="00B050"/>
          <w:sz w:val="22"/>
          <w:szCs w:val="22"/>
          <w:highlight w:val="yellow"/>
        </w:rPr>
        <w:t>CDR</w:t>
      </w:r>
      <w:r w:rsidRPr="0039009D">
        <w:rPr>
          <w:rStyle w:val="berschrift1Zchn"/>
          <w:rFonts w:asciiTheme="minorHAnsi" w:eastAsiaTheme="minorHAnsi" w:hAnsiTheme="minorHAnsi" w:cstheme="minorBidi"/>
          <w:b w:val="0"/>
          <w:bCs w:val="0"/>
          <w:color w:val="00B050"/>
          <w:sz w:val="22"/>
          <w:szCs w:val="22"/>
          <w:highlight w:val="yellow"/>
        </w:rPr>
        <w:t xml:space="preserve"> </w:t>
      </w:r>
      <w:r w:rsidRPr="0039009D">
        <w:rPr>
          <w:rStyle w:val="berschrift1Zchn"/>
          <w:rFonts w:asciiTheme="minorHAnsi" w:eastAsiaTheme="minorHAnsi" w:hAnsiTheme="minorHAnsi" w:cstheme="minorBidi"/>
          <w:b w:val="0"/>
          <w:bCs w:val="0"/>
          <w:color w:val="auto"/>
          <w:sz w:val="22"/>
          <w:szCs w:val="22"/>
          <w:highlight w:val="yellow"/>
        </w:rPr>
        <w:t xml:space="preserve">technologies such as </w:t>
      </w:r>
      <w:r w:rsidRPr="0039009D">
        <w:rPr>
          <w:rStyle w:val="berschrift1Zchn"/>
          <w:rFonts w:asciiTheme="minorHAnsi" w:eastAsiaTheme="minorHAnsi" w:hAnsiTheme="minorHAnsi" w:cstheme="minorBidi"/>
          <w:bCs w:val="0"/>
          <w:color w:val="F79646" w:themeColor="accent6"/>
          <w:sz w:val="22"/>
          <w:szCs w:val="22"/>
          <w:highlight w:val="yellow"/>
        </w:rPr>
        <w:t>BECCS</w:t>
      </w:r>
      <w:r w:rsidRPr="0039009D">
        <w:rPr>
          <w:rStyle w:val="berschrift1Zchn"/>
          <w:rFonts w:asciiTheme="minorHAnsi" w:eastAsiaTheme="minorHAnsi" w:hAnsiTheme="minorHAnsi" w:cstheme="minorBidi"/>
          <w:b w:val="0"/>
          <w:bCs w:val="0"/>
          <w:color w:val="auto"/>
          <w:sz w:val="22"/>
          <w:szCs w:val="22"/>
          <w:highlight w:val="yellow"/>
        </w:rPr>
        <w:t>, putting greater pressure on future decision makers and highlighting any uncertainties and risks surrounding these technologies. While these scenarios are possible in a physical sense, they come with a very large risk that future decision makers will not take on the ambitious action that would ultimately be required. Indeed, studies have shown that delayed and fragmented mitigation can lead to a relaxation of long-term goals if countries that delay their participation in a global mitigation strategy are not willing or unable to pick up the higher costs of compensating higher short-term emissions (</w:t>
      </w:r>
      <w:r w:rsidRPr="0039009D">
        <w:rPr>
          <w:rStyle w:val="berschrift1Zchn"/>
          <w:rFonts w:asciiTheme="minorHAnsi" w:eastAsiaTheme="minorHAnsi" w:hAnsiTheme="minorHAnsi" w:cstheme="minorBidi"/>
          <w:b w:val="0"/>
          <w:bCs w:val="0"/>
          <w:i/>
          <w:color w:val="808080" w:themeColor="background1" w:themeShade="80"/>
          <w:sz w:val="22"/>
          <w:szCs w:val="22"/>
          <w:highlight w:val="yellow"/>
        </w:rPr>
        <w:t>Blanford et al., 2014; Kriegler et al., 2014c</w:t>
      </w:r>
      <w:r w:rsidRPr="0039009D">
        <w:rPr>
          <w:rStyle w:val="berschrift1Zchn"/>
          <w:rFonts w:asciiTheme="minorHAnsi" w:eastAsiaTheme="minorHAnsi" w:hAnsiTheme="minorHAnsi" w:cstheme="minorBidi"/>
          <w:b w:val="0"/>
          <w:bCs w:val="0"/>
          <w:color w:val="auto"/>
          <w:sz w:val="22"/>
          <w:szCs w:val="22"/>
          <w:highlight w:val="yellow"/>
        </w:rPr>
        <w:t>).</w:t>
      </w:r>
    </w:p>
    <w:p w14:paraId="57CBA56C" w14:textId="77777777" w:rsidR="00ED6FAC" w:rsidRDefault="00ED6FAC" w:rsidP="00ED6FAC">
      <w:pPr>
        <w:rPr>
          <w:rStyle w:val="berschrift1Zchn"/>
        </w:rPr>
      </w:pPr>
      <w:r>
        <w:rPr>
          <w:rStyle w:val="berschrift1Zchn"/>
        </w:rPr>
        <w:t xml:space="preserve">6.8 Integrating sector </w:t>
      </w:r>
      <w:r w:rsidRPr="00ED6FAC">
        <w:rPr>
          <w:rStyle w:val="berschrift1Zchn"/>
        </w:rPr>
        <w:t>analyses and transformation scenarios</w:t>
      </w:r>
    </w:p>
    <w:p w14:paraId="3A95F880" w14:textId="77777777" w:rsidR="003C2A33" w:rsidRDefault="003C2A33" w:rsidP="003C2A33">
      <w:pPr>
        <w:pStyle w:val="berschrift2"/>
        <w:rPr>
          <w:rStyle w:val="berschrift1Zchn"/>
          <w:b/>
          <w:bCs/>
          <w:color w:val="4F81BD" w:themeColor="accent1"/>
          <w:sz w:val="26"/>
          <w:szCs w:val="26"/>
        </w:rPr>
      </w:pPr>
      <w:bookmarkStart w:id="35" w:name="_Toc525298468"/>
      <w:r>
        <w:rPr>
          <w:rStyle w:val="berschrift1Zchn"/>
          <w:b/>
          <w:bCs/>
          <w:color w:val="4F81BD" w:themeColor="accent1"/>
          <w:sz w:val="26"/>
          <w:szCs w:val="26"/>
        </w:rPr>
        <w:t xml:space="preserve">6.8.1 </w:t>
      </w:r>
      <w:r w:rsidRPr="003C2A33">
        <w:rPr>
          <w:rStyle w:val="berschrift1Zchn"/>
          <w:b/>
          <w:bCs/>
          <w:color w:val="4F81BD" w:themeColor="accent1"/>
          <w:sz w:val="26"/>
          <w:szCs w:val="26"/>
        </w:rPr>
        <w:t>The sectoral composition of GHG emissions along transformation pathways</w:t>
      </w:r>
      <w:bookmarkEnd w:id="35"/>
    </w:p>
    <w:p w14:paraId="266B1F4B" w14:textId="77777777" w:rsidR="003C2A33" w:rsidRPr="003C2A33" w:rsidRDefault="003C2A33" w:rsidP="003C2A33">
      <w:r w:rsidRPr="003C2A33">
        <w:t xml:space="preserve">Options for reducing GHG emissions exist across a wide spectrum of human activities. The majority of these options fall into three broad areas: energy supply, energy end-use, and AFOLU. The primary focus of energy supply options is to provide energy from low- or zero-carbon energy sources; that is, to decarbonize energy supply. Options in energy end-use sectors focus either on reducing the use of energy and / or on using energy carriers produced from low-carbon sources, including electricity generated from low-carbon sources. </w:t>
      </w:r>
      <w:r w:rsidRPr="00312090">
        <w:rPr>
          <w:highlight w:val="yellow"/>
        </w:rPr>
        <w:t xml:space="preserve">Direct options in AFOLU involve storing carbon in terrestrial systems (for example, through </w:t>
      </w:r>
      <w:r w:rsidRPr="00312090">
        <w:rPr>
          <w:b/>
          <w:color w:val="0070C0"/>
          <w:highlight w:val="yellow"/>
        </w:rPr>
        <w:t>afforestation</w:t>
      </w:r>
      <w:r w:rsidRPr="00312090">
        <w:rPr>
          <w:highlight w:val="yellow"/>
        </w:rPr>
        <w:t>).</w:t>
      </w:r>
      <w:r w:rsidRPr="003C2A33">
        <w:t xml:space="preserve"> This sector is also the source of bioenergy. Options to reduce non-CO2 emissions exist across all these sectors, but most notably in agriculture, energy supply, and industry.</w:t>
      </w:r>
    </w:p>
    <w:p w14:paraId="769C3D16" w14:textId="77777777" w:rsidR="00ED6FAC" w:rsidRPr="00ED6FAC" w:rsidRDefault="00ED6FAC" w:rsidP="00ED6FAC">
      <w:pPr>
        <w:pStyle w:val="berschrift2"/>
        <w:rPr>
          <w:rStyle w:val="berschrift1Zchn"/>
          <w:b/>
          <w:bCs/>
          <w:color w:val="4F81BD" w:themeColor="accent1"/>
          <w:sz w:val="26"/>
          <w:szCs w:val="26"/>
        </w:rPr>
      </w:pPr>
      <w:bookmarkStart w:id="36" w:name="_Toc525298469"/>
      <w:r w:rsidRPr="00ED6FAC">
        <w:rPr>
          <w:rStyle w:val="berschrift1Zchn"/>
          <w:b/>
          <w:bCs/>
          <w:color w:val="4F81BD" w:themeColor="accent1"/>
          <w:sz w:val="26"/>
          <w:szCs w:val="26"/>
        </w:rPr>
        <w:lastRenderedPageBreak/>
        <w:t>6.8.2 Mitigation from a cross-sectoral perspective: Insights from integrated models</w:t>
      </w:r>
      <w:bookmarkEnd w:id="36"/>
    </w:p>
    <w:p w14:paraId="62E061B6" w14:textId="77777777" w:rsidR="00ED6FAC" w:rsidRDefault="00ED6FAC" w:rsidP="00ED6FAC">
      <w:pPr>
        <w:rPr>
          <w:rStyle w:val="berschrift1Zchn"/>
          <w:rFonts w:asciiTheme="minorHAnsi" w:eastAsiaTheme="minorHAnsi" w:hAnsiTheme="minorHAnsi" w:cstheme="minorBidi"/>
          <w:b w:val="0"/>
          <w:bCs w:val="0"/>
          <w:color w:val="auto"/>
          <w:sz w:val="22"/>
          <w:szCs w:val="22"/>
        </w:rPr>
      </w:pPr>
      <w:r w:rsidRPr="00ED6FAC">
        <w:rPr>
          <w:rStyle w:val="berschrift1Zchn"/>
          <w:rFonts w:asciiTheme="minorHAnsi" w:eastAsiaTheme="minorHAnsi" w:hAnsiTheme="minorHAnsi" w:cstheme="minorBidi"/>
          <w:b w:val="0"/>
          <w:bCs w:val="0"/>
          <w:color w:val="auto"/>
          <w:sz w:val="22"/>
          <w:szCs w:val="22"/>
        </w:rPr>
        <w:t xml:space="preserve">In mitigation scenarios from integrated models, decarbonization of the electricity sector takes place at a pace more rapid than reduction of direct emissions in the energy end-use sectors (see Sections 7.11.3 and Figure 6.35). For example, in 450 ppm CO2eq scenarios, the electricity sector is largely decarbonized by 2050, whereas deep reductions in direct emissions in the end-use sectors largely arise beyond mid-century. </w:t>
      </w:r>
      <w:r w:rsidRPr="00ED6FAC">
        <w:rPr>
          <w:rStyle w:val="berschrift1Zchn"/>
          <w:rFonts w:asciiTheme="minorHAnsi" w:eastAsiaTheme="minorHAnsi" w:hAnsiTheme="minorHAnsi" w:cstheme="minorBidi"/>
          <w:b w:val="0"/>
          <w:bCs w:val="0"/>
          <w:color w:val="auto"/>
          <w:sz w:val="22"/>
          <w:szCs w:val="22"/>
          <w:highlight w:val="yellow"/>
        </w:rPr>
        <w:t xml:space="preserve">More so than any other energy supply technology, the availability of </w:t>
      </w:r>
      <w:r w:rsidRPr="00ED6FAC">
        <w:rPr>
          <w:rStyle w:val="berschrift1Zchn"/>
          <w:rFonts w:asciiTheme="minorHAnsi" w:eastAsiaTheme="minorHAnsi" w:hAnsiTheme="minorHAnsi" w:cstheme="minorBidi"/>
          <w:bCs w:val="0"/>
          <w:color w:val="F79646" w:themeColor="accent6"/>
          <w:sz w:val="22"/>
          <w:szCs w:val="22"/>
          <w:highlight w:val="yellow"/>
        </w:rPr>
        <w:t>BECCS</w:t>
      </w:r>
      <w:r w:rsidRPr="00ED6FAC">
        <w:rPr>
          <w:rStyle w:val="berschrift1Zchn"/>
          <w:rFonts w:asciiTheme="minorHAnsi" w:eastAsiaTheme="minorHAnsi" w:hAnsiTheme="minorHAnsi" w:cstheme="minorBidi"/>
          <w:b w:val="0"/>
          <w:bCs w:val="0"/>
          <w:color w:val="F79646" w:themeColor="accent6"/>
          <w:sz w:val="22"/>
          <w:szCs w:val="22"/>
          <w:highlight w:val="yellow"/>
        </w:rPr>
        <w:t xml:space="preserve"> </w:t>
      </w:r>
      <w:r w:rsidRPr="00ED6FAC">
        <w:rPr>
          <w:rStyle w:val="berschrift1Zchn"/>
          <w:rFonts w:asciiTheme="minorHAnsi" w:eastAsiaTheme="minorHAnsi" w:hAnsiTheme="minorHAnsi" w:cstheme="minorBidi"/>
          <w:b w:val="0"/>
          <w:bCs w:val="0"/>
          <w:color w:val="auto"/>
          <w:sz w:val="22"/>
          <w:szCs w:val="22"/>
          <w:highlight w:val="yellow"/>
        </w:rPr>
        <w:t xml:space="preserve">and its role as a primary </w:t>
      </w:r>
      <w:r w:rsidRPr="00ED6FAC">
        <w:rPr>
          <w:rStyle w:val="berschrift1Zchn"/>
          <w:rFonts w:asciiTheme="minorHAnsi" w:eastAsiaTheme="minorHAnsi" w:hAnsiTheme="minorHAnsi" w:cstheme="minorBidi"/>
          <w:bCs w:val="0"/>
          <w:color w:val="00B050"/>
          <w:sz w:val="22"/>
          <w:szCs w:val="22"/>
          <w:highlight w:val="yellow"/>
        </w:rPr>
        <w:t>CDR</w:t>
      </w:r>
      <w:r w:rsidRPr="00ED6FAC">
        <w:rPr>
          <w:rStyle w:val="berschrift1Zchn"/>
          <w:rFonts w:asciiTheme="minorHAnsi" w:eastAsiaTheme="minorHAnsi" w:hAnsiTheme="minorHAnsi" w:cstheme="minorBidi"/>
          <w:b w:val="0"/>
          <w:bCs w:val="0"/>
          <w:color w:val="00B050"/>
          <w:sz w:val="22"/>
          <w:szCs w:val="22"/>
          <w:highlight w:val="yellow"/>
        </w:rPr>
        <w:t xml:space="preserve"> </w:t>
      </w:r>
      <w:r w:rsidRPr="00ED6FAC">
        <w:rPr>
          <w:rStyle w:val="berschrift1Zchn"/>
          <w:rFonts w:asciiTheme="minorHAnsi" w:eastAsiaTheme="minorHAnsi" w:hAnsiTheme="minorHAnsi" w:cstheme="minorBidi"/>
          <w:b w:val="0"/>
          <w:bCs w:val="0"/>
          <w:color w:val="auto"/>
          <w:sz w:val="22"/>
          <w:szCs w:val="22"/>
          <w:highlight w:val="yellow"/>
        </w:rPr>
        <w:t>technology (</w:t>
      </w:r>
      <w:r w:rsidRPr="00ED6FAC">
        <w:rPr>
          <w:rStyle w:val="berschrift1Zchn"/>
          <w:rFonts w:asciiTheme="minorHAnsi" w:eastAsiaTheme="minorHAnsi" w:hAnsiTheme="minorHAnsi" w:cstheme="minorBidi"/>
          <w:bCs w:val="0"/>
          <w:color w:val="FF0000"/>
          <w:sz w:val="22"/>
          <w:szCs w:val="22"/>
          <w:highlight w:val="yellow"/>
        </w:rPr>
        <w:t>Sections 6.3.2 and 6.9</w:t>
      </w:r>
      <w:r w:rsidRPr="00ED6FAC">
        <w:rPr>
          <w:rStyle w:val="berschrift1Zchn"/>
          <w:rFonts w:asciiTheme="minorHAnsi" w:eastAsiaTheme="minorHAnsi" w:hAnsiTheme="minorHAnsi" w:cstheme="minorBidi"/>
          <w:b w:val="0"/>
          <w:bCs w:val="0"/>
          <w:color w:val="auto"/>
          <w:sz w:val="22"/>
          <w:szCs w:val="22"/>
          <w:highlight w:val="yellow"/>
        </w:rPr>
        <w:t xml:space="preserve">) has a substantial effect on this dynamic, allowing for energy supply sectors to serve as a net </w:t>
      </w:r>
      <w:r w:rsidRPr="00577D4B">
        <w:rPr>
          <w:rStyle w:val="berschrift1Zchn"/>
          <w:rFonts w:asciiTheme="minorHAnsi" w:eastAsiaTheme="minorHAnsi" w:hAnsiTheme="minorHAnsi" w:cstheme="minorBidi"/>
          <w:bCs w:val="0"/>
          <w:color w:val="7030A0"/>
          <w:sz w:val="22"/>
          <w:szCs w:val="22"/>
          <w:highlight w:val="yellow"/>
        </w:rPr>
        <w:t>negative emissions</w:t>
      </w:r>
      <w:r w:rsidRPr="00577D4B">
        <w:rPr>
          <w:rStyle w:val="berschrift1Zchn"/>
          <w:rFonts w:asciiTheme="minorHAnsi" w:eastAsiaTheme="minorHAnsi" w:hAnsiTheme="minorHAnsi" w:cstheme="minorBidi"/>
          <w:b w:val="0"/>
          <w:bCs w:val="0"/>
          <w:color w:val="7030A0"/>
          <w:sz w:val="22"/>
          <w:szCs w:val="22"/>
          <w:highlight w:val="yellow"/>
        </w:rPr>
        <w:t xml:space="preserve"> </w:t>
      </w:r>
      <w:r w:rsidRPr="00ED6FAC">
        <w:rPr>
          <w:rStyle w:val="berschrift1Zchn"/>
          <w:rFonts w:asciiTheme="minorHAnsi" w:eastAsiaTheme="minorHAnsi" w:hAnsiTheme="minorHAnsi" w:cstheme="minorBidi"/>
          <w:b w:val="0"/>
          <w:bCs w:val="0"/>
          <w:color w:val="auto"/>
          <w:sz w:val="22"/>
          <w:szCs w:val="22"/>
          <w:highlight w:val="yellow"/>
        </w:rPr>
        <w:t xml:space="preserve">source by mid-century and allowing for more gradual emissions reductions in other sectors. In contrast, sectoral studies show available pathways to deep reductions in emissions (both direct and indirect) already by mid-century (see, e. g., </w:t>
      </w:r>
      <w:r w:rsidRPr="00ED6FAC">
        <w:rPr>
          <w:rStyle w:val="berschrift1Zchn"/>
          <w:rFonts w:asciiTheme="minorHAnsi" w:eastAsiaTheme="minorHAnsi" w:hAnsiTheme="minorHAnsi" w:cstheme="minorBidi"/>
          <w:bCs w:val="0"/>
          <w:color w:val="FF0000"/>
          <w:sz w:val="22"/>
          <w:szCs w:val="22"/>
          <w:highlight w:val="yellow"/>
        </w:rPr>
        <w:t>Chapter 9</w:t>
      </w:r>
      <w:r w:rsidRPr="00ED6FAC">
        <w:rPr>
          <w:rStyle w:val="berschrift1Zchn"/>
          <w:rFonts w:asciiTheme="minorHAnsi" w:eastAsiaTheme="minorHAnsi" w:hAnsiTheme="minorHAnsi" w:cstheme="minorBidi"/>
          <w:b w:val="0"/>
          <w:bCs w:val="0"/>
          <w:color w:val="auto"/>
          <w:sz w:val="22"/>
          <w:szCs w:val="22"/>
          <w:highlight w:val="yellow"/>
        </w:rPr>
        <w:t>).</w:t>
      </w:r>
    </w:p>
    <w:p w14:paraId="55117289" w14:textId="77777777" w:rsidR="00A75E39" w:rsidRDefault="00A75E39" w:rsidP="00ED6FAC">
      <w:pPr>
        <w:rPr>
          <w:rStyle w:val="berschrift1Zchn"/>
          <w:rFonts w:asciiTheme="minorHAnsi" w:eastAsiaTheme="minorHAnsi" w:hAnsiTheme="minorHAnsi" w:cstheme="minorBidi"/>
          <w:b w:val="0"/>
          <w:bCs w:val="0"/>
          <w:color w:val="auto"/>
          <w:sz w:val="22"/>
          <w:szCs w:val="22"/>
        </w:rPr>
      </w:pPr>
      <w:r w:rsidRPr="00A75E39">
        <w:rPr>
          <w:rStyle w:val="berschrift1Zchn"/>
          <w:rFonts w:asciiTheme="minorHAnsi" w:eastAsiaTheme="minorHAnsi" w:hAnsiTheme="minorHAnsi" w:cstheme="minorBidi"/>
          <w:b w:val="0"/>
          <w:bCs w:val="0"/>
          <w:color w:val="auto"/>
          <w:sz w:val="22"/>
          <w:szCs w:val="22"/>
        </w:rPr>
        <w:t xml:space="preserve">Within the end-use sectors, deep emissions reductions in transport are generally the last to emerge in integrated modelling studies because of the assumption that options to switch to low-carbon energy carriers in transport are more limited than in buildings and industry, and also because of the expected high growth for mobility and freight transport (Section 8.9.1). In the majority of baseline scenarios from integrated models, net AFOLU CO2 emissions largely disappear by mid-century, with some models projecting a net sink after 2050 (Section 6.3.1.4). </w:t>
      </w:r>
      <w:r w:rsidRPr="00A75E39">
        <w:rPr>
          <w:rStyle w:val="berschrift1Zchn"/>
          <w:rFonts w:asciiTheme="minorHAnsi" w:eastAsiaTheme="minorHAnsi" w:hAnsiTheme="minorHAnsi" w:cstheme="minorBidi"/>
          <w:b w:val="0"/>
          <w:bCs w:val="0"/>
          <w:color w:val="auto"/>
          <w:sz w:val="22"/>
          <w:szCs w:val="22"/>
          <w:highlight w:val="yellow"/>
        </w:rPr>
        <w:t xml:space="preserve">There is a wide uncertainty in the role of </w:t>
      </w:r>
      <w:r w:rsidRPr="00A75E39">
        <w:rPr>
          <w:rStyle w:val="berschrift1Zchn"/>
          <w:rFonts w:asciiTheme="minorHAnsi" w:eastAsiaTheme="minorHAnsi" w:hAnsiTheme="minorHAnsi" w:cstheme="minorBidi"/>
          <w:bCs w:val="0"/>
          <w:color w:val="0070C0"/>
          <w:sz w:val="22"/>
          <w:szCs w:val="22"/>
          <w:highlight w:val="yellow"/>
        </w:rPr>
        <w:t>afforestation</w:t>
      </w:r>
      <w:r w:rsidRPr="00A75E39">
        <w:rPr>
          <w:rStyle w:val="berschrift1Zchn"/>
          <w:rFonts w:asciiTheme="minorHAnsi" w:eastAsiaTheme="minorHAnsi" w:hAnsiTheme="minorHAnsi" w:cstheme="minorBidi"/>
          <w:b w:val="0"/>
          <w:bCs w:val="0"/>
          <w:color w:val="0070C0"/>
          <w:sz w:val="22"/>
          <w:szCs w:val="22"/>
          <w:highlight w:val="yellow"/>
        </w:rPr>
        <w:t xml:space="preserve"> </w:t>
      </w:r>
      <w:r w:rsidRPr="00A75E39">
        <w:rPr>
          <w:rStyle w:val="berschrift1Zchn"/>
          <w:rFonts w:asciiTheme="minorHAnsi" w:eastAsiaTheme="minorHAnsi" w:hAnsiTheme="minorHAnsi" w:cstheme="minorBidi"/>
          <w:b w:val="0"/>
          <w:bCs w:val="0"/>
          <w:color w:val="auto"/>
          <w:sz w:val="22"/>
          <w:szCs w:val="22"/>
          <w:highlight w:val="yellow"/>
        </w:rPr>
        <w:t>and reforestation in mitigation, however. In some mitigation scenarios the AFOLU sectors can become a significant carbon sink (</w:t>
      </w:r>
      <w:r w:rsidRPr="00A75E39">
        <w:rPr>
          <w:rStyle w:val="berschrift1Zchn"/>
          <w:rFonts w:asciiTheme="minorHAnsi" w:eastAsiaTheme="minorHAnsi" w:hAnsiTheme="minorHAnsi" w:cstheme="minorBidi"/>
          <w:bCs w:val="0"/>
          <w:color w:val="FF0000"/>
          <w:sz w:val="22"/>
          <w:szCs w:val="22"/>
          <w:highlight w:val="yellow"/>
        </w:rPr>
        <w:t>Section 6.3.2.4</w:t>
      </w:r>
      <w:r w:rsidRPr="00A75E39">
        <w:rPr>
          <w:rStyle w:val="berschrift1Zchn"/>
          <w:rFonts w:asciiTheme="minorHAnsi" w:eastAsiaTheme="minorHAnsi" w:hAnsiTheme="minorHAnsi" w:cstheme="minorBidi"/>
          <w:b w:val="0"/>
          <w:bCs w:val="0"/>
          <w:color w:val="auto"/>
          <w:sz w:val="22"/>
          <w:szCs w:val="22"/>
          <w:highlight w:val="yellow"/>
        </w:rPr>
        <w:t>).</w:t>
      </w:r>
    </w:p>
    <w:p w14:paraId="1963CF6F" w14:textId="77777777" w:rsidR="00ED6FAC" w:rsidRDefault="00ED6FAC" w:rsidP="00ED6FAC">
      <w:pPr>
        <w:pStyle w:val="berschrift2"/>
      </w:pPr>
      <w:bookmarkStart w:id="37" w:name="_Toc525298470"/>
      <w:r>
        <w:t xml:space="preserve">6.8.3 </w:t>
      </w:r>
      <w:r w:rsidRPr="00ED6FAC">
        <w:t>Decarbonizing energy supply</w:t>
      </w:r>
      <w:bookmarkEnd w:id="37"/>
    </w:p>
    <w:p w14:paraId="25198AC0" w14:textId="77777777" w:rsidR="00ED6FAC" w:rsidRDefault="00ED6FAC" w:rsidP="00ED6FAC">
      <w:r w:rsidRPr="00ED6FAC">
        <w:t>Virtually all integrated modelling studies indicate that decarbonization of electricity is critical for mitigation, but there is no general consensus regarding the precise low-carbon technologies that might support this decarbonization (Fischedick et al., 2011; Clarke et al., 2012) (Section 7.11.3). These studies have presented a wide range of combinations of renewable energy sources (Krey and Clarke, 2011; Luderer et al., 2014b), nuclear power (Bauer et al., 2012; Rogner and Riahi, 2013), and CCS-based technologies (McFarland et al., 2009; Bauer et al., 2014a; McCollum et al., 2014a; van der Zwaan et al., 2014) as both</w:t>
      </w:r>
      <w:r>
        <w:t xml:space="preserve"> </w:t>
      </w:r>
      <w:r w:rsidRPr="00ED6FAC">
        <w:t xml:space="preserve">viable and cost-effective (see Section 7.11). The breadth of different, potentially cost-effective strategies raises the possibility not only that future costs and performances of competing electricity technologies are uncertain today, but also that regional circumstances, including both energy resources and links to other regional objectives (e. g., national security, local air pollution, energy security, see Section 6.6), might be as important decision making factors as economic costs (Krey et al., 2014). </w:t>
      </w:r>
      <w:r w:rsidRPr="00ED6FAC">
        <w:rPr>
          <w:highlight w:val="yellow"/>
        </w:rPr>
        <w:t xml:space="preserve">The one exception to this flexibility in energy supply surrounds the use of </w:t>
      </w:r>
      <w:r w:rsidRPr="00ED6FAC">
        <w:rPr>
          <w:b/>
          <w:color w:val="F79646" w:themeColor="accent6"/>
          <w:highlight w:val="yellow"/>
        </w:rPr>
        <w:t>BECCS</w:t>
      </w:r>
      <w:r w:rsidRPr="00ED6FAC">
        <w:t xml:space="preserve">. </w:t>
      </w:r>
      <w:r w:rsidRPr="00ED6FAC">
        <w:rPr>
          <w:b/>
          <w:color w:val="00B050"/>
          <w:highlight w:val="yellow"/>
        </w:rPr>
        <w:t>CDR</w:t>
      </w:r>
      <w:r w:rsidRPr="00ED6FAC">
        <w:rPr>
          <w:color w:val="00B050"/>
          <w:highlight w:val="yellow"/>
        </w:rPr>
        <w:t xml:space="preserve"> </w:t>
      </w:r>
      <w:r w:rsidRPr="00ED6FAC">
        <w:rPr>
          <w:highlight w:val="yellow"/>
        </w:rPr>
        <w:t xml:space="preserve">technologies such as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are fundamental to many scenarios that achieve low-CO2eq concentrations, particularly those based on substantial overshoot as might occur if near-term mitigation is delayed (</w:t>
      </w:r>
      <w:r w:rsidRPr="00ED6FAC">
        <w:rPr>
          <w:b/>
          <w:color w:val="FF0000"/>
          <w:highlight w:val="yellow"/>
        </w:rPr>
        <w:t>Sections 6.3.2 and 6.4</w:t>
      </w:r>
      <w:r w:rsidRPr="00ED6FAC">
        <w:rPr>
          <w:highlight w:val="yellow"/>
        </w:rPr>
        <w:t>)</w:t>
      </w:r>
      <w:r w:rsidRPr="00ED6FAC">
        <w:t xml:space="preserve">. </w:t>
      </w:r>
      <w:r w:rsidRPr="00613666">
        <w:rPr>
          <w:highlight w:val="yellow"/>
        </w:rPr>
        <w:t>In contrast to the electricity sector, decarbonization of the non-electric energy-supply sector (e. g., liquid fuels supply) is progressing typically at much lower pace (Section 7.11.3, Figures 7.14 and 7.15) and could therefore constitute a bottleneck in the transformation process.</w:t>
      </w:r>
    </w:p>
    <w:p w14:paraId="5FECAEC8" w14:textId="77777777" w:rsidR="00FD0058" w:rsidRDefault="00FD0058" w:rsidP="00FD0058">
      <w:pPr>
        <w:pStyle w:val="berschrift2"/>
      </w:pPr>
      <w:bookmarkStart w:id="38" w:name="_Toc525298471"/>
      <w:r>
        <w:t xml:space="preserve">6.8.4 </w:t>
      </w:r>
      <w:r w:rsidRPr="00FD0058">
        <w:t>Energy demand reductions and fuel switching in end-use sectors</w:t>
      </w:r>
      <w:bookmarkEnd w:id="38"/>
    </w:p>
    <w:p w14:paraId="15FA0FFE" w14:textId="77777777" w:rsidR="00FD0058" w:rsidRDefault="00FD0058" w:rsidP="00ED6FAC">
      <w:r w:rsidRPr="00FD0058">
        <w:t>This evolution can be clearly seen through a comparison of direct and indirect emissions in end-use sectors in integrated modelling scenarios (Figure 6.36). In 2010, the lar</w:t>
      </w:r>
      <w:r>
        <w:t xml:space="preserve">gest part of emissions from the </w:t>
      </w:r>
      <w:r w:rsidRPr="00FD0058">
        <w:lastRenderedPageBreak/>
        <w:t xml:space="preserve">buildings sector are the indirect emissions from electricity. This trend continues in baseline scenarios (Figure 6.36). </w:t>
      </w:r>
      <w:r w:rsidRPr="00FD0058">
        <w:rPr>
          <w:highlight w:val="yellow"/>
        </w:rPr>
        <w:t xml:space="preserve">However, in deep emission-reduction scenarios, indirect emissions from electricity are largely eliminated by 2050, and in many scenarios, the electricity sector even becomes a sink for CO2 through the use of </w:t>
      </w:r>
      <w:r w:rsidRPr="00FD0058">
        <w:rPr>
          <w:b/>
          <w:color w:val="F79646" w:themeColor="accent6"/>
          <w:highlight w:val="yellow"/>
        </w:rPr>
        <w:t>BECCS</w:t>
      </w:r>
      <w:r w:rsidRPr="00FD0058">
        <w:rPr>
          <w:color w:val="F79646" w:themeColor="accent6"/>
          <w:highlight w:val="yellow"/>
        </w:rPr>
        <w:t xml:space="preserve"> </w:t>
      </w:r>
      <w:r w:rsidRPr="00FD0058">
        <w:rPr>
          <w:highlight w:val="yellow"/>
        </w:rPr>
        <w:t>(Figure 6.35, left panel).</w:t>
      </w:r>
      <w:r w:rsidRPr="00FD0058">
        <w:t xml:space="preserve"> There are only minimal indirect emissions from electricity in the transport sector today and by 2050 in mitigation scenarios. Those scenarios that decarbonize the transportation sector through electrification do so by taking advantage of a largely decarbonized electricity sector. The industrial sector lies between the buildings and transport sectors. Of importance, the observed trends can be very regional in character. For example, the value of electrification will be higher in countries or regions that already have low-carbon electricity portfolios.</w:t>
      </w:r>
    </w:p>
    <w:p w14:paraId="354434E0" w14:textId="77777777" w:rsidR="002A5BF4" w:rsidRDefault="002A5BF4" w:rsidP="002A5BF4">
      <w:pPr>
        <w:pStyle w:val="berschrift2"/>
      </w:pPr>
      <w:bookmarkStart w:id="39" w:name="_Toc525298472"/>
      <w:r>
        <w:t xml:space="preserve">6.8.5 </w:t>
      </w:r>
      <w:r w:rsidRPr="002A5BF4">
        <w:t>Options for bioenergy production, reducing land-use change emissions, and creating land-use GHG sinks</w:t>
      </w:r>
      <w:bookmarkEnd w:id="39"/>
    </w:p>
    <w:p w14:paraId="14AD58A8" w14:textId="77777777" w:rsidR="002A5BF4" w:rsidRDefault="002A5BF4" w:rsidP="002A5BF4">
      <w:r>
        <w:t xml:space="preserve">As noted in Section 6.3.5, land use has three primary roles in mitigation: bioenergy production, storage of carbon in terrestrial systems, mitigation of non-CO2 GHGs. It also influences mitigation through biogeophysical factors such as albedo. Integrated modelling studies are the primary means by which the tradeoffs and synergies between these different roles, in particular the first two, might unfold over the rest of the century. </w:t>
      </w:r>
      <w:r w:rsidRPr="002A5BF4">
        <w:rPr>
          <w:highlight w:val="yellow"/>
        </w:rPr>
        <w:t xml:space="preserve">The integrated modelling studies sketch out a wide range of ways in which these forces might affect the land surface, from widespread </w:t>
      </w:r>
      <w:r w:rsidRPr="002A5BF4">
        <w:rPr>
          <w:b/>
          <w:color w:val="0070C0"/>
          <w:highlight w:val="yellow"/>
        </w:rPr>
        <w:t>afforestation</w:t>
      </w:r>
      <w:r w:rsidRPr="002A5BF4">
        <w:rPr>
          <w:color w:val="0070C0"/>
          <w:highlight w:val="yellow"/>
        </w:rPr>
        <w:t xml:space="preserve"> </w:t>
      </w:r>
      <w:r w:rsidRPr="002A5BF4">
        <w:rPr>
          <w:highlight w:val="yellow"/>
        </w:rPr>
        <w:t>under comprehensive climate policies to widespread deforestation if carbon storage on land is not included in the mitigation policy (</w:t>
      </w:r>
      <w:r w:rsidRPr="00EF39E9">
        <w:rPr>
          <w:b/>
          <w:color w:val="FF0000"/>
          <w:highlight w:val="yellow"/>
        </w:rPr>
        <w:t>Sections 6.3.5 and 11.9</w:t>
      </w:r>
      <w:r w:rsidRPr="002A5BF4">
        <w:rPr>
          <w:highlight w:val="yellow"/>
        </w:rPr>
        <w:t>).</w:t>
      </w:r>
    </w:p>
    <w:p w14:paraId="592EF25B" w14:textId="77777777" w:rsidR="002A5BF4" w:rsidRDefault="002A5BF4" w:rsidP="002A5BF4">
      <w:r>
        <w:t xml:space="preserve">Sectoral studies complement integrated modelling studies by exploring the ability of policy and social structures to support broad changes in land-use practices over time (Section 11.6). In general, sectoral studies point to the challenges associated with making large-scale changes to the land surface in the name of mitigation, such as challenges associated with institutions, livelihoods, social and economic concerns, and technology and infrastructure. </w:t>
      </w:r>
      <w:r w:rsidRPr="00EF39E9">
        <w:rPr>
          <w:highlight w:val="yellow"/>
        </w:rPr>
        <w:t>These challenges raise questions about transformation pathways (</w:t>
      </w:r>
      <w:r w:rsidRPr="00EF39E9">
        <w:rPr>
          <w:b/>
          <w:color w:val="FF0000"/>
          <w:highlight w:val="yellow"/>
        </w:rPr>
        <w:t>Section 11.6</w:t>
      </w:r>
      <w:r w:rsidRPr="00EF39E9">
        <w:rPr>
          <w:highlight w:val="yellow"/>
        </w:rPr>
        <w:t xml:space="preserve">). For example, although increasing the land area covered by natural forests could enhance biodiversity and a range of other ecosystem services, </w:t>
      </w:r>
      <w:r w:rsidRPr="00EF39E9">
        <w:rPr>
          <w:b/>
          <w:color w:val="0070C0"/>
          <w:highlight w:val="yellow"/>
        </w:rPr>
        <w:t>afforestation</w:t>
      </w:r>
      <w:r w:rsidRPr="00EF39E9">
        <w:rPr>
          <w:color w:val="0070C0"/>
          <w:highlight w:val="yellow"/>
        </w:rPr>
        <w:t xml:space="preserve"> </w:t>
      </w:r>
      <w:r w:rsidRPr="00EF39E9">
        <w:rPr>
          <w:highlight w:val="yellow"/>
        </w:rPr>
        <w:t>occurring through large-scale plantations could negatively impact biodiversity, water, and other ecosystem services (</w:t>
      </w:r>
      <w:r w:rsidRPr="00EF39E9">
        <w:rPr>
          <w:b/>
          <w:color w:val="FF0000"/>
          <w:highlight w:val="yellow"/>
        </w:rPr>
        <w:t>Sections 11.7 and 11.13.6</w:t>
      </w:r>
      <w:r w:rsidRPr="00EF39E9">
        <w:rPr>
          <w:highlight w:val="yellow"/>
        </w:rPr>
        <w:t xml:space="preserve">). Similarly, the use of large land areas for </w:t>
      </w:r>
      <w:r w:rsidRPr="00EF39E9">
        <w:rPr>
          <w:b/>
          <w:color w:val="0070C0"/>
          <w:highlight w:val="yellow"/>
        </w:rPr>
        <w:t>afforestation</w:t>
      </w:r>
      <w:r w:rsidRPr="00EF39E9">
        <w:rPr>
          <w:color w:val="0070C0"/>
          <w:highlight w:val="yellow"/>
        </w:rPr>
        <w:t xml:space="preserve"> </w:t>
      </w:r>
      <w:r w:rsidRPr="00EF39E9">
        <w:rPr>
          <w:highlight w:val="yellow"/>
        </w:rPr>
        <w:t>or dedicated feedstocks for bioenergy could increase food prices and compromise food security if land normally used for food production is converted to bioenergy or forests (</w:t>
      </w:r>
      <w:r w:rsidRPr="00EF39E9">
        <w:rPr>
          <w:b/>
          <w:color w:val="FF0000"/>
          <w:highlight w:val="yellow"/>
        </w:rPr>
        <w:t>Section 11.4</w:t>
      </w:r>
      <w:r w:rsidRPr="00EF39E9">
        <w:rPr>
          <w:highlight w:val="yellow"/>
        </w:rPr>
        <w:t>). The degree of these effects is uncertain and depends on a variety of sector-specific details regarding intensification of land use, changes in dietary habits, global market interactions, and biophysical characteristics and dynamics.</w:t>
      </w:r>
      <w:r>
        <w:t xml:space="preserve"> The implications of transformation pathways that rely heavily on reductions of non-CO2 GHGs from agriculture depend on whether mitigation is achieved through reduced absolute emissions, or through reduced emissions per unit of agricultural product (Section 11.6), and the role of large-scale intensive agriculture, which has often not been implemented sustainably (e. g., large areas of monoculture food or energy crops or intensive livestock production, potentially damaging ecosystem services). Furthermore, sector studies are beginning to elucidate implementation issues, such as the implications of staggered and / or partial regional adoption of land mitigation policies, as well as institutional design. For example, realizing large-scale bioenergy without compromising the terrestrial carbon stock might require strong institutional conditions, such as an implemented and enforced global price on land carbon. Finally, sector studies will </w:t>
      </w:r>
      <w:r>
        <w:lastRenderedPageBreak/>
        <w:t xml:space="preserve">continue to provide revised and new characterizations of mitigation technologies that can be evaluated in a portfolio context (Section 11.9). </w:t>
      </w:r>
    </w:p>
    <w:p w14:paraId="79147847" w14:textId="77777777" w:rsidR="00ED6FAC" w:rsidRPr="00FD0058" w:rsidRDefault="00ED6FAC" w:rsidP="00FD0058">
      <w:pPr>
        <w:pStyle w:val="KeinLeerraum"/>
        <w:rPr>
          <w:rStyle w:val="berschrift1Zchn"/>
        </w:rPr>
      </w:pPr>
      <w:r w:rsidRPr="00FD0058">
        <w:rPr>
          <w:rStyle w:val="berschrift1Zchn"/>
        </w:rPr>
        <w:t>6.9 Carbon and radiation manage</w:t>
      </w:r>
      <w:r w:rsidR="00FD0058" w:rsidRPr="00FD0058">
        <w:rPr>
          <w:rStyle w:val="berschrift1Zchn"/>
        </w:rPr>
        <w:t xml:space="preserve">ment and other geo-engineering </w:t>
      </w:r>
      <w:r w:rsidRPr="00FD0058">
        <w:rPr>
          <w:rStyle w:val="berschrift1Zchn"/>
        </w:rPr>
        <w:t>options</w:t>
      </w:r>
      <w:r w:rsidR="00FD0058" w:rsidRPr="00FD0058">
        <w:rPr>
          <w:rStyle w:val="berschrift1Zchn"/>
        </w:rPr>
        <w:t xml:space="preserve"> </w:t>
      </w:r>
      <w:r w:rsidRPr="00FD0058">
        <w:rPr>
          <w:rStyle w:val="berschrift1Zchn"/>
        </w:rPr>
        <w:t>including environmental risks</w:t>
      </w:r>
    </w:p>
    <w:p w14:paraId="2157393A" w14:textId="77777777" w:rsidR="00ED6FAC" w:rsidRDefault="00ED6FAC" w:rsidP="00ED6FAC">
      <w:r>
        <w:t xml:space="preserve">Some scientists have argued that it might be useful to consider, in addition to mitigation and adaptation measures, various intentional interventions into the climate system as part of a broader climate policy strategy (Keith, 2000; Crutzen, 2006). Such technologies have often been grouped under the blanket term ‘geoengineering’ or, alternatively, ‘climate engineering’ (Keith, 2000; Vaughan and Lenton, 2011). Calls for research into these technologies have increased in recent years (Caldeira and Keith, 2010; Science and Technology Committee, 2010), and several assessments have been conducted (Royal Society, 2009; Edenhofer et al., 2011; Ginzky et al., 2011; Rickels et al., 2011). </w:t>
      </w:r>
      <w:r w:rsidRPr="00ED6FAC">
        <w:rPr>
          <w:highlight w:val="yellow"/>
        </w:rPr>
        <w:t xml:space="preserve">Two categories of geoengineering are generally distinguished. Removal of GHGs, in particular carbon dioxide termed ‘carbon dioxide removal’ or </w:t>
      </w:r>
      <w:r w:rsidRPr="00ED6FAC">
        <w:rPr>
          <w:b/>
          <w:color w:val="00B050"/>
          <w:highlight w:val="yellow"/>
        </w:rPr>
        <w:t>CDR</w:t>
      </w:r>
      <w:r w:rsidRPr="00ED6FAC">
        <w:rPr>
          <w:highlight w:val="yellow"/>
        </w:rPr>
        <w:t>, would reduce atmospheric GHG concentrations. The boundary between some mitigation and some CDR methods is not always clear (</w:t>
      </w:r>
      <w:r w:rsidRPr="00ED6FAC">
        <w:rPr>
          <w:i/>
          <w:color w:val="808080" w:themeColor="background1" w:themeShade="80"/>
          <w:highlight w:val="yellow"/>
        </w:rPr>
        <w:t>Boucher et al., 2011, 2013</w:t>
      </w:r>
      <w:r w:rsidRPr="00ED6FAC">
        <w:rPr>
          <w:highlight w:val="yellow"/>
        </w:rPr>
        <w:t>).</w:t>
      </w:r>
      <w:r>
        <w:t xml:space="preserve"> ‘Solar radiation management’ or SRM technologies aim to increase the reflection of sunlight to cool the planet and do not fall within the usual definitions of mitigation and adaptation. Within each of these categories, there is a wide range of techniques that are addressed in more detail in Sections 6.5 and 7.7 of the WG I report. </w:t>
      </w:r>
    </w:p>
    <w:p w14:paraId="2A3B1C3F" w14:textId="77777777" w:rsidR="00ED6FAC" w:rsidRPr="00ED6FAC" w:rsidRDefault="00ED6FAC" w:rsidP="00ED6FAC">
      <w:r>
        <w:t xml:space="preserve">Many geoengineering technologies are presently only hypothetical. Whether or not they could actually contribute to the avoidance of future climate change impacts is not clear (Blackstock et al., 2009; Royal Society, 2009). Beyond open questions regarding environmental effects and technological feasibility, questions have been raised about the sociopolitical dimensions of geoengineering and its potential implications for climate politics (Barrett, 2008; Royal Society, 2009; Rickels et al., 2011). In the general discussion, geoengineering has been framed in a number of ways (Nerlich and Jaspal, 2012; Macnaghten and Szerszynski, 2013; Luokkanen et al., 2013; Scholte et al., 2013), for instance, as a last resort in case of a climate emergency (Blackstock et al., 2009; McCusker et al., 2012), or as a way to buy time for implementing conventional mitigation (Wigley, 2006; Institution of Mechanical Engineers, 2009; MacCracken, 2009). </w:t>
      </w:r>
      <w:r w:rsidRPr="00ED6FAC">
        <w:rPr>
          <w:highlight w:val="yellow"/>
        </w:rPr>
        <w:t xml:space="preserve">Most assessments agree that geoengineering technologies should not be treated as a replacement for conventional mitigation and adaptation due to the high costs involved for some techniques, particularly most </w:t>
      </w:r>
      <w:r w:rsidRPr="00ED6FAC">
        <w:rPr>
          <w:b/>
          <w:color w:val="00B050"/>
          <w:highlight w:val="yellow"/>
        </w:rPr>
        <w:t>CDR</w:t>
      </w:r>
      <w:r w:rsidRPr="00ED6FAC">
        <w:rPr>
          <w:color w:val="00B050"/>
          <w:highlight w:val="yellow"/>
        </w:rPr>
        <w:t xml:space="preserve"> </w:t>
      </w:r>
      <w:r w:rsidRPr="00ED6FAC">
        <w:rPr>
          <w:highlight w:val="yellow"/>
        </w:rPr>
        <w:t>methods, and the potential risks, or pervasive uncertainties involved with nearly all techniques (</w:t>
      </w:r>
      <w:r w:rsidRPr="00ED6FAC">
        <w:rPr>
          <w:i/>
          <w:color w:val="808080" w:themeColor="background1" w:themeShade="80"/>
          <w:highlight w:val="yellow"/>
        </w:rPr>
        <w:t>Royal Society, 2009; Rickels et al., 2011</w:t>
      </w:r>
      <w:r w:rsidRPr="00ED6FAC">
        <w:rPr>
          <w:highlight w:val="yellow"/>
        </w:rPr>
        <w:t>).</w:t>
      </w:r>
      <w:r>
        <w:t xml:space="preserve"> The potential role of geoengineering as a viable component of climate policy is yet to be determined, and it has been argued that geoengineering could become a distraction from urgent mitigation and adaptation measures (Lin; Preston, 2013).</w:t>
      </w:r>
    </w:p>
    <w:p w14:paraId="38B75CE0" w14:textId="77777777" w:rsidR="006E3232" w:rsidRDefault="006E3232" w:rsidP="00ED6FAC">
      <w:pPr>
        <w:pStyle w:val="berschrift2"/>
      </w:pPr>
      <w:bookmarkStart w:id="40" w:name="_Toc525298473"/>
      <w:r w:rsidRPr="00ED6FAC">
        <w:t>6.9.1 Carbon Dioxide Removal</w:t>
      </w:r>
      <w:bookmarkEnd w:id="40"/>
    </w:p>
    <w:p w14:paraId="6D72DBDB" w14:textId="77777777" w:rsidR="006E3232" w:rsidRDefault="006E3232" w:rsidP="00ED6FAC">
      <w:pPr>
        <w:pStyle w:val="berschrift3"/>
      </w:pPr>
      <w:bookmarkStart w:id="41" w:name="_Toc525298474"/>
      <w:r w:rsidRPr="006E3232">
        <w:t>6</w:t>
      </w:r>
      <w:r>
        <w:t>.9.1.1 P</w:t>
      </w:r>
      <w:r w:rsidRPr="006E3232">
        <w:t xml:space="preserve">roposed carbon dioxide removal methods and </w:t>
      </w:r>
      <w:r>
        <w:t>characteristics</w:t>
      </w:r>
      <w:bookmarkEnd w:id="41"/>
    </w:p>
    <w:p w14:paraId="6A6962A2" w14:textId="77777777" w:rsidR="00ED6FAC" w:rsidRDefault="00ED6FAC" w:rsidP="00ED6FAC">
      <w:r w:rsidRPr="00ED6FAC">
        <w:rPr>
          <w:highlight w:val="yellow"/>
        </w:rPr>
        <w:t xml:space="preserve">Proposed </w:t>
      </w:r>
      <w:r w:rsidRPr="00ED6FAC">
        <w:rPr>
          <w:b/>
          <w:color w:val="00B050"/>
          <w:highlight w:val="yellow"/>
        </w:rPr>
        <w:t>CDR</w:t>
      </w:r>
      <w:r w:rsidRPr="00ED6FAC">
        <w:rPr>
          <w:color w:val="00B050"/>
          <w:highlight w:val="yellow"/>
        </w:rPr>
        <w:t xml:space="preserve"> </w:t>
      </w:r>
      <w:r w:rsidRPr="00ED6FAC">
        <w:rPr>
          <w:highlight w:val="yellow"/>
        </w:rPr>
        <w:t xml:space="preserve">methods involve removing CO2 from the atmosphere and storing the carbon in land, ocean, or geological reservoirs. These methods vary greatly in their estimated costs, risks to humans and the environment, potential scalability, and notably in the depth of research about their potential and risks. Some techniques that fall within the definition of </w:t>
      </w:r>
      <w:r w:rsidRPr="00ED6FAC">
        <w:rPr>
          <w:b/>
          <w:color w:val="00B050"/>
          <w:highlight w:val="yellow"/>
        </w:rPr>
        <w:t>CDR</w:t>
      </w:r>
      <w:r w:rsidRPr="00ED6FAC">
        <w:rPr>
          <w:color w:val="00B050"/>
          <w:highlight w:val="yellow"/>
        </w:rPr>
        <w:t xml:space="preserve"> </w:t>
      </w:r>
      <w:r w:rsidRPr="00ED6FAC">
        <w:rPr>
          <w:highlight w:val="yellow"/>
        </w:rPr>
        <w:t xml:space="preserve">are also regarded as mitigation measures </w:t>
      </w:r>
      <w:r w:rsidRPr="00ED6FAC">
        <w:rPr>
          <w:highlight w:val="yellow"/>
        </w:rPr>
        <w:lastRenderedPageBreak/>
        <w:t xml:space="preserve">such as </w:t>
      </w:r>
      <w:r w:rsidRPr="00EF39E9">
        <w:rPr>
          <w:b/>
          <w:color w:val="0070C0"/>
          <w:highlight w:val="yellow"/>
        </w:rPr>
        <w:t>afforestation</w:t>
      </w:r>
      <w:r w:rsidRPr="00EF39E9">
        <w:rPr>
          <w:color w:val="0070C0"/>
          <w:highlight w:val="yellow"/>
        </w:rPr>
        <w:t xml:space="preserve"> </w:t>
      </w:r>
      <w:r w:rsidRPr="00ED6FAC">
        <w:rPr>
          <w:highlight w:val="yellow"/>
        </w:rPr>
        <w:t xml:space="preserve">and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(see Glossary).</w:t>
      </w:r>
      <w:r>
        <w:t xml:space="preserve"> </w:t>
      </w:r>
      <w:r w:rsidRPr="00ED6FAC">
        <w:rPr>
          <w:highlight w:val="yellow"/>
        </w:rPr>
        <w:t>The term ‘</w:t>
      </w:r>
      <w:r w:rsidRPr="00ED6FAC">
        <w:rPr>
          <w:b/>
          <w:color w:val="7030A0"/>
          <w:highlight w:val="yellow"/>
        </w:rPr>
        <w:t>negative emission</w:t>
      </w:r>
      <w:r w:rsidRPr="00ED6FAC">
        <w:rPr>
          <w:highlight w:val="yellow"/>
        </w:rPr>
        <w:t xml:space="preserve">s technologies’ can be used as an alternative to </w:t>
      </w:r>
      <w:r w:rsidRPr="00ED6FAC">
        <w:rPr>
          <w:b/>
          <w:color w:val="00B050"/>
          <w:highlight w:val="yellow"/>
        </w:rPr>
        <w:t>CDR</w:t>
      </w:r>
      <w:r w:rsidRPr="00ED6FAC">
        <w:rPr>
          <w:color w:val="00B050"/>
          <w:highlight w:val="yellow"/>
        </w:rPr>
        <w:t xml:space="preserve"> </w:t>
      </w:r>
      <w:r w:rsidRPr="00ED6FAC">
        <w:rPr>
          <w:highlight w:val="yellow"/>
        </w:rPr>
        <w:t>(</w:t>
      </w:r>
      <w:r w:rsidRPr="00ED6FAC">
        <w:rPr>
          <w:i/>
          <w:color w:val="808080" w:themeColor="background1" w:themeShade="80"/>
          <w:highlight w:val="yellow"/>
        </w:rPr>
        <w:t>McGlashan et al., 2012; McLaren, 2012; Tavoni and Socolow, 2013</w:t>
      </w:r>
      <w:r>
        <w:t>).</w:t>
      </w:r>
    </w:p>
    <w:p w14:paraId="67F9C747" w14:textId="77777777" w:rsidR="00ED6FAC" w:rsidRDefault="00ED6FAC" w:rsidP="00ED6FAC">
      <w:r w:rsidRPr="00ED6FAC">
        <w:rPr>
          <w:highlight w:val="yellow"/>
        </w:rPr>
        <w:t xml:space="preserve">The WG I report (Section 6.5.1) provides an extensive but not exhaustive list of </w:t>
      </w:r>
      <w:r w:rsidRPr="00ED6FAC">
        <w:rPr>
          <w:b/>
          <w:color w:val="00B050"/>
          <w:highlight w:val="yellow"/>
        </w:rPr>
        <w:t>CDR</w:t>
      </w:r>
      <w:r w:rsidRPr="00ED6FAC">
        <w:rPr>
          <w:color w:val="00B050"/>
          <w:highlight w:val="yellow"/>
        </w:rPr>
        <w:t xml:space="preserve"> </w:t>
      </w:r>
      <w:r w:rsidRPr="00ED6FAC">
        <w:rPr>
          <w:highlight w:val="yellow"/>
        </w:rPr>
        <w:t>techniques (</w:t>
      </w:r>
      <w:r w:rsidRPr="00ED6FAC">
        <w:rPr>
          <w:b/>
          <w:color w:val="FF0000"/>
          <w:highlight w:val="yellow"/>
        </w:rPr>
        <w:t>WG I</w:t>
      </w:r>
      <w:r w:rsidRPr="00ED6FAC">
        <w:rPr>
          <w:color w:val="FF0000"/>
          <w:highlight w:val="yellow"/>
        </w:rPr>
        <w:t xml:space="preserve"> </w:t>
      </w:r>
      <w:r w:rsidRPr="00ED6FAC">
        <w:rPr>
          <w:b/>
          <w:color w:val="FF0000"/>
          <w:highlight w:val="yellow"/>
        </w:rPr>
        <w:t>Table 6.14</w:t>
      </w:r>
      <w:r w:rsidRPr="00ED6FAC">
        <w:rPr>
          <w:highlight w:val="yellow"/>
        </w:rPr>
        <w:t>).</w:t>
      </w:r>
      <w:r>
        <w:t xml:space="preserve"> Here only techniques that feature more prominently in the literature are covered. This includes (1) increased land carbon sequestration by reforestation and </w:t>
      </w:r>
      <w:r w:rsidRPr="00EF39E9">
        <w:rPr>
          <w:b/>
          <w:color w:val="0070C0"/>
        </w:rPr>
        <w:t>afforestation</w:t>
      </w:r>
      <w:r>
        <w:t xml:space="preserve">, soil carbon management, or biochar (see WG III Chapter 11); (2) increased ocean carbon sequestration by ocean fertilization; (3) increased weathering through the application of ground silicates to soils or the ocean; and (4) </w:t>
      </w:r>
      <w:r w:rsidRPr="00ED6FAC">
        <w:rPr>
          <w:highlight w:val="yellow"/>
        </w:rPr>
        <w:t xml:space="preserve">chemical or biological capture with geological storage by </w:t>
      </w:r>
      <w:r w:rsidRPr="00ED6FAC">
        <w:rPr>
          <w:b/>
          <w:color w:val="F79646" w:themeColor="accent6"/>
          <w:highlight w:val="yellow"/>
        </w:rPr>
        <w:t>BECCS</w:t>
      </w:r>
      <w:r w:rsidRPr="00ED6FAC">
        <w:rPr>
          <w:color w:val="F79646" w:themeColor="accent6"/>
        </w:rPr>
        <w:t xml:space="preserve"> </w:t>
      </w:r>
      <w:r>
        <w:t xml:space="preserve">or direct air capture (DAC). </w:t>
      </w:r>
      <w:r w:rsidRPr="00ED6FAC">
        <w:rPr>
          <w:b/>
          <w:color w:val="00B050"/>
          <w:highlight w:val="yellow"/>
        </w:rPr>
        <w:t>CDR</w:t>
      </w:r>
      <w:r w:rsidRPr="00ED6FAC">
        <w:rPr>
          <w:color w:val="00B050"/>
          <w:highlight w:val="yellow"/>
        </w:rPr>
        <w:t xml:space="preserve"> </w:t>
      </w:r>
      <w:r w:rsidRPr="00ED6FAC">
        <w:rPr>
          <w:highlight w:val="yellow"/>
        </w:rPr>
        <w:t xml:space="preserve">techniques can be categorized in alternative ways. For example, they can be categorized (1) as industrial technologies versus ecosystem manipulation; (2) by the pathway for carbon dioxide capture (e. g. </w:t>
      </w:r>
      <w:r w:rsidRPr="00ED6FAC">
        <w:rPr>
          <w:i/>
          <w:color w:val="808080" w:themeColor="background1" w:themeShade="80"/>
          <w:highlight w:val="yellow"/>
        </w:rPr>
        <w:t>McLaren, 2012; Caldeira et al., 2013</w:t>
      </w:r>
      <w:r w:rsidRPr="00ED6FAC">
        <w:rPr>
          <w:highlight w:val="yellow"/>
        </w:rPr>
        <w:t>); (3) by the fate of the stored carbon (</w:t>
      </w:r>
      <w:r w:rsidRPr="00ED6FAC">
        <w:rPr>
          <w:i/>
          <w:color w:val="808080" w:themeColor="background1" w:themeShade="80"/>
          <w:highlight w:val="yellow"/>
        </w:rPr>
        <w:t>Stephens and Keith, 2008</w:t>
      </w:r>
      <w:r w:rsidRPr="00ED6FAC">
        <w:rPr>
          <w:highlight w:val="yellow"/>
        </w:rPr>
        <w:t>); and (4) by the scale of implementation (</w:t>
      </w:r>
      <w:r w:rsidRPr="00ED6FAC">
        <w:rPr>
          <w:i/>
          <w:color w:val="808080" w:themeColor="background1" w:themeShade="80"/>
          <w:highlight w:val="yellow"/>
        </w:rPr>
        <w:t>Boucher et al., 2013</w:t>
      </w:r>
      <w:r w:rsidRPr="00ED6FAC">
        <w:rPr>
          <w:highlight w:val="yellow"/>
        </w:rPr>
        <w:t>). Removal of other GHGs, e. g., CH4 and N2O, have also been proposed (</w:t>
      </w:r>
      <w:r w:rsidRPr="00ED6FAC">
        <w:rPr>
          <w:i/>
          <w:color w:val="808080" w:themeColor="background1" w:themeShade="80"/>
          <w:highlight w:val="yellow"/>
        </w:rPr>
        <w:t>Boucher and Folberth, 2010; de Richter and Caillol, 2011; Stolaroff et al., 2012</w:t>
      </w:r>
      <w:r w:rsidRPr="00ED6FAC">
        <w:rPr>
          <w:highlight w:val="yellow"/>
        </w:rPr>
        <w:t>).</w:t>
      </w:r>
      <w:r>
        <w:t xml:space="preserve"> </w:t>
      </w:r>
    </w:p>
    <w:p w14:paraId="745ED43E" w14:textId="77777777" w:rsidR="00ED6FAC" w:rsidRDefault="00ED6FAC" w:rsidP="00ED6FAC">
      <w:r w:rsidRPr="00ED6FAC">
        <w:rPr>
          <w:highlight w:val="yellow"/>
        </w:rPr>
        <w:t xml:space="preserve">All </w:t>
      </w:r>
      <w:r w:rsidRPr="00ED6FAC">
        <w:rPr>
          <w:b/>
          <w:color w:val="00B050"/>
          <w:highlight w:val="yellow"/>
        </w:rPr>
        <w:t>CDR</w:t>
      </w:r>
      <w:r w:rsidRPr="00ED6FAC">
        <w:rPr>
          <w:color w:val="00B050"/>
          <w:highlight w:val="yellow"/>
        </w:rPr>
        <w:t xml:space="preserve"> </w:t>
      </w:r>
      <w:r w:rsidRPr="00ED6FAC">
        <w:rPr>
          <w:highlight w:val="yellow"/>
        </w:rPr>
        <w:t>techniques have a similar slow impact on rates of warming as mitigation measures (</w:t>
      </w:r>
      <w:r w:rsidRPr="00ED6FAC">
        <w:rPr>
          <w:i/>
          <w:color w:val="808080" w:themeColor="background1" w:themeShade="80"/>
          <w:highlight w:val="yellow"/>
        </w:rPr>
        <w:t>van Vuuren and Stehfest, 2013</w:t>
      </w:r>
      <w:r w:rsidRPr="00ED6FAC">
        <w:rPr>
          <w:highlight w:val="yellow"/>
        </w:rPr>
        <w:t xml:space="preserve">) (see WG I Section 6.5.1). An atmospheric ‘rebound effect’ (see WG I Glossary) dictates that </w:t>
      </w:r>
      <w:r w:rsidRPr="00ED6FAC">
        <w:rPr>
          <w:b/>
          <w:color w:val="00B050"/>
          <w:highlight w:val="yellow"/>
        </w:rPr>
        <w:t>CDR</w:t>
      </w:r>
      <w:r w:rsidRPr="00ED6FAC">
        <w:rPr>
          <w:color w:val="00B050"/>
          <w:highlight w:val="yellow"/>
        </w:rPr>
        <w:t xml:space="preserve"> </w:t>
      </w:r>
      <w:r w:rsidRPr="00ED6FAC">
        <w:rPr>
          <w:highlight w:val="yellow"/>
        </w:rPr>
        <w:t>requires roughly twice as much CO2 removed from the atmosphere for any desired net reduction in atmospheric CO2 concentration, as some CO2 will be returned from the natural carbon sinks (</w:t>
      </w:r>
      <w:r w:rsidRPr="00ED6FAC">
        <w:rPr>
          <w:i/>
          <w:color w:val="808080" w:themeColor="background1" w:themeShade="80"/>
          <w:highlight w:val="yellow"/>
        </w:rPr>
        <w:t>Lenton and Vaughan, 2009; Matthews, 2010</w:t>
      </w:r>
      <w:r w:rsidRPr="00ED6FAC">
        <w:rPr>
          <w:highlight w:val="yellow"/>
        </w:rPr>
        <w:t xml:space="preserve">). Permanence of the storage reservoir is a key consideration for </w:t>
      </w:r>
      <w:r w:rsidRPr="00ED6FAC">
        <w:rPr>
          <w:b/>
          <w:color w:val="00B050"/>
          <w:highlight w:val="yellow"/>
        </w:rPr>
        <w:t>CDR</w:t>
      </w:r>
      <w:r w:rsidRPr="00ED6FAC">
        <w:rPr>
          <w:color w:val="00B050"/>
          <w:highlight w:val="yellow"/>
        </w:rPr>
        <w:t xml:space="preserve"> </w:t>
      </w:r>
      <w:r w:rsidRPr="00ED6FAC">
        <w:rPr>
          <w:highlight w:val="yellow"/>
        </w:rPr>
        <w:t>efficacy. Permanent (larger than tens of thousands of years) could be geological reservoirs while nonpermanent reservoirs include oceans and land (the latter could, among others, be affected by the magnitude of future climate change) (see WG I Section 6.5.1). Storage capacity estimates suggest geological reservoirs could store several thousand GtC; the oceans a few thousand GtC in the long term, and the land may have the potential to store the equivalent to historical land-use loss of 180 ±  80 GtC (also see Table 6.15 of WG I)(</w:t>
      </w:r>
      <w:r w:rsidRPr="00ED6FAC">
        <w:rPr>
          <w:i/>
          <w:color w:val="808080" w:themeColor="background1" w:themeShade="80"/>
          <w:highlight w:val="yellow"/>
        </w:rPr>
        <w:t>IPCC, 2005; House et al., 2006; Orr, 2009; Matthews, 2010</w:t>
      </w:r>
      <w:r w:rsidRPr="00ED6FAC">
        <w:rPr>
          <w:highlight w:val="yellow"/>
        </w:rPr>
        <w:t>).</w:t>
      </w:r>
      <w:r>
        <w:t xml:space="preserve"> </w:t>
      </w:r>
    </w:p>
    <w:p w14:paraId="75014C7A" w14:textId="77777777" w:rsidR="00ED6FAC" w:rsidRDefault="00ED6FAC" w:rsidP="00ED6FAC">
      <w:r>
        <w:t>Ocean fertilization field experiments show no consensus on the efficacy of iron fertilization (Boyd et al., 2007; Smetacek et al., 2012). Modelling studies estimate between 15 ppm and less than 100 ppm drawdown of CO2 from the atmosphere over 100 years (Zeebe and Archer, 2005; Cao and Caldeira, 2010) while simulations of mechanical upwelling suggest 0.9 Gt / yr (Oschlies et al., 2010). The latter technique has not been field tested. There are a number of possible risks including downstream decrease in productivity, expanded regions of low-oxygen concentration, and increased N2O emissions (See WG I Section 6.5.3.2) (low confidence). Given the uncertainties surrounding effectiveness and impacts, this CDR technique is at a research phase with no active commercial ventures. Furthermore, current international governance states that marine geoengineering including ocean fertilization is to be regulated under amendments to the London Convention / London Protocol on the Prevention of Marine Pollution by Dumping of Wastes and Other Matter, only allowing legitimate scientific research (Güssow et al., 2010; International Maritime Organization, 2013).</w:t>
      </w:r>
    </w:p>
    <w:p w14:paraId="4DDFCB32" w14:textId="77777777" w:rsidR="00ED6FAC" w:rsidRDefault="00ED6FAC" w:rsidP="00ED6FAC">
      <w:r>
        <w:t xml:space="preserve">Enhanced weathering on land using silicate minerals mined, crushed, transported, and spread on soils has been estimated to have a potential capacity, in an idealized study, of 1 GtC / yr (Köhler et al., 2010). </w:t>
      </w:r>
      <w:r w:rsidRPr="00ED6FAC">
        <w:rPr>
          <w:highlight w:val="yellow"/>
        </w:rPr>
        <w:t xml:space="preserve">Ocean-based weathering </w:t>
      </w:r>
      <w:r w:rsidRPr="00ED6FAC">
        <w:rPr>
          <w:b/>
          <w:color w:val="00B050"/>
          <w:highlight w:val="yellow"/>
        </w:rPr>
        <w:t>CDR</w:t>
      </w:r>
      <w:r w:rsidRPr="00ED6FAC">
        <w:rPr>
          <w:color w:val="00B050"/>
          <w:highlight w:val="yellow"/>
        </w:rPr>
        <w:t xml:space="preserve"> </w:t>
      </w:r>
      <w:r w:rsidRPr="00ED6FAC">
        <w:rPr>
          <w:highlight w:val="yellow"/>
        </w:rPr>
        <w:t xml:space="preserve">methods include use of carbonate or silicate minerals processed or added </w:t>
      </w:r>
      <w:r w:rsidRPr="00ED6FAC">
        <w:rPr>
          <w:highlight w:val="yellow"/>
        </w:rPr>
        <w:lastRenderedPageBreak/>
        <w:t>directly to the ocean (see WG I Section 6.5.2.3).</w:t>
      </w:r>
      <w:r>
        <w:t xml:space="preserve"> All of these measures involve a notable energy demand through mining, crushing, and transporting bulk materials. Preliminary hypothetical cost estimates are in the order of 23 – 66 USD / tCO2 (Rau and Caldeira, 1999; Rau et al., 2007) for land and 51 – 64 USD / tCO2 for ocean methods (McLaren, 2012). The confidence level on the carbon cycle impacts of enhanced weathering is low (WG I Section 6.5.3.3). </w:t>
      </w:r>
    </w:p>
    <w:p w14:paraId="1D832624" w14:textId="77777777" w:rsidR="00ED6FAC" w:rsidRDefault="00ED6FAC" w:rsidP="00ED6FAC">
      <w:r w:rsidRPr="00ED6FAC">
        <w:rPr>
          <w:highlight w:val="yellow"/>
        </w:rPr>
        <w:t>The use of CCS technologies (IPCC, 2005) with biomass energy also creates a carbon sink (</w:t>
      </w:r>
      <w:r w:rsidRPr="00ED6FAC">
        <w:rPr>
          <w:i/>
          <w:color w:val="808080" w:themeColor="background1" w:themeShade="80"/>
          <w:highlight w:val="yellow"/>
        </w:rPr>
        <w:t>Azar et al., 2006; Gough and Upham, 2011</w:t>
      </w:r>
      <w:r w:rsidRPr="00ED6FAC">
        <w:rPr>
          <w:highlight w:val="yellow"/>
        </w:rPr>
        <w:t xml:space="preserve">).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is included in the RCP 2.6 (</w:t>
      </w:r>
      <w:r w:rsidRPr="00ED6FAC">
        <w:rPr>
          <w:i/>
          <w:color w:val="808080" w:themeColor="background1" w:themeShade="80"/>
          <w:highlight w:val="yellow"/>
        </w:rPr>
        <w:t>van Vuuren et al., 2007, 2011b</w:t>
      </w:r>
      <w:r w:rsidRPr="00ED6FAC">
        <w:rPr>
          <w:highlight w:val="yellow"/>
        </w:rPr>
        <w:t xml:space="preserve">) and a wide range of scenarios reaching similar and higher concentration goals. From a technical perspective,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is very similar to a combination of other techniques that are part of the mitigation portfolio: the production of bio-energy and CCS for fossil fuels. Estimates of the global technical potential for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vary greatly ranging from 3 to more than 10 GtCO2 / yr (</w:t>
      </w:r>
      <w:r w:rsidRPr="00ED6FAC">
        <w:rPr>
          <w:i/>
          <w:color w:val="808080" w:themeColor="background1" w:themeShade="80"/>
          <w:highlight w:val="yellow"/>
        </w:rPr>
        <w:t>Koornneef et al., 2012; McLaren, 2012; van Vuuren et al., 2013</w:t>
      </w:r>
      <w:r w:rsidRPr="00ED6FAC">
        <w:rPr>
          <w:highlight w:val="yellow"/>
        </w:rPr>
        <w:t>), while initial cost estimates also vary greatly from around 60 to 250 USD / tCO2 (</w:t>
      </w:r>
      <w:r w:rsidRPr="00ED6FAC">
        <w:rPr>
          <w:i/>
          <w:color w:val="808080" w:themeColor="background1" w:themeShade="80"/>
          <w:highlight w:val="yellow"/>
        </w:rPr>
        <w:t>McGlashan et al., 2012; McLaren, 2012</w:t>
      </w:r>
      <w:r w:rsidRPr="00ED6FAC">
        <w:rPr>
          <w:highlight w:val="yellow"/>
        </w:rPr>
        <w:t>). Important limiting factors for BECCS include land availability, a sustainable supply of biomass and storage capacity (</w:t>
      </w:r>
      <w:r w:rsidRPr="00ED6FAC">
        <w:rPr>
          <w:i/>
          <w:color w:val="808080" w:themeColor="background1" w:themeShade="80"/>
          <w:highlight w:val="yellow"/>
        </w:rPr>
        <w:t>Gough and Upham, 2011; McLaren, 2012</w:t>
      </w:r>
      <w:r w:rsidRPr="00ED6FAC">
        <w:rPr>
          <w:highlight w:val="yellow"/>
        </w:rPr>
        <w:t>). There is also a potential issue of competition for biomass under bioenergy-dependent mitigation pathways.</w:t>
      </w:r>
    </w:p>
    <w:p w14:paraId="4B5AF8E9" w14:textId="77777777" w:rsidR="006E3232" w:rsidRPr="006E3232" w:rsidRDefault="00ED6FAC" w:rsidP="00ED6FAC">
      <w:r>
        <w:t xml:space="preserve">Direct air capture uses a sorbent to capture CO2 from the atmosphere and the long-term storage of the captured CO2 in geological reservoirs (GAO, 2011; McGlashan et al., 2012; McLaren, 2012). There are a number of proposed capture methods including adsorption of CO2 using amines in a solid form and the use of wet scrubbing systems based on calcium </w:t>
      </w:r>
      <w:r w:rsidRPr="00ED6FAC">
        <w:t xml:space="preserve">or sodium cycling. Current research efforts focus on capture methodologies (Keith et al., 2006; Baciocchi et al., 2006; Lackner, 2009; Eisenberger et al., 2009; Socolow et al., 2011) with storage technologies assumed to be the same as CCS (IPCC, 2005). A U. S. Government Accountability Office (GAO) (2011) technology assessment concluded that all DAC methods were currently immature. A review of initial hypothetical cost estimates, summarizes 40 – 300 USD / tCO2 for supported amines and 165 – 600 USD / tCO2 for sodium or calcium scrubbers (McLaren, 2012) reflecting an ongoing debate across very limited literature. </w:t>
      </w:r>
      <w:r w:rsidRPr="00ED6FAC">
        <w:rPr>
          <w:highlight w:val="yellow"/>
        </w:rPr>
        <w:t xml:space="preserve">Carbon dioxide captured through CCS, </w:t>
      </w:r>
      <w:r w:rsidRPr="00ED6FAC">
        <w:rPr>
          <w:b/>
          <w:color w:val="F79646" w:themeColor="accent6"/>
          <w:highlight w:val="yellow"/>
        </w:rPr>
        <w:t>BECCS</w:t>
      </w:r>
      <w:r w:rsidRPr="00ED6FAC">
        <w:rPr>
          <w:highlight w:val="yellow"/>
        </w:rPr>
        <w:t xml:space="preserve">, and </w:t>
      </w:r>
      <w:r w:rsidRPr="00ED6FAC">
        <w:rPr>
          <w:b/>
          <w:color w:val="00B0F0"/>
          <w:highlight w:val="yellow"/>
        </w:rPr>
        <w:t>DAC</w:t>
      </w:r>
      <w:r w:rsidRPr="00ED6FAC">
        <w:rPr>
          <w:color w:val="00B0F0"/>
          <w:highlight w:val="yellow"/>
        </w:rPr>
        <w:t xml:space="preserve"> </w:t>
      </w:r>
      <w:r w:rsidRPr="00ED6FAC">
        <w:rPr>
          <w:highlight w:val="yellow"/>
        </w:rPr>
        <w:t>are all intended to use the same storage reservoirs (in particular deep geologic reservoirs), potentially limiting their combined use under a transition pathway</w:t>
      </w:r>
      <w:r w:rsidRPr="00ED6FAC">
        <w:t>.</w:t>
      </w:r>
    </w:p>
    <w:p w14:paraId="7C0BE792" w14:textId="77777777" w:rsidR="006E3232" w:rsidRDefault="006E3232" w:rsidP="00ED6FAC">
      <w:pPr>
        <w:pStyle w:val="berschrift3"/>
      </w:pPr>
      <w:bookmarkStart w:id="42" w:name="_Toc525298475"/>
      <w:r w:rsidRPr="006E3232">
        <w:t>6</w:t>
      </w:r>
      <w:r>
        <w:t>.9.1.2 Role of Carbon Dioxide Removal in the context of transformation pathways</w:t>
      </w:r>
      <w:bookmarkEnd w:id="42"/>
    </w:p>
    <w:p w14:paraId="6FBFBF93" w14:textId="77777777" w:rsidR="00ED6FAC" w:rsidRDefault="00ED6FAC">
      <w:r w:rsidRPr="00ED6FAC">
        <w:rPr>
          <w:highlight w:val="yellow"/>
        </w:rPr>
        <w:t xml:space="preserve">Two of the </w:t>
      </w:r>
      <w:r w:rsidRPr="00ED6FAC">
        <w:rPr>
          <w:b/>
          <w:color w:val="00B050"/>
          <w:highlight w:val="yellow"/>
        </w:rPr>
        <w:t>CDR</w:t>
      </w:r>
      <w:r w:rsidRPr="00ED6FAC">
        <w:rPr>
          <w:color w:val="00B050"/>
          <w:highlight w:val="yellow"/>
        </w:rPr>
        <w:t xml:space="preserve"> </w:t>
      </w:r>
      <w:r w:rsidRPr="00ED6FAC">
        <w:rPr>
          <w:highlight w:val="yellow"/>
        </w:rPr>
        <w:t xml:space="preserve">techniques listed above,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and </w:t>
      </w:r>
      <w:r w:rsidRPr="00ED6FAC">
        <w:rPr>
          <w:b/>
          <w:color w:val="0070C0"/>
          <w:highlight w:val="yellow"/>
        </w:rPr>
        <w:t>afforestation</w:t>
      </w:r>
      <w:r w:rsidRPr="00ED6FAC">
        <w:rPr>
          <w:highlight w:val="yellow"/>
        </w:rPr>
        <w:t xml:space="preserve">, are already evaluated in the current integrated models. For concentration goals on the order of 430 – 530 ppm CO2eq by 2100,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forms an essential component of the response strategy for climate change in the majority of scenarios in the literature, particularly in the context of concentration overshoot. As discussed in </w:t>
      </w:r>
      <w:r w:rsidRPr="00ED6FAC">
        <w:rPr>
          <w:b/>
          <w:color w:val="FF0000"/>
          <w:highlight w:val="yellow"/>
        </w:rPr>
        <w:t>Section 6.2.2</w:t>
      </w:r>
      <w:r w:rsidRPr="00ED6FAC">
        <w:rPr>
          <w:highlight w:val="yellow"/>
        </w:rPr>
        <w:t xml:space="preserve">,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offers additional mitigation potential, but also an option to delay some of the drastic mitigation action that would need to happen to reach lower GHG-concentration goals by the second half of the century. In scenarios aiming at such low-concentration levels,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is usually competitive with conventional mitigation technologies, but only after these have been deployed at very large scale (</w:t>
      </w:r>
      <w:r w:rsidRPr="00ED6FAC">
        <w:rPr>
          <w:i/>
          <w:color w:val="808080" w:themeColor="background1" w:themeShade="80"/>
          <w:highlight w:val="yellow"/>
        </w:rPr>
        <w:t>see Azar et al., 2010; Tavoni and Socolow, 2013</w:t>
      </w:r>
      <w:r w:rsidRPr="00ED6FAC">
        <w:rPr>
          <w:highlight w:val="yellow"/>
        </w:rPr>
        <w:t xml:space="preserve">). At same time,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applications do not feature in less ambitious mitigation pathways (van Vuuren et al., 2011a). Key implications of the use of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 xml:space="preserve">in transition pathways is that emission reduction decisions are directly related to expected availability and deployment of </w:t>
      </w:r>
      <w:r w:rsidRPr="00ED6FAC">
        <w:rPr>
          <w:b/>
          <w:color w:val="F79646" w:themeColor="accent6"/>
          <w:highlight w:val="yellow"/>
        </w:rPr>
        <w:t>BECCS</w:t>
      </w:r>
      <w:r w:rsidRPr="00ED6FAC">
        <w:rPr>
          <w:color w:val="F79646" w:themeColor="accent6"/>
          <w:highlight w:val="yellow"/>
        </w:rPr>
        <w:t xml:space="preserve"> </w:t>
      </w:r>
      <w:r w:rsidRPr="00ED6FAC">
        <w:rPr>
          <w:highlight w:val="yellow"/>
        </w:rPr>
        <w:t>in the second half of the century and that scenarios might temporarily overshoot temperature or concentration goals.</w:t>
      </w:r>
    </w:p>
    <w:p w14:paraId="2A256E34" w14:textId="77777777" w:rsidR="00EF39E9" w:rsidRDefault="00EF39E9">
      <w:r w:rsidRPr="00EF39E9">
        <w:lastRenderedPageBreak/>
        <w:t xml:space="preserve">The vast majority of scenarios in the literature show CO2 emissions of LUC become negative in the second half of the century — even in the absence of mitigation policy (see Section 6.3.2). This is a consequence of demographic trends and assumptions on land-use policy. </w:t>
      </w:r>
      <w:r w:rsidRPr="00EF39E9">
        <w:rPr>
          <w:highlight w:val="yellow"/>
        </w:rPr>
        <w:t xml:space="preserve">Additionally </w:t>
      </w:r>
      <w:r w:rsidRPr="00EF39E9">
        <w:rPr>
          <w:b/>
          <w:color w:val="0070C0"/>
          <w:highlight w:val="yellow"/>
        </w:rPr>
        <w:t>afforestation</w:t>
      </w:r>
      <w:r w:rsidRPr="00EF39E9">
        <w:rPr>
          <w:color w:val="0070C0"/>
          <w:highlight w:val="yellow"/>
        </w:rPr>
        <w:t xml:space="preserve"> </w:t>
      </w:r>
      <w:r w:rsidRPr="00EF39E9">
        <w:rPr>
          <w:highlight w:val="yellow"/>
        </w:rPr>
        <w:t xml:space="preserve">as part of mitigation policy is included in a smaller set of models. In these models, </w:t>
      </w:r>
      <w:r w:rsidRPr="00EF39E9">
        <w:rPr>
          <w:b/>
          <w:color w:val="0070C0"/>
          <w:highlight w:val="yellow"/>
        </w:rPr>
        <w:t>afforestation</w:t>
      </w:r>
      <w:r w:rsidRPr="00EF39E9">
        <w:rPr>
          <w:color w:val="0070C0"/>
          <w:highlight w:val="yellow"/>
        </w:rPr>
        <w:t xml:space="preserve"> </w:t>
      </w:r>
      <w:r w:rsidRPr="00EF39E9">
        <w:rPr>
          <w:highlight w:val="yellow"/>
        </w:rPr>
        <w:t>measures increase for lower-concentration categories, potentially leading to net uptake of carbon of around 10 GtCO2 / yr.</w:t>
      </w:r>
    </w:p>
    <w:p w14:paraId="790187D8" w14:textId="77777777" w:rsidR="00FD0058" w:rsidRDefault="00FD0058" w:rsidP="00FD0058">
      <w:r w:rsidRPr="00FD0058">
        <w:rPr>
          <w:highlight w:val="yellow"/>
        </w:rPr>
        <w:t xml:space="preserve">There are broader discussions in the literature regarding the technological challenges and potential risks of large-scale </w:t>
      </w:r>
      <w:r w:rsidRPr="00FD0058">
        <w:rPr>
          <w:b/>
          <w:color w:val="F79646" w:themeColor="accent6"/>
          <w:highlight w:val="yellow"/>
        </w:rPr>
        <w:t>BECCS</w:t>
      </w:r>
      <w:r w:rsidRPr="00FD0058">
        <w:rPr>
          <w:color w:val="F79646" w:themeColor="accent6"/>
          <w:highlight w:val="yellow"/>
        </w:rPr>
        <w:t xml:space="preserve"> </w:t>
      </w:r>
      <w:r w:rsidRPr="00FD0058">
        <w:rPr>
          <w:highlight w:val="yellow"/>
        </w:rPr>
        <w:t xml:space="preserve">deployment. The potential role of </w:t>
      </w:r>
      <w:r w:rsidRPr="00FD0058">
        <w:rPr>
          <w:b/>
          <w:color w:val="F79646" w:themeColor="accent6"/>
          <w:highlight w:val="yellow"/>
        </w:rPr>
        <w:t>BECCS</w:t>
      </w:r>
      <w:r w:rsidRPr="00FD0058">
        <w:rPr>
          <w:color w:val="F79646" w:themeColor="accent6"/>
          <w:highlight w:val="yellow"/>
        </w:rPr>
        <w:t xml:space="preserve"> </w:t>
      </w:r>
      <w:r w:rsidRPr="00FD0058">
        <w:rPr>
          <w:highlight w:val="yellow"/>
        </w:rPr>
        <w:t xml:space="preserve">will be influenced by the sustainable supply of large-scale biomass feedstock and feasibility of capture, transport, and long-term underground storage of CO2 as well as the perceptions of these issues. The use of </w:t>
      </w:r>
      <w:r w:rsidRPr="00FD0058">
        <w:rPr>
          <w:b/>
          <w:color w:val="F79646" w:themeColor="accent6"/>
          <w:highlight w:val="yellow"/>
        </w:rPr>
        <w:t>BECCS</w:t>
      </w:r>
      <w:r w:rsidRPr="00FD0058">
        <w:rPr>
          <w:color w:val="F79646" w:themeColor="accent6"/>
          <w:highlight w:val="yellow"/>
        </w:rPr>
        <w:t xml:space="preserve"> </w:t>
      </w:r>
      <w:r w:rsidRPr="00FD0058">
        <w:rPr>
          <w:highlight w:val="yellow"/>
        </w:rPr>
        <w:t xml:space="preserve">faces large challenges in financing, and currently no such plants have been built and tested at scale. Integrated modeling studies have therefore explored the sensitivities regarding the availability of </w:t>
      </w:r>
      <w:r w:rsidRPr="00FD0058">
        <w:rPr>
          <w:b/>
          <w:color w:val="F79646" w:themeColor="accent6"/>
          <w:highlight w:val="yellow"/>
        </w:rPr>
        <w:t>BECCS</w:t>
      </w:r>
      <w:r w:rsidRPr="00FD0058">
        <w:rPr>
          <w:color w:val="F79646" w:themeColor="accent6"/>
          <w:highlight w:val="yellow"/>
        </w:rPr>
        <w:t xml:space="preserve"> </w:t>
      </w:r>
      <w:r w:rsidRPr="00FD0058">
        <w:rPr>
          <w:highlight w:val="yellow"/>
        </w:rPr>
        <w:t>in the technology portfolio by limiting bioenergy supply or CCS storage (</w:t>
      </w:r>
      <w:r w:rsidRPr="00FD0058">
        <w:rPr>
          <w:b/>
          <w:color w:val="FF0000"/>
          <w:highlight w:val="yellow"/>
        </w:rPr>
        <w:t>Section 6.3.6.3</w:t>
      </w:r>
      <w:r w:rsidRPr="00FD0058">
        <w:rPr>
          <w:highlight w:val="yellow"/>
        </w:rPr>
        <w:t>).</w:t>
      </w:r>
    </w:p>
    <w:p w14:paraId="4AC56A32" w14:textId="77777777" w:rsidR="00FD0058" w:rsidRDefault="00FD0058" w:rsidP="00FD0058">
      <w:r w:rsidRPr="00FD0058">
        <w:rPr>
          <w:highlight w:val="yellow"/>
        </w:rPr>
        <w:t xml:space="preserve">Only a few papers have assessed the role of </w:t>
      </w:r>
      <w:r w:rsidRPr="00FD0058">
        <w:rPr>
          <w:b/>
          <w:color w:val="00B0F0"/>
          <w:highlight w:val="yellow"/>
        </w:rPr>
        <w:t>DAC</w:t>
      </w:r>
      <w:r w:rsidRPr="00FD0058">
        <w:rPr>
          <w:color w:val="00B0F0"/>
          <w:highlight w:val="yellow"/>
        </w:rPr>
        <w:t xml:space="preserve"> </w:t>
      </w:r>
      <w:r w:rsidRPr="00FD0058">
        <w:rPr>
          <w:highlight w:val="yellow"/>
        </w:rPr>
        <w:t xml:space="preserve">in mitigation scenarios (e. g. </w:t>
      </w:r>
      <w:r w:rsidRPr="00FD0058">
        <w:rPr>
          <w:i/>
          <w:color w:val="808080" w:themeColor="background1" w:themeShade="80"/>
          <w:highlight w:val="yellow"/>
        </w:rPr>
        <w:t>Keith et al., 2006; Keller et al., 2008a; Pielke Jr, 2009; Nemet and Brandt, 2012; Chen and Tavoni, 2013</w:t>
      </w:r>
      <w:r w:rsidRPr="00FD0058">
        <w:rPr>
          <w:highlight w:val="yellow"/>
        </w:rPr>
        <w:t xml:space="preserve">). These studies generally show that the contribution of </w:t>
      </w:r>
      <w:r w:rsidRPr="00FD0058">
        <w:rPr>
          <w:b/>
          <w:color w:val="00B0F0"/>
          <w:highlight w:val="yellow"/>
        </w:rPr>
        <w:t>DAC</w:t>
      </w:r>
      <w:r w:rsidRPr="00FD0058">
        <w:rPr>
          <w:color w:val="00B0F0"/>
          <w:highlight w:val="yellow"/>
        </w:rPr>
        <w:t xml:space="preserve"> </w:t>
      </w:r>
      <w:r w:rsidRPr="00FD0058">
        <w:rPr>
          <w:highlight w:val="yellow"/>
        </w:rPr>
        <w:t xml:space="preserve">hinges critically on the stringency of the concentration goal, the costs relative to other mitigation technologies, time discounting and assumptions about scalability. In these models, the influence of </w:t>
      </w:r>
      <w:r w:rsidRPr="00FD0058">
        <w:rPr>
          <w:b/>
          <w:color w:val="00B0F0"/>
          <w:highlight w:val="yellow"/>
        </w:rPr>
        <w:t>DAC</w:t>
      </w:r>
      <w:r w:rsidRPr="00FD0058">
        <w:rPr>
          <w:color w:val="00B0F0"/>
          <w:highlight w:val="yellow"/>
        </w:rPr>
        <w:t xml:space="preserve"> </w:t>
      </w:r>
      <w:r w:rsidRPr="00FD0058">
        <w:rPr>
          <w:highlight w:val="yellow"/>
        </w:rPr>
        <w:t xml:space="preserve">on the mitigation pathways is similar to that of </w:t>
      </w:r>
      <w:r w:rsidRPr="00FD0058">
        <w:rPr>
          <w:b/>
          <w:color w:val="F79646" w:themeColor="accent6"/>
          <w:highlight w:val="yellow"/>
        </w:rPr>
        <w:t>BECCS</w:t>
      </w:r>
      <w:r w:rsidRPr="00FD0058">
        <w:rPr>
          <w:color w:val="F79646" w:themeColor="accent6"/>
          <w:highlight w:val="yellow"/>
        </w:rPr>
        <w:t xml:space="preserve"> </w:t>
      </w:r>
      <w:r w:rsidRPr="00FD0058">
        <w:rPr>
          <w:highlight w:val="yellow"/>
        </w:rPr>
        <w:t>(assuming similar costs). That is, it leads to a delay in short-term emission reduction in favour of further reductions in the second half of the century. Other techniques are even less mature and currently not evaluated in integrated models.</w:t>
      </w:r>
    </w:p>
    <w:p w14:paraId="1287DC67" w14:textId="77777777" w:rsidR="00ED6FAC" w:rsidRDefault="00ED6FAC">
      <w:r w:rsidRPr="00ED6FAC">
        <w:rPr>
          <w:highlight w:val="yellow"/>
        </w:rPr>
        <w:t xml:space="preserve">There are some constraints to the use of </w:t>
      </w:r>
      <w:r w:rsidRPr="00ED6FAC">
        <w:rPr>
          <w:b/>
          <w:color w:val="00B050"/>
          <w:highlight w:val="yellow"/>
        </w:rPr>
        <w:t>CDR</w:t>
      </w:r>
      <w:r w:rsidRPr="00ED6FAC">
        <w:rPr>
          <w:color w:val="00B050"/>
          <w:highlight w:val="yellow"/>
        </w:rPr>
        <w:t xml:space="preserve"> </w:t>
      </w:r>
      <w:r w:rsidRPr="00ED6FAC">
        <w:rPr>
          <w:highlight w:val="yellow"/>
        </w:rPr>
        <w:t>techniques as emphasized in the scenario analysis.</w:t>
      </w:r>
      <w:r w:rsidRPr="00ED6FAC">
        <w:t xml:space="preserve"> </w:t>
      </w:r>
      <w:r w:rsidRPr="00ED6FAC">
        <w:rPr>
          <w:highlight w:val="yellow"/>
        </w:rPr>
        <w:t xml:space="preserve">First of all, the potential for </w:t>
      </w:r>
      <w:r w:rsidRPr="00ED6FAC">
        <w:rPr>
          <w:b/>
          <w:color w:val="F79646" w:themeColor="accent6"/>
          <w:highlight w:val="yellow"/>
        </w:rPr>
        <w:t>BECCS</w:t>
      </w:r>
      <w:r w:rsidRPr="00ED6FAC">
        <w:rPr>
          <w:highlight w:val="yellow"/>
        </w:rPr>
        <w:t xml:space="preserve">, </w:t>
      </w:r>
      <w:r w:rsidRPr="00ED6FAC">
        <w:rPr>
          <w:b/>
          <w:color w:val="0070C0"/>
          <w:highlight w:val="yellow"/>
        </w:rPr>
        <w:t>afforestation</w:t>
      </w:r>
      <w:r w:rsidRPr="00ED6FAC">
        <w:rPr>
          <w:highlight w:val="yellow"/>
        </w:rPr>
        <w:t xml:space="preserve">, and </w:t>
      </w:r>
      <w:r w:rsidRPr="00ED6FAC">
        <w:rPr>
          <w:b/>
          <w:color w:val="4BACC6" w:themeColor="accent5"/>
          <w:highlight w:val="yellow"/>
        </w:rPr>
        <w:t>DAC</w:t>
      </w:r>
      <w:r w:rsidRPr="00ED6FAC">
        <w:rPr>
          <w:color w:val="4BACC6" w:themeColor="accent5"/>
          <w:highlight w:val="yellow"/>
        </w:rPr>
        <w:t xml:space="preserve"> </w:t>
      </w:r>
      <w:r w:rsidRPr="00ED6FAC">
        <w:rPr>
          <w:highlight w:val="yellow"/>
        </w:rPr>
        <w:t>are constrained on the basis of available land and / or safe geologic storage potential for CO2.</w:t>
      </w:r>
      <w:r w:rsidRPr="00ED6FAC">
        <w:t xml:space="preserve"> Both the potential for sustainable bio-energy use (including competition with other demands, e. g., food, fibre, and fuel production) and the potential to store &gt; 100 GtC of CO2 per decade for many decades are very uncertain (see previous section) and raise important societal concerns. </w:t>
      </w:r>
      <w:r w:rsidRPr="00ED6FAC">
        <w:rPr>
          <w:highlight w:val="yellow"/>
        </w:rPr>
        <w:t xml:space="preserve">Finally, the largescale availability of </w:t>
      </w:r>
      <w:r w:rsidRPr="00ED6FAC">
        <w:rPr>
          <w:b/>
          <w:color w:val="00B050"/>
          <w:highlight w:val="yellow"/>
        </w:rPr>
        <w:t>CDR</w:t>
      </w:r>
      <w:r w:rsidRPr="00ED6FAC">
        <w:rPr>
          <w:highlight w:val="yellow"/>
        </w:rPr>
        <w:t>, by shifting the mitigation burden in time, could also exacerbate inter-generational impacts.</w:t>
      </w:r>
    </w:p>
    <w:p w14:paraId="011F25E7" w14:textId="77777777" w:rsidR="00ED6FAC" w:rsidRDefault="00ED6FAC" w:rsidP="00ED6FAC">
      <w:pPr>
        <w:pStyle w:val="berschrift2"/>
      </w:pPr>
      <w:bookmarkStart w:id="43" w:name="_Toc525298476"/>
      <w:r>
        <w:t>6.9.2 Solar Radiation Management</w:t>
      </w:r>
      <w:bookmarkEnd w:id="43"/>
    </w:p>
    <w:p w14:paraId="22FDB12A" w14:textId="77777777" w:rsidR="00ED6FAC" w:rsidRDefault="00ED6FAC" w:rsidP="00ED6FAC">
      <w:pPr>
        <w:pStyle w:val="berschrift3"/>
      </w:pPr>
      <w:bookmarkStart w:id="44" w:name="_Toc525298477"/>
      <w:r>
        <w:t xml:space="preserve">6.9.2.2 </w:t>
      </w:r>
      <w:r w:rsidRPr="00ED6FAC">
        <w:t>The relation of solar radiation management to climate policy and transformation pathways</w:t>
      </w:r>
      <w:bookmarkEnd w:id="44"/>
    </w:p>
    <w:p w14:paraId="79824C1B" w14:textId="77777777" w:rsidR="00ED6FAC" w:rsidRDefault="00ED6FAC">
      <w:r w:rsidRPr="00ED6FAC">
        <w:t>A key determinant of the potential role, if any, of SRM in climate policy is that some methods might act relatively quickly. For example, stratospheric aerosol injection could be deployable within months to years, if and when the technology is available, and the climate response to the resulting changes in radiative forcing could occur on a timescale of a decade or less (e. g. Keith, 2000; Matthews and Caldeira, 2007; Royal Society, 2009; Swart and Marinova, 2010; Goes et al., 2011). Mitigating GHG emissions would affect global mean temperatures only on a multi-decadal to centennial time-scale because of the inertia</w:t>
      </w:r>
      <w:r>
        <w:t xml:space="preserve"> </w:t>
      </w:r>
      <w:r w:rsidRPr="00ED6FAC">
        <w:t xml:space="preserve">in the carbon cycle (van Vuuren and Stehfest, 2013). Hence, it has been argued that SRM technologies could potentially complement mitigation activities, for example, by countering global GHG </w:t>
      </w:r>
      <w:r w:rsidRPr="00ED6FAC">
        <w:lastRenderedPageBreak/>
        <w:t xml:space="preserve">radiative forcing while mitigation activities are being implemented, or by providing a back-up strategy for a hypothetical future situation where short-term reductions in radiative forcing may be desirable (Royal Society, 2009; Rickels et al., 2011). However, the relatively fast and strong climate response expected from some SRM techniques would also impose risks. The termination of SRM geoengineering forcing either by policy choice or through some form of failure would result in a rapid rise of global mean temperature and associated changes in climate, the magnitude of which would depend on the degree of SRM forcing that was being exerted and the rate at which the SRM forcing was withdrawn (Wigley, 2006; Matthews and Caldeira, 2007; Goes et al., 2011; Irvine et al., 2012; Jones et al., 2013). </w:t>
      </w:r>
      <w:r w:rsidRPr="00ED6FAC">
        <w:rPr>
          <w:highlight w:val="yellow"/>
        </w:rPr>
        <w:t xml:space="preserve">It has been suggested that this risk could be minimized if SRM geoengineering was used moderately and combined with strong </w:t>
      </w:r>
      <w:r w:rsidRPr="00ED6FAC">
        <w:rPr>
          <w:b/>
          <w:color w:val="00B050"/>
          <w:highlight w:val="yellow"/>
        </w:rPr>
        <w:t>CDR</w:t>
      </w:r>
      <w:r w:rsidRPr="00ED6FAC">
        <w:rPr>
          <w:color w:val="00B050"/>
          <w:highlight w:val="yellow"/>
        </w:rPr>
        <w:t xml:space="preserve"> </w:t>
      </w:r>
      <w:r w:rsidRPr="00ED6FAC">
        <w:rPr>
          <w:highlight w:val="yellow"/>
        </w:rPr>
        <w:t>geoengineering and mitigation efforts (</w:t>
      </w:r>
      <w:r w:rsidRPr="00ED6FAC">
        <w:rPr>
          <w:i/>
          <w:color w:val="808080" w:themeColor="background1" w:themeShade="80"/>
          <w:highlight w:val="yellow"/>
        </w:rPr>
        <w:t>Ross and Matthews, 2009; Smith and Rasch, 2012</w:t>
      </w:r>
      <w:r w:rsidRPr="00ED6FAC">
        <w:rPr>
          <w:highlight w:val="yellow"/>
        </w:rPr>
        <w:t>)</w:t>
      </w:r>
      <w:r w:rsidRPr="00ED6FAC">
        <w:t>. The potential of SRM to significantly impact the climate on short time-scales, at potentially low cost, and the uncertainties and risks involved in this raise important socio-political questions in addition to natural scientific and technological considerations in the section above.</w:t>
      </w:r>
    </w:p>
    <w:p w14:paraId="16AEA7D4" w14:textId="77777777" w:rsidR="00ED6FAC" w:rsidRDefault="00ED6FAC">
      <w:r w:rsidRPr="00ED6FAC">
        <w:t xml:space="preserve">Whether SRM field research or even deployment would be socially and politically acceptable is also dependent on the wider discursive context in which the topic is being discussed. Bellamy et al. (2013) show that the success of mitigation policies is likely to have an influence on stakeholder acceptability of SRM. </w:t>
      </w:r>
      <w:r w:rsidRPr="00ED6FAC">
        <w:rPr>
          <w:highlight w:val="yellow"/>
        </w:rPr>
        <w:t xml:space="preserve">While current evidence is limited to few studies in a very narrow range of cultural contexts, in a first review of early studies on perceptions of geoengineering, </w:t>
      </w:r>
      <w:r w:rsidRPr="00ED6FAC">
        <w:rPr>
          <w:i/>
          <w:color w:val="808080" w:themeColor="background1" w:themeShade="80"/>
          <w:highlight w:val="yellow"/>
        </w:rPr>
        <w:t>Corner et al. (2012)</w:t>
      </w:r>
      <w:r w:rsidRPr="00ED6FAC">
        <w:rPr>
          <w:color w:val="808080" w:themeColor="background1" w:themeShade="80"/>
          <w:highlight w:val="yellow"/>
        </w:rPr>
        <w:t xml:space="preserve"> </w:t>
      </w:r>
      <w:r w:rsidRPr="00ED6FAC">
        <w:rPr>
          <w:highlight w:val="yellow"/>
        </w:rPr>
        <w:t xml:space="preserve">find that participants of different studies tend to prefer </w:t>
      </w:r>
      <w:r w:rsidRPr="00ED6FAC">
        <w:rPr>
          <w:b/>
          <w:color w:val="00B050"/>
          <w:highlight w:val="yellow"/>
        </w:rPr>
        <w:t>CDR</w:t>
      </w:r>
      <w:r w:rsidRPr="00ED6FAC">
        <w:rPr>
          <w:color w:val="00B050"/>
          <w:highlight w:val="yellow"/>
        </w:rPr>
        <w:t xml:space="preserve"> </w:t>
      </w:r>
      <w:r w:rsidRPr="00ED6FAC">
        <w:rPr>
          <w:highlight w:val="yellow"/>
        </w:rPr>
        <w:t>over SRM and mitigation over geoengineering.</w:t>
      </w:r>
      <w:r w:rsidRPr="00ED6FAC">
        <w:t xml:space="preserve"> Considerations that influence opinions are, amongst others, the perceived ‘naturalness’ of a technology, its reversibility, and the capacity for responsible and transparent governance (Corner et al., 2012). Furthermore, the way that the topic is framed in the media and by experts plays an important role in influencing opinions on SRM research or deployment (Luokkanen et al., 2013; Scholte et al., 2013). The direction that future discussions may take is impossible to predict, since deepened and highly differentiated information is rapidly becoming available (Corner et al., 2012; Macnaghten and Szerszynski, 2013).</w:t>
      </w:r>
    </w:p>
    <w:p w14:paraId="45691D33" w14:textId="77777777" w:rsidR="00ED6FAC" w:rsidRDefault="00ED6FAC" w:rsidP="00ED6FAC">
      <w:pPr>
        <w:pStyle w:val="berschrift2"/>
      </w:pPr>
      <w:bookmarkStart w:id="45" w:name="_Toc525298478"/>
      <w:r>
        <w:t>6.9.3 Summary</w:t>
      </w:r>
      <w:bookmarkEnd w:id="45"/>
    </w:p>
    <w:p w14:paraId="6C91F54E" w14:textId="77777777" w:rsidR="00ED6FAC" w:rsidRDefault="00ED6FAC" w:rsidP="00ED6FAC">
      <w:r w:rsidRPr="00D06CD2">
        <w:rPr>
          <w:highlight w:val="yellow"/>
        </w:rPr>
        <w:t xml:space="preserve">Despite the assumption of some form of negative CO2 emissions in many scenarios, including those leading to 2100 concentrations approaching 450 ppm CO2eq, whether proposed </w:t>
      </w:r>
      <w:r w:rsidRPr="00D06CD2">
        <w:rPr>
          <w:b/>
          <w:color w:val="00B050"/>
          <w:highlight w:val="yellow"/>
        </w:rPr>
        <w:t>CDR</w:t>
      </w:r>
      <w:r w:rsidRPr="00D06CD2">
        <w:rPr>
          <w:color w:val="00B050"/>
          <w:highlight w:val="yellow"/>
        </w:rPr>
        <w:t xml:space="preserve"> </w:t>
      </w:r>
      <w:r w:rsidRPr="00D06CD2">
        <w:rPr>
          <w:highlight w:val="yellow"/>
        </w:rPr>
        <w:t xml:space="preserve">or SRM geoengineering techniques can actually play a useful role in transformation pathways is uncertain as the efficacy and risks of many techniques are poorly understood at present. </w:t>
      </w:r>
      <w:r w:rsidRPr="00D06CD2">
        <w:rPr>
          <w:b/>
          <w:color w:val="00B050"/>
          <w:highlight w:val="yellow"/>
        </w:rPr>
        <w:t>CDR</w:t>
      </w:r>
      <w:r w:rsidRPr="00D06CD2">
        <w:rPr>
          <w:color w:val="00B050"/>
          <w:highlight w:val="yellow"/>
        </w:rPr>
        <w:t xml:space="preserve"> </w:t>
      </w:r>
      <w:r w:rsidRPr="00D06CD2">
        <w:rPr>
          <w:highlight w:val="yellow"/>
        </w:rPr>
        <w:t>techniques aim to reduce CO2 (or potentially other GHG) concentrations.</w:t>
      </w:r>
      <w:r>
        <w:t xml:space="preserve"> </w:t>
      </w:r>
      <w:r w:rsidRPr="00D06CD2">
        <w:rPr>
          <w:highlight w:val="yellow"/>
        </w:rPr>
        <w:t xml:space="preserve">A broad definition of </w:t>
      </w:r>
      <w:r w:rsidRPr="00D06CD2">
        <w:rPr>
          <w:b/>
          <w:color w:val="00B050"/>
          <w:highlight w:val="yellow"/>
        </w:rPr>
        <w:t>CDR</w:t>
      </w:r>
      <w:r w:rsidRPr="00D06CD2">
        <w:rPr>
          <w:color w:val="00B050"/>
          <w:highlight w:val="yellow"/>
        </w:rPr>
        <w:t xml:space="preserve"> </w:t>
      </w:r>
      <w:r w:rsidRPr="00D06CD2">
        <w:rPr>
          <w:highlight w:val="yellow"/>
        </w:rPr>
        <w:t xml:space="preserve">would cover </w:t>
      </w:r>
      <w:r w:rsidRPr="00D06CD2">
        <w:rPr>
          <w:b/>
          <w:color w:val="0070C0"/>
          <w:highlight w:val="yellow"/>
        </w:rPr>
        <w:t>afforestation</w:t>
      </w:r>
      <w:r w:rsidRPr="00D06CD2">
        <w:rPr>
          <w:color w:val="0070C0"/>
          <w:highlight w:val="yellow"/>
        </w:rPr>
        <w:t xml:space="preserve"> </w:t>
      </w:r>
      <w:r w:rsidRPr="00D06CD2">
        <w:rPr>
          <w:highlight w:val="yellow"/>
        </w:rPr>
        <w:t xml:space="preserve">and </w:t>
      </w:r>
      <w:r w:rsidRPr="00D06CD2">
        <w:rPr>
          <w:b/>
          <w:color w:val="F79646" w:themeColor="accent6"/>
          <w:highlight w:val="yellow"/>
        </w:rPr>
        <w:t>BECCS</w:t>
      </w:r>
      <w:r w:rsidRPr="00D06CD2">
        <w:rPr>
          <w:highlight w:val="yellow"/>
        </w:rPr>
        <w:t>, which are sometimes classified as mitigation techniques, but also proposals that are very distinct from mitigation in terms of technical maturity, scientific understanding, and risks such as ocean iron fertilization. The former are often included in current integrated models and scenarios and are, in terms of their impact on the climate, directly comparable with techniques that are considered to be conventional mitigation, notably fossil CCS and bio-energy use.</w:t>
      </w:r>
      <w:r>
        <w:t xml:space="preserve"> </w:t>
      </w:r>
      <w:r w:rsidRPr="00D06CD2">
        <w:rPr>
          <w:highlight w:val="yellow"/>
        </w:rPr>
        <w:t xml:space="preserve">Both </w:t>
      </w:r>
      <w:r w:rsidRPr="00D06CD2">
        <w:rPr>
          <w:b/>
          <w:color w:val="F79646" w:themeColor="accent6"/>
          <w:highlight w:val="yellow"/>
        </w:rPr>
        <w:t>BECCS</w:t>
      </w:r>
      <w:r w:rsidRPr="00D06CD2">
        <w:rPr>
          <w:color w:val="F79646" w:themeColor="accent6"/>
          <w:highlight w:val="yellow"/>
        </w:rPr>
        <w:t xml:space="preserve"> </w:t>
      </w:r>
      <w:r w:rsidRPr="00D06CD2">
        <w:rPr>
          <w:highlight w:val="yellow"/>
        </w:rPr>
        <w:t xml:space="preserve">and </w:t>
      </w:r>
      <w:r w:rsidRPr="00D06CD2">
        <w:rPr>
          <w:b/>
          <w:color w:val="0070C0"/>
          <w:highlight w:val="yellow"/>
        </w:rPr>
        <w:t>afforestation</w:t>
      </w:r>
      <w:r w:rsidRPr="00D06CD2">
        <w:rPr>
          <w:color w:val="0070C0"/>
          <w:highlight w:val="yellow"/>
        </w:rPr>
        <w:t xml:space="preserve"> </w:t>
      </w:r>
      <w:r w:rsidRPr="00D06CD2">
        <w:rPr>
          <w:highlight w:val="yellow"/>
        </w:rPr>
        <w:t xml:space="preserve">may play a key role in reaching low-GHG concentrations, but at a large scale have substantial land-use demands that may conflict with other mitigation strategies and societal needs such as food production. Whether other </w:t>
      </w:r>
      <w:r w:rsidRPr="00D06CD2">
        <w:rPr>
          <w:b/>
          <w:color w:val="00B050"/>
          <w:highlight w:val="yellow"/>
        </w:rPr>
        <w:t>CDR</w:t>
      </w:r>
      <w:r w:rsidRPr="00D06CD2">
        <w:rPr>
          <w:color w:val="00B050"/>
          <w:highlight w:val="yellow"/>
        </w:rPr>
        <w:t xml:space="preserve"> </w:t>
      </w:r>
      <w:r w:rsidRPr="00D06CD2">
        <w:rPr>
          <w:highlight w:val="yellow"/>
        </w:rPr>
        <w:t xml:space="preserve">techniques would be able to supplement mitigation at any significant scale in the future depends upon efficacy, cost, and risks of these techniques, which at present are highly uncertain. The properties of potential carbon storage reservoirs are also critically important, as limits to reservoir capacity and </w:t>
      </w:r>
      <w:r w:rsidRPr="00D06CD2">
        <w:rPr>
          <w:highlight w:val="yellow"/>
        </w:rPr>
        <w:lastRenderedPageBreak/>
        <w:t>longevity will constrain the quantity and permanence of CO2 storage.</w:t>
      </w:r>
      <w:r>
        <w:t xml:space="preserve"> </w:t>
      </w:r>
      <w:r w:rsidRPr="00ED6FAC">
        <w:rPr>
          <w:highlight w:val="yellow"/>
        </w:rPr>
        <w:t xml:space="preserve">Furthermore, some </w:t>
      </w:r>
      <w:r w:rsidRPr="00ED6FAC">
        <w:rPr>
          <w:b/>
          <w:color w:val="00B050"/>
          <w:highlight w:val="yellow"/>
        </w:rPr>
        <w:t>CDR</w:t>
      </w:r>
      <w:r w:rsidRPr="00ED6FAC">
        <w:rPr>
          <w:color w:val="00B050"/>
          <w:highlight w:val="yellow"/>
        </w:rPr>
        <w:t xml:space="preserve"> </w:t>
      </w:r>
      <w:r w:rsidRPr="00ED6FAC">
        <w:rPr>
          <w:highlight w:val="yellow"/>
        </w:rPr>
        <w:t xml:space="preserve">techniques such as ocean iron fertilization may pose transboundary risks. The impacts of </w:t>
      </w:r>
      <w:r w:rsidRPr="00ED6FAC">
        <w:rPr>
          <w:b/>
          <w:color w:val="00B050"/>
          <w:highlight w:val="yellow"/>
        </w:rPr>
        <w:t>CDR</w:t>
      </w:r>
      <w:r w:rsidRPr="00ED6FAC">
        <w:rPr>
          <w:color w:val="00B050"/>
          <w:highlight w:val="yellow"/>
        </w:rPr>
        <w:t xml:space="preserve"> </w:t>
      </w:r>
      <w:r w:rsidRPr="00ED6FAC">
        <w:rPr>
          <w:highlight w:val="yellow"/>
        </w:rPr>
        <w:t>would be relatively slow: climate effects would unfold over the course of decades.</w:t>
      </w:r>
    </w:p>
    <w:p w14:paraId="367CB1FD" w14:textId="77777777" w:rsidR="00ED6FAC" w:rsidRDefault="00ED6FAC" w:rsidP="00ED6FAC">
      <w:r w:rsidRPr="00ED6FAC">
        <w:rPr>
          <w:highlight w:val="yellow"/>
        </w:rPr>
        <w:t xml:space="preserve">In contrast to </w:t>
      </w:r>
      <w:r w:rsidRPr="00ED6FAC">
        <w:rPr>
          <w:b/>
          <w:color w:val="00B050"/>
          <w:highlight w:val="yellow"/>
        </w:rPr>
        <w:t>CDR</w:t>
      </w:r>
      <w:r w:rsidRPr="00ED6FAC">
        <w:rPr>
          <w:highlight w:val="yellow"/>
        </w:rPr>
        <w:t>, SRM would aim to cool the climate by shielding sunlight. These techniques would not reduce elevated GHG concentrations, and thus not affect other consequences of high-GHG concentrations, such as ocean acidification</w:t>
      </w:r>
      <w:r>
        <w:t xml:space="preserve">. </w:t>
      </w:r>
      <w:r w:rsidRPr="00ED6FAC">
        <w:rPr>
          <w:highlight w:val="yellow"/>
        </w:rPr>
        <w:t xml:space="preserve">Some SRM proposals could potentially cause a large cooling within years, much quicker than mitigation or </w:t>
      </w:r>
      <w:r w:rsidRPr="00ED6FAC">
        <w:rPr>
          <w:b/>
          <w:color w:val="00B050"/>
          <w:highlight w:val="yellow"/>
        </w:rPr>
        <w:t>CDR</w:t>
      </w:r>
      <w:r w:rsidRPr="00ED6FAC">
        <w:rPr>
          <w:highlight w:val="yellow"/>
        </w:rPr>
        <w:t xml:space="preserve">, and a few studies suggest that costs might be considerably lower than </w:t>
      </w:r>
      <w:r w:rsidRPr="00ED6FAC">
        <w:rPr>
          <w:b/>
          <w:color w:val="00B050"/>
          <w:highlight w:val="yellow"/>
        </w:rPr>
        <w:t>CDR</w:t>
      </w:r>
      <w:r w:rsidRPr="00ED6FAC">
        <w:rPr>
          <w:color w:val="00B050"/>
          <w:highlight w:val="yellow"/>
        </w:rPr>
        <w:t xml:space="preserve"> </w:t>
      </w:r>
      <w:r w:rsidRPr="00ED6FAC">
        <w:rPr>
          <w:highlight w:val="yellow"/>
        </w:rPr>
        <w:t>for some SRM techniques.</w:t>
      </w:r>
      <w:r w:rsidRPr="00ED6FAC">
        <w:t xml:space="preserve"> It has thus been suggested that SRM could be used to quickly reduce global temperatures or to limit temperature rise while mitigation activities are being implemented. However, to avoid warming, SRM would need to be maintained as long as GHG concentrations remain elevated. Modelling studies show that SRM may be able to reduce global average temperatures but would not perfectly reverse all climatic changes that occur due to elevated GHG concentrations, especially at local to regional scales. For example, SRM is expected to weaken the global hydrological cycle with consequences for regional precipitation patterns and surface hydrology, and is expected to change the seasonality and variability of climate. Because the potential climate impacts of any SRM intervention are uncertain and evidence is very limited, it is too early to conclude how effective SRM would be in reducing climate risks. SRM approaches may also carry significant non-climatic side-effects. For example, sulphate aerosol injection would modify stratospheric chemistry, potentially reducing ozone levels, and would change the appearance of the sky. The risks of SRM interventions and large-scale experiments, alongside any potential benefits, raise a number of ethical and political questions that would require public engagement and international cooperation to address adequately.</w:t>
      </w:r>
    </w:p>
    <w:p w14:paraId="68C50C1A" w14:textId="77777777" w:rsidR="00ED6FAC" w:rsidRPr="00ED6FAC" w:rsidRDefault="00ED6FAC">
      <w:pPr>
        <w:rPr>
          <w:rStyle w:val="berschrift1Zchn"/>
        </w:rPr>
      </w:pPr>
      <w:r w:rsidRPr="00ED6FAC">
        <w:rPr>
          <w:rStyle w:val="berschrift1Zchn"/>
        </w:rPr>
        <w:t>6.10 Gaps in knowledge and data</w:t>
      </w:r>
    </w:p>
    <w:p w14:paraId="6A6E2F70" w14:textId="77777777" w:rsidR="00ED6FAC" w:rsidRDefault="00ED6FAC">
      <w:r w:rsidRPr="00ED6FAC">
        <w:t xml:space="preserve">Throughout this chapter, a number of areas of further development have been highlighted. Several areas would be most valuable to further the development of information and insights regarding long-term transformation pathways. These include the following: development of a broader set of socioeconomic and technological storylines to support the development of future scenarios; scenarios pursuing a wider set of climate goals including those related to temperature change; more mitigation scenarios that include impacts from, and adaptations to, a changing climate, including energy and land-use systems critical for mitigation; </w:t>
      </w:r>
      <w:r w:rsidRPr="00ED6FAC">
        <w:rPr>
          <w:highlight w:val="yellow"/>
        </w:rPr>
        <w:t xml:space="preserve">expanded treatment of the benefits and risks of </w:t>
      </w:r>
      <w:r w:rsidRPr="00ED6FAC">
        <w:rPr>
          <w:b/>
          <w:color w:val="00B050"/>
          <w:highlight w:val="yellow"/>
        </w:rPr>
        <w:t>CDR</w:t>
      </w:r>
      <w:r w:rsidRPr="00ED6FAC">
        <w:rPr>
          <w:color w:val="00B050"/>
          <w:highlight w:val="yellow"/>
        </w:rPr>
        <w:t xml:space="preserve"> </w:t>
      </w:r>
      <w:r w:rsidRPr="00ED6FAC">
        <w:rPr>
          <w:highlight w:val="yellow"/>
        </w:rPr>
        <w:t>and SRM options</w:t>
      </w:r>
      <w:r w:rsidRPr="00ED6FAC">
        <w:t>; expanded treatment of co-benefits and risks of mitigation pathways; improvements in the treatment and understanding of mitigation options and responses in end-use sectors in transformation pathways; and more sophisticated treatments of land use and land use-based mitigation options in mitigation scenarios. In addition, a major weakness of the current integrated modelling suite is that regional definitions are often not comparable across models. An important area of advancement would be to develop some clearly defined regional definitions that can be met by most or all models.</w:t>
      </w:r>
    </w:p>
    <w:p w14:paraId="201ECE68" w14:textId="77777777" w:rsidR="00ED6FAC" w:rsidRPr="00ED6FAC" w:rsidRDefault="00ED6FAC">
      <w:pPr>
        <w:rPr>
          <w:rStyle w:val="berschrift1Zchn"/>
        </w:rPr>
      </w:pPr>
      <w:r w:rsidRPr="00ED6FAC">
        <w:rPr>
          <w:rStyle w:val="berschrift1Zchn"/>
        </w:rPr>
        <w:t>6.11 Frequently Asked Questions</w:t>
      </w:r>
    </w:p>
    <w:p w14:paraId="58E122C7" w14:textId="77777777" w:rsidR="00ED6FAC" w:rsidRDefault="00ED6FAC"/>
    <w:p w14:paraId="50001292" w14:textId="77777777" w:rsidR="00415E62" w:rsidRDefault="00415E62"/>
    <w:p w14:paraId="2DD5428F" w14:textId="77777777" w:rsidR="00415E62" w:rsidRDefault="00415E62">
      <w:pPr>
        <w:spacing w:after="0" w:line="240" w:lineRule="auto"/>
        <w:rPr>
          <w:rFonts w:asciiTheme="majorHAnsi" w:eastAsiaTheme="majorEastAsia" w:hAnsiTheme="majorHAnsi" w:cstheme="majorBidi"/>
          <w:b/>
          <w:bCs/>
          <w:color w:val="365F91" w:themeColor="accent1" w:themeShade="BF"/>
          <w:sz w:val="28"/>
          <w:szCs w:val="28"/>
        </w:rPr>
      </w:pPr>
      <w:r>
        <w:lastRenderedPageBreak/>
        <w:br w:type="page"/>
      </w:r>
    </w:p>
    <w:p w14:paraId="6967216B" w14:textId="77777777" w:rsidR="00415E62" w:rsidRPr="008E2000" w:rsidRDefault="00415E62" w:rsidP="00415E62">
      <w:pPr>
        <w:pStyle w:val="berschrift1"/>
      </w:pPr>
      <w:bookmarkStart w:id="46" w:name="_Toc525298479"/>
      <w:r w:rsidRPr="008E2000">
        <w:lastRenderedPageBreak/>
        <w:t xml:space="preserve">IPCC AR5 WGIII </w:t>
      </w:r>
      <w:r>
        <w:t>– Chapter 7</w:t>
      </w:r>
      <w:r w:rsidR="00C21F57">
        <w:t>: Energy Systems</w:t>
      </w:r>
      <w:bookmarkEnd w:id="46"/>
    </w:p>
    <w:p w14:paraId="3479EBED" w14:textId="77777777" w:rsidR="00415E62" w:rsidRPr="00101EA0" w:rsidRDefault="00415E62" w:rsidP="00415E62">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1"/>
        <w:gridCol w:w="1825"/>
      </w:tblGrid>
      <w:tr w:rsidR="00415E62" w14:paraId="17EDDB35" w14:textId="77777777" w:rsidTr="00415E62">
        <w:tc>
          <w:tcPr>
            <w:tcW w:w="7763" w:type="dxa"/>
          </w:tcPr>
          <w:p w14:paraId="445CA5B5" w14:textId="77777777" w:rsidR="00415E62" w:rsidRPr="00FE4BC7" w:rsidRDefault="00415E62" w:rsidP="00415E62">
            <w:pPr>
              <w:pStyle w:val="KeinLeerraum"/>
              <w:rPr>
                <w:b/>
              </w:rPr>
            </w:pPr>
            <w:r w:rsidRPr="00FE4BC7">
              <w:rPr>
                <w:b/>
              </w:rPr>
              <w:t>Keyword</w:t>
            </w:r>
          </w:p>
        </w:tc>
        <w:tc>
          <w:tcPr>
            <w:tcW w:w="1859" w:type="dxa"/>
          </w:tcPr>
          <w:p w14:paraId="314DFCF4" w14:textId="77777777" w:rsidR="00415E62" w:rsidRPr="00FE4BC7" w:rsidRDefault="00415E62" w:rsidP="00415E62">
            <w:pPr>
              <w:pStyle w:val="KeinLeerraum"/>
              <w:rPr>
                <w:b/>
              </w:rPr>
            </w:pPr>
            <w:r w:rsidRPr="00FE4BC7">
              <w:rPr>
                <w:b/>
              </w:rPr>
              <w:t>Count</w:t>
            </w:r>
          </w:p>
        </w:tc>
      </w:tr>
      <w:tr w:rsidR="00415E62" w14:paraId="71421A31" w14:textId="77777777" w:rsidTr="00415E62">
        <w:tc>
          <w:tcPr>
            <w:tcW w:w="7763" w:type="dxa"/>
          </w:tcPr>
          <w:p w14:paraId="1AFF4D6F" w14:textId="77777777" w:rsidR="00415E62" w:rsidRPr="00B80049" w:rsidRDefault="00415E62" w:rsidP="00415E62">
            <w:pPr>
              <w:pStyle w:val="KeinLeerraum"/>
              <w:rPr>
                <w:b/>
              </w:rPr>
            </w:pPr>
            <w:r w:rsidRPr="00B80049">
              <w:rPr>
                <w:b/>
                <w:color w:val="7030A0"/>
              </w:rPr>
              <w:t>Negative emission</w:t>
            </w:r>
          </w:p>
        </w:tc>
        <w:tc>
          <w:tcPr>
            <w:tcW w:w="1859" w:type="dxa"/>
          </w:tcPr>
          <w:p w14:paraId="4F4A523F" w14:textId="77777777" w:rsidR="00415E62" w:rsidRDefault="00C21F57" w:rsidP="00415E62">
            <w:pPr>
              <w:pStyle w:val="KeinLeerraum"/>
            </w:pPr>
            <w:r>
              <w:t>7</w:t>
            </w:r>
          </w:p>
        </w:tc>
      </w:tr>
      <w:tr w:rsidR="00415E62" w14:paraId="6ABCB1E7" w14:textId="77777777" w:rsidTr="00415E62">
        <w:tc>
          <w:tcPr>
            <w:tcW w:w="7763" w:type="dxa"/>
          </w:tcPr>
          <w:p w14:paraId="0FF3CBCE" w14:textId="77777777" w:rsidR="00415E62" w:rsidRPr="00B80049" w:rsidRDefault="00415E62" w:rsidP="00415E62">
            <w:pPr>
              <w:pStyle w:val="KeinLeerraum"/>
              <w:rPr>
                <w:b/>
              </w:rPr>
            </w:pPr>
            <w:r>
              <w:rPr>
                <w:b/>
                <w:color w:val="00B050"/>
              </w:rPr>
              <w:t>C</w:t>
            </w:r>
            <w:r w:rsidRPr="00B80049">
              <w:rPr>
                <w:b/>
                <w:color w:val="00B050"/>
              </w:rPr>
              <w:t>arbon dioxide removal/CDR</w:t>
            </w:r>
          </w:p>
        </w:tc>
        <w:tc>
          <w:tcPr>
            <w:tcW w:w="1859" w:type="dxa"/>
          </w:tcPr>
          <w:p w14:paraId="16DE5702" w14:textId="77777777" w:rsidR="00415E62" w:rsidRDefault="00CB73D4" w:rsidP="00415E62">
            <w:pPr>
              <w:pStyle w:val="KeinLeerraum"/>
            </w:pPr>
            <w:r>
              <w:t>0</w:t>
            </w:r>
          </w:p>
        </w:tc>
      </w:tr>
      <w:tr w:rsidR="00415E62" w14:paraId="084BD10F" w14:textId="77777777" w:rsidTr="00415E62">
        <w:tc>
          <w:tcPr>
            <w:tcW w:w="7763" w:type="dxa"/>
          </w:tcPr>
          <w:p w14:paraId="6401E460" w14:textId="77777777" w:rsidR="00415E62" w:rsidRPr="00B80049" w:rsidRDefault="00415E62" w:rsidP="00415E62">
            <w:pPr>
              <w:pStyle w:val="KeinLeerraum"/>
              <w:rPr>
                <w:b/>
              </w:rPr>
            </w:pPr>
            <w:r w:rsidRPr="00B80049">
              <w:rPr>
                <w:b/>
                <w:color w:val="F79646" w:themeColor="accent6"/>
              </w:rPr>
              <w:t>Bioenergy with carbon and capture/BECCS</w:t>
            </w:r>
          </w:p>
        </w:tc>
        <w:tc>
          <w:tcPr>
            <w:tcW w:w="1859" w:type="dxa"/>
          </w:tcPr>
          <w:p w14:paraId="37A32193" w14:textId="77777777" w:rsidR="00415E62" w:rsidRDefault="00CB73D4" w:rsidP="00415E62">
            <w:pPr>
              <w:pStyle w:val="KeinLeerraum"/>
            </w:pPr>
            <w:r>
              <w:t>25</w:t>
            </w:r>
          </w:p>
        </w:tc>
      </w:tr>
      <w:tr w:rsidR="00415E62" w14:paraId="15EBDF21" w14:textId="77777777" w:rsidTr="00415E62">
        <w:tc>
          <w:tcPr>
            <w:tcW w:w="7763" w:type="dxa"/>
          </w:tcPr>
          <w:p w14:paraId="5F9FD8F4" w14:textId="77777777" w:rsidR="00415E62" w:rsidRPr="00B80049" w:rsidRDefault="00415E62" w:rsidP="00415E62">
            <w:pPr>
              <w:pStyle w:val="KeinLeerraum"/>
              <w:rPr>
                <w:b/>
              </w:rPr>
            </w:pPr>
            <w:r w:rsidRPr="00B80049">
              <w:rPr>
                <w:b/>
                <w:color w:val="0070C0"/>
              </w:rPr>
              <w:t>Afforestation</w:t>
            </w:r>
          </w:p>
        </w:tc>
        <w:tc>
          <w:tcPr>
            <w:tcW w:w="1859" w:type="dxa"/>
          </w:tcPr>
          <w:p w14:paraId="125304CD" w14:textId="77777777" w:rsidR="00415E62" w:rsidRDefault="00CB73D4" w:rsidP="00415E62">
            <w:pPr>
              <w:pStyle w:val="KeinLeerraum"/>
            </w:pPr>
            <w:r>
              <w:t>0</w:t>
            </w:r>
          </w:p>
        </w:tc>
      </w:tr>
    </w:tbl>
    <w:p w14:paraId="14DBA060" w14:textId="77777777" w:rsidR="00415E62" w:rsidRDefault="00415E62" w:rsidP="00415E62"/>
    <w:tbl>
      <w:tblPr>
        <w:tblStyle w:val="Tabellenraster"/>
        <w:tblW w:w="0" w:type="auto"/>
        <w:tblLook w:val="04A0" w:firstRow="1" w:lastRow="0" w:firstColumn="1" w:lastColumn="0" w:noHBand="0" w:noVBand="1"/>
      </w:tblPr>
      <w:tblGrid>
        <w:gridCol w:w="7569"/>
        <w:gridCol w:w="1827"/>
      </w:tblGrid>
      <w:tr w:rsidR="00415E62" w14:paraId="63F7A806" w14:textId="77777777" w:rsidTr="00415E62">
        <w:tc>
          <w:tcPr>
            <w:tcW w:w="7763" w:type="dxa"/>
          </w:tcPr>
          <w:p w14:paraId="48A43CDF" w14:textId="77777777" w:rsidR="00415E62" w:rsidRPr="00FE4BC7" w:rsidRDefault="00415E62" w:rsidP="00415E62">
            <w:pPr>
              <w:pStyle w:val="KeinLeerraum"/>
              <w:rPr>
                <w:b/>
              </w:rPr>
            </w:pPr>
            <w:r>
              <w:rPr>
                <w:b/>
              </w:rPr>
              <w:t>IPCC references</w:t>
            </w:r>
          </w:p>
        </w:tc>
        <w:tc>
          <w:tcPr>
            <w:tcW w:w="1859" w:type="dxa"/>
          </w:tcPr>
          <w:p w14:paraId="5FC0011D" w14:textId="77777777" w:rsidR="00415E62" w:rsidRPr="00FE4BC7" w:rsidRDefault="00415E62" w:rsidP="00415E62">
            <w:pPr>
              <w:pStyle w:val="KeinLeerraum"/>
              <w:rPr>
                <w:b/>
              </w:rPr>
            </w:pPr>
            <w:r w:rsidRPr="00FE4BC7">
              <w:rPr>
                <w:b/>
              </w:rPr>
              <w:t>Count</w:t>
            </w:r>
          </w:p>
        </w:tc>
      </w:tr>
      <w:tr w:rsidR="00415E62" w14:paraId="1B391B30" w14:textId="77777777" w:rsidTr="00415E62">
        <w:tc>
          <w:tcPr>
            <w:tcW w:w="7763" w:type="dxa"/>
          </w:tcPr>
          <w:p w14:paraId="2EF5DD00" w14:textId="77777777" w:rsidR="00415E62" w:rsidRDefault="00CB73D4" w:rsidP="00415E62">
            <w:pPr>
              <w:pStyle w:val="KeinLeerraum"/>
            </w:pPr>
            <w:r>
              <w:t>Chapter 6</w:t>
            </w:r>
          </w:p>
        </w:tc>
        <w:tc>
          <w:tcPr>
            <w:tcW w:w="1859" w:type="dxa"/>
          </w:tcPr>
          <w:p w14:paraId="292C1547" w14:textId="77777777" w:rsidR="00415E62" w:rsidRDefault="002278AD" w:rsidP="00415E62">
            <w:pPr>
              <w:pStyle w:val="KeinLeerraum"/>
            </w:pPr>
            <w:r>
              <w:t>1</w:t>
            </w:r>
          </w:p>
        </w:tc>
      </w:tr>
      <w:tr w:rsidR="002278AD" w14:paraId="3E08FB83" w14:textId="77777777" w:rsidTr="00415E62">
        <w:tc>
          <w:tcPr>
            <w:tcW w:w="7763" w:type="dxa"/>
          </w:tcPr>
          <w:p w14:paraId="78D4C478" w14:textId="77777777" w:rsidR="002278AD" w:rsidRDefault="002278AD" w:rsidP="00415E62">
            <w:pPr>
              <w:pStyle w:val="KeinLeerraum"/>
            </w:pPr>
            <w:r>
              <w:t>Section 6.3.2</w:t>
            </w:r>
          </w:p>
        </w:tc>
        <w:tc>
          <w:tcPr>
            <w:tcW w:w="1859" w:type="dxa"/>
          </w:tcPr>
          <w:p w14:paraId="15822D1A" w14:textId="77777777" w:rsidR="002278AD" w:rsidRDefault="002278AD" w:rsidP="00415E62">
            <w:pPr>
              <w:pStyle w:val="KeinLeerraum"/>
            </w:pPr>
            <w:r>
              <w:t>1</w:t>
            </w:r>
          </w:p>
        </w:tc>
      </w:tr>
      <w:tr w:rsidR="00CB73D4" w14:paraId="25066F3E" w14:textId="77777777" w:rsidTr="00415E62">
        <w:tc>
          <w:tcPr>
            <w:tcW w:w="7763" w:type="dxa"/>
          </w:tcPr>
          <w:p w14:paraId="79A5ABD9" w14:textId="77777777" w:rsidR="00CB73D4" w:rsidRDefault="00CB73D4" w:rsidP="00415E62">
            <w:pPr>
              <w:pStyle w:val="KeinLeerraum"/>
            </w:pPr>
            <w:r>
              <w:t>Section 7.5.5</w:t>
            </w:r>
          </w:p>
        </w:tc>
        <w:tc>
          <w:tcPr>
            <w:tcW w:w="1859" w:type="dxa"/>
          </w:tcPr>
          <w:p w14:paraId="63BEAD2C" w14:textId="77777777" w:rsidR="00CB73D4" w:rsidRDefault="002278AD" w:rsidP="00415E62">
            <w:pPr>
              <w:pStyle w:val="KeinLeerraum"/>
            </w:pPr>
            <w:r>
              <w:t>5</w:t>
            </w:r>
          </w:p>
        </w:tc>
      </w:tr>
      <w:tr w:rsidR="002278AD" w14:paraId="4C8ACC45" w14:textId="77777777" w:rsidTr="00415E62">
        <w:tc>
          <w:tcPr>
            <w:tcW w:w="7763" w:type="dxa"/>
          </w:tcPr>
          <w:p w14:paraId="02E6537A" w14:textId="77777777" w:rsidR="002278AD" w:rsidRDefault="002278AD" w:rsidP="00415E62">
            <w:pPr>
              <w:pStyle w:val="KeinLeerraum"/>
            </w:pPr>
            <w:r>
              <w:t>Section 7.8</w:t>
            </w:r>
          </w:p>
        </w:tc>
        <w:tc>
          <w:tcPr>
            <w:tcW w:w="1859" w:type="dxa"/>
          </w:tcPr>
          <w:p w14:paraId="591D1A67" w14:textId="77777777" w:rsidR="002278AD" w:rsidRDefault="002278AD" w:rsidP="00415E62">
            <w:pPr>
              <w:pStyle w:val="KeinLeerraum"/>
            </w:pPr>
            <w:r>
              <w:t>1</w:t>
            </w:r>
          </w:p>
        </w:tc>
      </w:tr>
      <w:tr w:rsidR="00CB73D4" w14:paraId="51B08E5A" w14:textId="77777777" w:rsidTr="00415E62">
        <w:tc>
          <w:tcPr>
            <w:tcW w:w="7763" w:type="dxa"/>
          </w:tcPr>
          <w:p w14:paraId="03CB3E4C" w14:textId="77777777" w:rsidR="00CB73D4" w:rsidRDefault="00CB73D4" w:rsidP="00415E62">
            <w:pPr>
              <w:pStyle w:val="KeinLeerraum"/>
            </w:pPr>
            <w:r>
              <w:t>Section 7.8.2</w:t>
            </w:r>
          </w:p>
        </w:tc>
        <w:tc>
          <w:tcPr>
            <w:tcW w:w="1859" w:type="dxa"/>
          </w:tcPr>
          <w:p w14:paraId="2721AB2C" w14:textId="77777777" w:rsidR="00CB73D4" w:rsidRDefault="002278AD" w:rsidP="00415E62">
            <w:pPr>
              <w:pStyle w:val="KeinLeerraum"/>
            </w:pPr>
            <w:r>
              <w:t>1</w:t>
            </w:r>
          </w:p>
        </w:tc>
      </w:tr>
      <w:tr w:rsidR="00CB73D4" w14:paraId="34D79108" w14:textId="77777777" w:rsidTr="00415E62">
        <w:tc>
          <w:tcPr>
            <w:tcW w:w="7763" w:type="dxa"/>
          </w:tcPr>
          <w:p w14:paraId="7D51E497" w14:textId="77777777" w:rsidR="00CB73D4" w:rsidRDefault="00CB73D4" w:rsidP="00415E62">
            <w:pPr>
              <w:pStyle w:val="KeinLeerraum"/>
            </w:pPr>
            <w:r>
              <w:t>Section 7.9</w:t>
            </w:r>
          </w:p>
        </w:tc>
        <w:tc>
          <w:tcPr>
            <w:tcW w:w="1859" w:type="dxa"/>
          </w:tcPr>
          <w:p w14:paraId="49BB6326" w14:textId="77777777" w:rsidR="00CB73D4" w:rsidRDefault="002278AD" w:rsidP="00415E62">
            <w:pPr>
              <w:pStyle w:val="KeinLeerraum"/>
            </w:pPr>
            <w:r>
              <w:t>2</w:t>
            </w:r>
          </w:p>
        </w:tc>
      </w:tr>
      <w:tr w:rsidR="002278AD" w14:paraId="1FAED7C2" w14:textId="77777777" w:rsidTr="00415E62">
        <w:tc>
          <w:tcPr>
            <w:tcW w:w="7763" w:type="dxa"/>
          </w:tcPr>
          <w:p w14:paraId="4CE3ACC8" w14:textId="77777777" w:rsidR="002278AD" w:rsidRDefault="002278AD" w:rsidP="00415E62">
            <w:pPr>
              <w:pStyle w:val="KeinLeerraum"/>
            </w:pPr>
            <w:r>
              <w:t>Section 7.10</w:t>
            </w:r>
          </w:p>
        </w:tc>
        <w:tc>
          <w:tcPr>
            <w:tcW w:w="1859" w:type="dxa"/>
          </w:tcPr>
          <w:p w14:paraId="55685C6E" w14:textId="77777777" w:rsidR="002278AD" w:rsidRDefault="002278AD" w:rsidP="00415E62">
            <w:pPr>
              <w:pStyle w:val="KeinLeerraum"/>
            </w:pPr>
            <w:r>
              <w:t>1</w:t>
            </w:r>
          </w:p>
        </w:tc>
      </w:tr>
      <w:tr w:rsidR="00CB73D4" w14:paraId="1A4DF804" w14:textId="77777777" w:rsidTr="00415E62">
        <w:tc>
          <w:tcPr>
            <w:tcW w:w="7763" w:type="dxa"/>
          </w:tcPr>
          <w:p w14:paraId="1197E141" w14:textId="77777777" w:rsidR="00CB73D4" w:rsidRDefault="00CB73D4" w:rsidP="00415E62">
            <w:pPr>
              <w:pStyle w:val="KeinLeerraum"/>
            </w:pPr>
            <w:r>
              <w:t>Section 7.11</w:t>
            </w:r>
          </w:p>
        </w:tc>
        <w:tc>
          <w:tcPr>
            <w:tcW w:w="1859" w:type="dxa"/>
          </w:tcPr>
          <w:p w14:paraId="0AA941CC" w14:textId="77777777" w:rsidR="00CB73D4" w:rsidRDefault="002278AD" w:rsidP="00415E62">
            <w:pPr>
              <w:pStyle w:val="KeinLeerraum"/>
            </w:pPr>
            <w:r>
              <w:t>1</w:t>
            </w:r>
          </w:p>
        </w:tc>
      </w:tr>
      <w:tr w:rsidR="002278AD" w14:paraId="2B9B7286" w14:textId="77777777" w:rsidTr="00415E62">
        <w:tc>
          <w:tcPr>
            <w:tcW w:w="7763" w:type="dxa"/>
          </w:tcPr>
          <w:p w14:paraId="3C30812D" w14:textId="77777777" w:rsidR="002278AD" w:rsidRDefault="002278AD" w:rsidP="000C6565">
            <w:pPr>
              <w:pStyle w:val="KeinLeerraum"/>
            </w:pPr>
            <w:r>
              <w:t>Section 7.11.2</w:t>
            </w:r>
          </w:p>
        </w:tc>
        <w:tc>
          <w:tcPr>
            <w:tcW w:w="1859" w:type="dxa"/>
          </w:tcPr>
          <w:p w14:paraId="2BD87F61" w14:textId="77777777" w:rsidR="002278AD" w:rsidRDefault="002278AD" w:rsidP="00415E62">
            <w:pPr>
              <w:pStyle w:val="KeinLeerraum"/>
            </w:pPr>
            <w:r>
              <w:t>1</w:t>
            </w:r>
          </w:p>
        </w:tc>
      </w:tr>
      <w:tr w:rsidR="002278AD" w14:paraId="46A4B512" w14:textId="77777777" w:rsidTr="00415E62">
        <w:tc>
          <w:tcPr>
            <w:tcW w:w="7763" w:type="dxa"/>
          </w:tcPr>
          <w:p w14:paraId="058540B2" w14:textId="77777777" w:rsidR="002278AD" w:rsidRDefault="002278AD" w:rsidP="00415E62">
            <w:pPr>
              <w:pStyle w:val="KeinLeerraum"/>
            </w:pPr>
            <w:r>
              <w:t>Section 7.12</w:t>
            </w:r>
          </w:p>
        </w:tc>
        <w:tc>
          <w:tcPr>
            <w:tcW w:w="1859" w:type="dxa"/>
          </w:tcPr>
          <w:p w14:paraId="640FA11D" w14:textId="77777777" w:rsidR="002278AD" w:rsidRDefault="002278AD" w:rsidP="00415E62">
            <w:pPr>
              <w:pStyle w:val="KeinLeerraum"/>
            </w:pPr>
            <w:r>
              <w:t>1</w:t>
            </w:r>
          </w:p>
        </w:tc>
      </w:tr>
      <w:tr w:rsidR="002278AD" w14:paraId="672F77E2" w14:textId="77777777" w:rsidTr="00415E62">
        <w:tc>
          <w:tcPr>
            <w:tcW w:w="7763" w:type="dxa"/>
          </w:tcPr>
          <w:p w14:paraId="37C33DB8" w14:textId="77777777" w:rsidR="002278AD" w:rsidRDefault="002278AD" w:rsidP="000C6565">
            <w:pPr>
              <w:pStyle w:val="KeinLeerraum"/>
            </w:pPr>
            <w:r>
              <w:t>Chapter 11</w:t>
            </w:r>
          </w:p>
        </w:tc>
        <w:tc>
          <w:tcPr>
            <w:tcW w:w="1859" w:type="dxa"/>
          </w:tcPr>
          <w:p w14:paraId="58238EF0" w14:textId="77777777" w:rsidR="002278AD" w:rsidRDefault="002278AD" w:rsidP="00415E62">
            <w:pPr>
              <w:pStyle w:val="KeinLeerraum"/>
            </w:pPr>
            <w:r>
              <w:t>1</w:t>
            </w:r>
          </w:p>
        </w:tc>
      </w:tr>
      <w:tr w:rsidR="002278AD" w14:paraId="076F345D" w14:textId="77777777" w:rsidTr="00415E62">
        <w:tc>
          <w:tcPr>
            <w:tcW w:w="7763" w:type="dxa"/>
          </w:tcPr>
          <w:p w14:paraId="23170C1E" w14:textId="77777777" w:rsidR="002278AD" w:rsidRDefault="002278AD" w:rsidP="000C6565">
            <w:pPr>
              <w:pStyle w:val="KeinLeerraum"/>
            </w:pPr>
            <w:r>
              <w:t>Section 11.7</w:t>
            </w:r>
          </w:p>
        </w:tc>
        <w:tc>
          <w:tcPr>
            <w:tcW w:w="1859" w:type="dxa"/>
          </w:tcPr>
          <w:p w14:paraId="4638ADC5" w14:textId="77777777" w:rsidR="002278AD" w:rsidRDefault="002278AD" w:rsidP="00415E62">
            <w:pPr>
              <w:pStyle w:val="KeinLeerraum"/>
            </w:pPr>
            <w:r>
              <w:t>1</w:t>
            </w:r>
          </w:p>
        </w:tc>
      </w:tr>
      <w:tr w:rsidR="002278AD" w14:paraId="0B09AAB0" w14:textId="77777777" w:rsidTr="00415E62">
        <w:tc>
          <w:tcPr>
            <w:tcW w:w="7763" w:type="dxa"/>
          </w:tcPr>
          <w:p w14:paraId="50388670" w14:textId="77777777" w:rsidR="002278AD" w:rsidRDefault="002278AD" w:rsidP="00415E62">
            <w:pPr>
              <w:pStyle w:val="KeinLeerraum"/>
            </w:pPr>
            <w:r>
              <w:t>Section 11.13</w:t>
            </w:r>
          </w:p>
        </w:tc>
        <w:tc>
          <w:tcPr>
            <w:tcW w:w="1859" w:type="dxa"/>
          </w:tcPr>
          <w:p w14:paraId="238A4870" w14:textId="77777777" w:rsidR="002278AD" w:rsidRDefault="002278AD" w:rsidP="00415E62">
            <w:pPr>
              <w:pStyle w:val="KeinLeerraum"/>
            </w:pPr>
            <w:r>
              <w:t>5</w:t>
            </w:r>
          </w:p>
        </w:tc>
      </w:tr>
      <w:tr w:rsidR="002278AD" w14:paraId="7B2B820F" w14:textId="77777777" w:rsidTr="00415E62">
        <w:tc>
          <w:tcPr>
            <w:tcW w:w="7763" w:type="dxa"/>
          </w:tcPr>
          <w:p w14:paraId="0CE5C5AF" w14:textId="77777777" w:rsidR="002278AD" w:rsidRDefault="002278AD" w:rsidP="00415E62">
            <w:pPr>
              <w:pStyle w:val="KeinLeerraum"/>
            </w:pPr>
            <w:r>
              <w:t>Section 11.13.3</w:t>
            </w:r>
          </w:p>
        </w:tc>
        <w:tc>
          <w:tcPr>
            <w:tcW w:w="1859" w:type="dxa"/>
          </w:tcPr>
          <w:p w14:paraId="65DD7056" w14:textId="77777777" w:rsidR="002278AD" w:rsidRDefault="002278AD" w:rsidP="00415E62">
            <w:pPr>
              <w:pStyle w:val="KeinLeerraum"/>
            </w:pPr>
            <w:r>
              <w:t>1</w:t>
            </w:r>
          </w:p>
        </w:tc>
      </w:tr>
      <w:tr w:rsidR="002278AD" w14:paraId="2B0B3D87" w14:textId="77777777" w:rsidTr="00415E62">
        <w:tc>
          <w:tcPr>
            <w:tcW w:w="7763" w:type="dxa"/>
          </w:tcPr>
          <w:p w14:paraId="4F296C17" w14:textId="77777777" w:rsidR="002278AD" w:rsidRDefault="002278AD" w:rsidP="000C6565">
            <w:pPr>
              <w:pStyle w:val="KeinLeerraum"/>
            </w:pPr>
            <w:r>
              <w:t>Section 11.13.6</w:t>
            </w:r>
          </w:p>
        </w:tc>
        <w:tc>
          <w:tcPr>
            <w:tcW w:w="1859" w:type="dxa"/>
          </w:tcPr>
          <w:p w14:paraId="032484E7" w14:textId="77777777" w:rsidR="002278AD" w:rsidRDefault="002278AD" w:rsidP="00415E62">
            <w:pPr>
              <w:pStyle w:val="KeinLeerraum"/>
            </w:pPr>
            <w:r>
              <w:t>1</w:t>
            </w:r>
          </w:p>
        </w:tc>
      </w:tr>
      <w:tr w:rsidR="002278AD" w14:paraId="13011195" w14:textId="77777777" w:rsidTr="00415E62">
        <w:tc>
          <w:tcPr>
            <w:tcW w:w="7763" w:type="dxa"/>
          </w:tcPr>
          <w:p w14:paraId="694432F1" w14:textId="77777777" w:rsidR="002278AD" w:rsidRDefault="002278AD" w:rsidP="000C6565">
            <w:pPr>
              <w:pStyle w:val="KeinLeerraum"/>
            </w:pPr>
            <w:r>
              <w:t>Section 11.13.7</w:t>
            </w:r>
          </w:p>
        </w:tc>
        <w:tc>
          <w:tcPr>
            <w:tcW w:w="1859" w:type="dxa"/>
          </w:tcPr>
          <w:p w14:paraId="786342A8" w14:textId="77777777" w:rsidR="002278AD" w:rsidRDefault="002278AD" w:rsidP="00415E62">
            <w:pPr>
              <w:pStyle w:val="KeinLeerraum"/>
            </w:pPr>
            <w:r>
              <w:t>1</w:t>
            </w:r>
          </w:p>
        </w:tc>
      </w:tr>
      <w:tr w:rsidR="002278AD" w14:paraId="65B428F4" w14:textId="77777777" w:rsidTr="00415E62">
        <w:tc>
          <w:tcPr>
            <w:tcW w:w="7763" w:type="dxa"/>
          </w:tcPr>
          <w:p w14:paraId="2B0C3FFF" w14:textId="77777777" w:rsidR="002278AD" w:rsidRDefault="002278AD" w:rsidP="00415E62">
            <w:pPr>
              <w:pStyle w:val="KeinLeerraum"/>
            </w:pPr>
            <w:r>
              <w:t>Figure 7.10</w:t>
            </w:r>
          </w:p>
        </w:tc>
        <w:tc>
          <w:tcPr>
            <w:tcW w:w="1859" w:type="dxa"/>
          </w:tcPr>
          <w:p w14:paraId="0FFFDC53" w14:textId="77777777" w:rsidR="002278AD" w:rsidRDefault="002278AD" w:rsidP="00415E62">
            <w:pPr>
              <w:pStyle w:val="KeinLeerraum"/>
            </w:pPr>
            <w:r>
              <w:t>1</w:t>
            </w:r>
          </w:p>
        </w:tc>
      </w:tr>
      <w:tr w:rsidR="002278AD" w14:paraId="475C3648" w14:textId="77777777" w:rsidTr="00415E62">
        <w:tc>
          <w:tcPr>
            <w:tcW w:w="7763" w:type="dxa"/>
          </w:tcPr>
          <w:p w14:paraId="4B93F973" w14:textId="77777777" w:rsidR="002278AD" w:rsidRDefault="002278AD" w:rsidP="00415E62">
            <w:pPr>
              <w:pStyle w:val="KeinLeerraum"/>
            </w:pPr>
            <w:r>
              <w:t>Figure 7.11</w:t>
            </w:r>
          </w:p>
        </w:tc>
        <w:tc>
          <w:tcPr>
            <w:tcW w:w="1859" w:type="dxa"/>
          </w:tcPr>
          <w:p w14:paraId="06D57E55" w14:textId="77777777" w:rsidR="002278AD" w:rsidRDefault="002278AD" w:rsidP="00415E62">
            <w:pPr>
              <w:pStyle w:val="KeinLeerraum"/>
            </w:pPr>
            <w:r>
              <w:t>2</w:t>
            </w:r>
          </w:p>
        </w:tc>
      </w:tr>
      <w:tr w:rsidR="002278AD" w14:paraId="5326132D" w14:textId="77777777" w:rsidTr="00415E62">
        <w:tc>
          <w:tcPr>
            <w:tcW w:w="7763" w:type="dxa"/>
          </w:tcPr>
          <w:p w14:paraId="379B32DC" w14:textId="77777777" w:rsidR="002278AD" w:rsidRDefault="002278AD" w:rsidP="00415E62">
            <w:pPr>
              <w:pStyle w:val="KeinLeerraum"/>
            </w:pPr>
            <w:r>
              <w:t>Figure 7.12</w:t>
            </w:r>
          </w:p>
        </w:tc>
        <w:tc>
          <w:tcPr>
            <w:tcW w:w="1859" w:type="dxa"/>
          </w:tcPr>
          <w:p w14:paraId="57FAFF6E" w14:textId="77777777" w:rsidR="002278AD" w:rsidRDefault="002278AD" w:rsidP="00415E62">
            <w:pPr>
              <w:pStyle w:val="KeinLeerraum"/>
            </w:pPr>
            <w:r>
              <w:t>1</w:t>
            </w:r>
          </w:p>
        </w:tc>
      </w:tr>
      <w:tr w:rsidR="002278AD" w14:paraId="5630870D" w14:textId="77777777" w:rsidTr="00415E62">
        <w:tc>
          <w:tcPr>
            <w:tcW w:w="7763" w:type="dxa"/>
          </w:tcPr>
          <w:p w14:paraId="76BA749E" w14:textId="77777777" w:rsidR="002278AD" w:rsidRDefault="002278AD" w:rsidP="00415E62">
            <w:pPr>
              <w:pStyle w:val="KeinLeerraum"/>
            </w:pPr>
            <w:r>
              <w:t>Figure 11.22</w:t>
            </w:r>
          </w:p>
        </w:tc>
        <w:tc>
          <w:tcPr>
            <w:tcW w:w="1859" w:type="dxa"/>
          </w:tcPr>
          <w:p w14:paraId="6A18D858" w14:textId="77777777" w:rsidR="002278AD" w:rsidRDefault="002278AD" w:rsidP="00415E62">
            <w:pPr>
              <w:pStyle w:val="KeinLeerraum"/>
            </w:pPr>
          </w:p>
        </w:tc>
      </w:tr>
    </w:tbl>
    <w:p w14:paraId="1EB9EAD2" w14:textId="77777777" w:rsidR="00415E62" w:rsidRDefault="00415E62" w:rsidP="00415E62"/>
    <w:p w14:paraId="5D723FBF" w14:textId="77777777" w:rsidR="00415E62" w:rsidRDefault="00415E62" w:rsidP="00415E62">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28"/>
        <w:gridCol w:w="8041"/>
        <w:gridCol w:w="827"/>
      </w:tblGrid>
      <w:tr w:rsidR="00415E62" w14:paraId="0C3F8747" w14:textId="77777777" w:rsidTr="00415E62">
        <w:tc>
          <w:tcPr>
            <w:tcW w:w="531" w:type="dxa"/>
          </w:tcPr>
          <w:p w14:paraId="03046AD7" w14:textId="77777777" w:rsidR="00415E62" w:rsidRPr="00F71281" w:rsidRDefault="00415E62" w:rsidP="00415E62">
            <w:pPr>
              <w:pStyle w:val="KeinLeerraum"/>
              <w:rPr>
                <w:b/>
              </w:rPr>
            </w:pPr>
            <w:r>
              <w:rPr>
                <w:b/>
              </w:rPr>
              <w:t>#</w:t>
            </w:r>
          </w:p>
        </w:tc>
        <w:tc>
          <w:tcPr>
            <w:tcW w:w="8262" w:type="dxa"/>
          </w:tcPr>
          <w:p w14:paraId="5B837586" w14:textId="77777777" w:rsidR="00415E62" w:rsidRPr="00F71281" w:rsidRDefault="00415E62" w:rsidP="00415E62">
            <w:pPr>
              <w:pStyle w:val="KeinLeerraum"/>
              <w:rPr>
                <w:b/>
              </w:rPr>
            </w:pPr>
            <w:r w:rsidRPr="00F71281">
              <w:rPr>
                <w:b/>
              </w:rPr>
              <w:t>Statements</w:t>
            </w:r>
          </w:p>
        </w:tc>
        <w:tc>
          <w:tcPr>
            <w:tcW w:w="829" w:type="dxa"/>
          </w:tcPr>
          <w:p w14:paraId="5D407118" w14:textId="77777777" w:rsidR="00415E62" w:rsidRPr="00415E62" w:rsidRDefault="00415E62" w:rsidP="00415E62">
            <w:pPr>
              <w:pStyle w:val="KeinLeerraum"/>
              <w:rPr>
                <w:b/>
                <w:bCs/>
              </w:rPr>
            </w:pPr>
            <w:r w:rsidRPr="00415E62">
              <w:rPr>
                <w:b/>
                <w:bCs/>
              </w:rPr>
              <w:t>Loc.</w:t>
            </w:r>
          </w:p>
        </w:tc>
      </w:tr>
      <w:tr w:rsidR="00415E62" w14:paraId="7894A273" w14:textId="77777777" w:rsidTr="00415E62">
        <w:tc>
          <w:tcPr>
            <w:tcW w:w="531" w:type="dxa"/>
          </w:tcPr>
          <w:p w14:paraId="7C35754C" w14:textId="77777777" w:rsidR="00415E62" w:rsidRDefault="00415E62" w:rsidP="00415E62">
            <w:pPr>
              <w:pStyle w:val="KeinLeerraum"/>
            </w:pPr>
            <w:r>
              <w:t>1</w:t>
            </w:r>
          </w:p>
        </w:tc>
        <w:tc>
          <w:tcPr>
            <w:tcW w:w="8262" w:type="dxa"/>
          </w:tcPr>
          <w:p w14:paraId="29E1E1E4" w14:textId="77777777" w:rsidR="00415E62" w:rsidRDefault="002278AD" w:rsidP="00415E62">
            <w:pPr>
              <w:pStyle w:val="KeinLeerraum"/>
            </w:pPr>
            <w:r>
              <w:t xml:space="preserve">Combining </w:t>
            </w:r>
            <w:r w:rsidRPr="00C21F57">
              <w:rPr>
                <w:b/>
                <w:bCs/>
                <w:color w:val="F79646" w:themeColor="accent6"/>
              </w:rPr>
              <w:t>bioenergy with CCS (BECCS)</w:t>
            </w:r>
            <w:r w:rsidRPr="00C21F57">
              <w:rPr>
                <w:color w:val="F79646" w:themeColor="accent6"/>
              </w:rPr>
              <w:t xml:space="preserve"> </w:t>
            </w:r>
            <w:r>
              <w:t xml:space="preserve">offers the prospect of energy supply with large-scale net </w:t>
            </w:r>
            <w:r w:rsidRPr="009B6DFB">
              <w:rPr>
                <w:b/>
                <w:bCs/>
                <w:color w:val="8064A2" w:themeColor="accent4"/>
              </w:rPr>
              <w:t>negative emissions</w:t>
            </w:r>
            <w:r>
              <w:t xml:space="preserve">, which </w:t>
            </w:r>
            <w:r w:rsidRPr="002278AD">
              <w:rPr>
                <w:b/>
                <w:bCs/>
              </w:rPr>
              <w:t>plays an important role in many low-stabilization scenarios, while it entails challenges and risks</w:t>
            </w:r>
            <w:r>
              <w:t xml:space="preserve"> (limited evidence, medium agreement).</w:t>
            </w:r>
          </w:p>
        </w:tc>
        <w:tc>
          <w:tcPr>
            <w:tcW w:w="829" w:type="dxa"/>
          </w:tcPr>
          <w:p w14:paraId="59A3B647" w14:textId="77777777" w:rsidR="00415E62" w:rsidRDefault="002278AD" w:rsidP="00415E62">
            <w:pPr>
              <w:pStyle w:val="KeinLeerraum"/>
            </w:pPr>
            <w:r>
              <w:t>ES</w:t>
            </w:r>
          </w:p>
        </w:tc>
      </w:tr>
      <w:tr w:rsidR="00415E62" w14:paraId="1AFB644C" w14:textId="77777777" w:rsidTr="00415E62">
        <w:tc>
          <w:tcPr>
            <w:tcW w:w="531" w:type="dxa"/>
          </w:tcPr>
          <w:p w14:paraId="7928FBC0" w14:textId="77777777" w:rsidR="00415E62" w:rsidRDefault="00415E62" w:rsidP="00415E62">
            <w:pPr>
              <w:pStyle w:val="KeinLeerraum"/>
            </w:pPr>
            <w:r>
              <w:t>2</w:t>
            </w:r>
          </w:p>
        </w:tc>
        <w:tc>
          <w:tcPr>
            <w:tcW w:w="8262" w:type="dxa"/>
          </w:tcPr>
          <w:p w14:paraId="344EFD32" w14:textId="77777777" w:rsidR="00415E62" w:rsidRDefault="002278AD" w:rsidP="00415E62">
            <w:pPr>
              <w:pStyle w:val="KeinLeerraum"/>
            </w:pPr>
            <w:r>
              <w:t xml:space="preserve">These challenges and risks include those associated with the </w:t>
            </w:r>
            <w:r w:rsidRPr="002278AD">
              <w:rPr>
                <w:b/>
                <w:bCs/>
              </w:rPr>
              <w:t xml:space="preserve">upstream provision of the biomass </w:t>
            </w:r>
            <w:r>
              <w:t xml:space="preserve">that is used in the CCS facility as well as those associated with the </w:t>
            </w:r>
            <w:r w:rsidRPr="002278AD">
              <w:rPr>
                <w:b/>
                <w:bCs/>
              </w:rPr>
              <w:t>CCS technology itself</w:t>
            </w:r>
            <w:r>
              <w:t>.</w:t>
            </w:r>
          </w:p>
        </w:tc>
        <w:tc>
          <w:tcPr>
            <w:tcW w:w="829" w:type="dxa"/>
          </w:tcPr>
          <w:p w14:paraId="55543829" w14:textId="77777777" w:rsidR="00415E62" w:rsidRDefault="002278AD" w:rsidP="00415E62">
            <w:pPr>
              <w:pStyle w:val="KeinLeerraum"/>
            </w:pPr>
            <w:r>
              <w:t>ES</w:t>
            </w:r>
          </w:p>
        </w:tc>
      </w:tr>
      <w:tr w:rsidR="00415E62" w14:paraId="4CA4080B" w14:textId="77777777" w:rsidTr="00415E62">
        <w:tc>
          <w:tcPr>
            <w:tcW w:w="531" w:type="dxa"/>
          </w:tcPr>
          <w:p w14:paraId="39438490" w14:textId="77777777" w:rsidR="00415E62" w:rsidRDefault="00415E62" w:rsidP="00415E62">
            <w:pPr>
              <w:pStyle w:val="KeinLeerraum"/>
            </w:pPr>
            <w:r>
              <w:t>3</w:t>
            </w:r>
          </w:p>
        </w:tc>
        <w:tc>
          <w:tcPr>
            <w:tcW w:w="8262" w:type="dxa"/>
          </w:tcPr>
          <w:p w14:paraId="6E4150B1" w14:textId="77777777" w:rsidR="00415E62" w:rsidRDefault="002278AD" w:rsidP="00415E62">
            <w:pPr>
              <w:pStyle w:val="KeinLeerraum"/>
            </w:pPr>
            <w:r w:rsidRPr="009B6DFB">
              <w:rPr>
                <w:b/>
                <w:bCs/>
                <w:color w:val="F79646" w:themeColor="accent6"/>
              </w:rPr>
              <w:t>BECCS</w:t>
            </w:r>
            <w:r w:rsidRPr="009B6DFB">
              <w:rPr>
                <w:color w:val="F79646" w:themeColor="accent6"/>
              </w:rPr>
              <w:t xml:space="preserve"> </w:t>
            </w:r>
            <w:r>
              <w:t xml:space="preserve">faces </w:t>
            </w:r>
            <w:r w:rsidRPr="002278AD">
              <w:rPr>
                <w:b/>
                <w:bCs/>
              </w:rPr>
              <w:t>large challenges in financing and currently no such plants have been built and tested at scale</w:t>
            </w:r>
            <w:r>
              <w:t>.</w:t>
            </w:r>
          </w:p>
        </w:tc>
        <w:tc>
          <w:tcPr>
            <w:tcW w:w="829" w:type="dxa"/>
          </w:tcPr>
          <w:p w14:paraId="5AC181F9" w14:textId="77777777" w:rsidR="00415E62" w:rsidRDefault="002278AD" w:rsidP="00415E62">
            <w:pPr>
              <w:pStyle w:val="KeinLeerraum"/>
            </w:pPr>
            <w:r>
              <w:t>ES</w:t>
            </w:r>
          </w:p>
        </w:tc>
      </w:tr>
      <w:tr w:rsidR="00415E62" w14:paraId="22F64170" w14:textId="77777777" w:rsidTr="00415E62">
        <w:tc>
          <w:tcPr>
            <w:tcW w:w="531" w:type="dxa"/>
          </w:tcPr>
          <w:p w14:paraId="4BD57EFD" w14:textId="77777777" w:rsidR="00415E62" w:rsidRDefault="00415E62" w:rsidP="00415E62">
            <w:pPr>
              <w:pStyle w:val="KeinLeerraum"/>
            </w:pPr>
            <w:r>
              <w:t>4</w:t>
            </w:r>
          </w:p>
        </w:tc>
        <w:tc>
          <w:tcPr>
            <w:tcW w:w="8262" w:type="dxa"/>
          </w:tcPr>
          <w:p w14:paraId="58758673" w14:textId="77777777" w:rsidR="00415E62" w:rsidRDefault="003A4B92" w:rsidP="00415E62">
            <w:pPr>
              <w:pStyle w:val="KeinLeerraum"/>
            </w:pPr>
            <w:r>
              <w:t xml:space="preserve">a combination of </w:t>
            </w:r>
            <w:r w:rsidRPr="009B6DFB">
              <w:rPr>
                <w:b/>
                <w:bCs/>
                <w:color w:val="F79646" w:themeColor="accent6"/>
              </w:rPr>
              <w:t>bio-energy and CCS (BECCS)</w:t>
            </w:r>
            <w:r>
              <w:t xml:space="preserve"> generally will result in </w:t>
            </w:r>
            <w:r w:rsidRPr="009B6DFB">
              <w:rPr>
                <w:b/>
                <w:bCs/>
                <w:color w:val="8064A2" w:themeColor="accent4"/>
              </w:rPr>
              <w:t>net negative emissions</w:t>
            </w:r>
          </w:p>
        </w:tc>
        <w:tc>
          <w:tcPr>
            <w:tcW w:w="829" w:type="dxa"/>
          </w:tcPr>
          <w:p w14:paraId="2FB3E21D" w14:textId="77777777" w:rsidR="00415E62" w:rsidRDefault="003A4B92" w:rsidP="00415E62">
            <w:pPr>
              <w:pStyle w:val="KeinLeerraum"/>
            </w:pPr>
            <w:r>
              <w:t>7.5.5</w:t>
            </w:r>
          </w:p>
        </w:tc>
      </w:tr>
      <w:tr w:rsidR="00415E62" w14:paraId="38687533" w14:textId="77777777" w:rsidTr="00415E62">
        <w:tc>
          <w:tcPr>
            <w:tcW w:w="531" w:type="dxa"/>
          </w:tcPr>
          <w:p w14:paraId="5C39236D" w14:textId="77777777" w:rsidR="00415E62" w:rsidRDefault="00415E62" w:rsidP="00415E62">
            <w:pPr>
              <w:pStyle w:val="KeinLeerraum"/>
            </w:pPr>
            <w:r>
              <w:lastRenderedPageBreak/>
              <w:t>5</w:t>
            </w:r>
          </w:p>
        </w:tc>
        <w:tc>
          <w:tcPr>
            <w:tcW w:w="8262" w:type="dxa"/>
          </w:tcPr>
          <w:p w14:paraId="17110037" w14:textId="77777777" w:rsidR="00415E62" w:rsidRDefault="003A4B92" w:rsidP="00415E62">
            <w:pPr>
              <w:pStyle w:val="KeinLeerraum"/>
            </w:pPr>
            <w:r>
              <w:t xml:space="preserve">Currently, </w:t>
            </w:r>
            <w:r w:rsidRPr="003A4B92">
              <w:rPr>
                <w:b/>
                <w:bCs/>
              </w:rPr>
              <w:t xml:space="preserve">two small-scale examples of commercial precursors to </w:t>
            </w:r>
            <w:r w:rsidRPr="003A4B92">
              <w:rPr>
                <w:b/>
                <w:bCs/>
                <w:color w:val="F79646" w:themeColor="accent6"/>
              </w:rPr>
              <w:t>BECCS</w:t>
            </w:r>
            <w:r w:rsidRPr="009B6DFB">
              <w:rPr>
                <w:color w:val="F79646" w:themeColor="accent6"/>
              </w:rPr>
              <w:t xml:space="preserve"> </w:t>
            </w:r>
            <w:r>
              <w:t>are capturing CO2 emissions from ethanol production facilities for enhanced oil recovery in close-proximity facilities (DiPietro and Balash, 2012).</w:t>
            </w:r>
          </w:p>
        </w:tc>
        <w:tc>
          <w:tcPr>
            <w:tcW w:w="829" w:type="dxa"/>
          </w:tcPr>
          <w:p w14:paraId="0241FBE0" w14:textId="77777777" w:rsidR="00415E62" w:rsidRDefault="003A4B92" w:rsidP="00415E62">
            <w:pPr>
              <w:pStyle w:val="KeinLeerraum"/>
            </w:pPr>
            <w:r>
              <w:t>7.5.5</w:t>
            </w:r>
          </w:p>
        </w:tc>
      </w:tr>
      <w:tr w:rsidR="00415E62" w14:paraId="4237BAC0" w14:textId="77777777" w:rsidTr="00415E62">
        <w:tc>
          <w:tcPr>
            <w:tcW w:w="531" w:type="dxa"/>
          </w:tcPr>
          <w:p w14:paraId="1A65018B" w14:textId="77777777" w:rsidR="00415E62" w:rsidRDefault="00415E62" w:rsidP="00415E62">
            <w:pPr>
              <w:pStyle w:val="KeinLeerraum"/>
            </w:pPr>
            <w:r>
              <w:t>6</w:t>
            </w:r>
          </w:p>
        </w:tc>
        <w:tc>
          <w:tcPr>
            <w:tcW w:w="8262" w:type="dxa"/>
          </w:tcPr>
          <w:p w14:paraId="2FF8FE13" w14:textId="77777777" w:rsidR="00415E62" w:rsidRDefault="003A4B92" w:rsidP="00415E62">
            <w:pPr>
              <w:pStyle w:val="KeinLeerraum"/>
            </w:pPr>
            <w:r w:rsidRPr="009B6DFB">
              <w:rPr>
                <w:b/>
                <w:bCs/>
                <w:color w:val="F79646" w:themeColor="accent6"/>
              </w:rPr>
              <w:t>BECCS</w:t>
            </w:r>
            <w:r w:rsidRPr="009B6DFB">
              <w:rPr>
                <w:color w:val="F79646" w:themeColor="accent6"/>
              </w:rPr>
              <w:t xml:space="preserve"> </w:t>
            </w:r>
            <w:r>
              <w:t xml:space="preserve">is one of the few technologies that is </w:t>
            </w:r>
            <w:r w:rsidRPr="00530D72">
              <w:rPr>
                <w:b/>
                <w:bCs/>
              </w:rPr>
              <w:t>capable of removing past CO2 emissions remaining in the atmosphere</w:t>
            </w:r>
            <w:r>
              <w:t>.</w:t>
            </w:r>
          </w:p>
        </w:tc>
        <w:tc>
          <w:tcPr>
            <w:tcW w:w="829" w:type="dxa"/>
          </w:tcPr>
          <w:p w14:paraId="7E37EACD" w14:textId="77777777" w:rsidR="00415E62" w:rsidRDefault="003A4B92" w:rsidP="00415E62">
            <w:pPr>
              <w:pStyle w:val="KeinLeerraum"/>
            </w:pPr>
            <w:r>
              <w:t>7.5.5</w:t>
            </w:r>
          </w:p>
        </w:tc>
      </w:tr>
      <w:tr w:rsidR="00415E62" w14:paraId="06B5E80D" w14:textId="77777777" w:rsidTr="00415E62">
        <w:tc>
          <w:tcPr>
            <w:tcW w:w="531" w:type="dxa"/>
          </w:tcPr>
          <w:p w14:paraId="6F043063" w14:textId="77777777" w:rsidR="00415E62" w:rsidRDefault="00415E62" w:rsidP="00415E62">
            <w:pPr>
              <w:pStyle w:val="KeinLeerraum"/>
            </w:pPr>
            <w:r>
              <w:t>7</w:t>
            </w:r>
          </w:p>
        </w:tc>
        <w:tc>
          <w:tcPr>
            <w:tcW w:w="8262" w:type="dxa"/>
          </w:tcPr>
          <w:p w14:paraId="0EC1419A" w14:textId="77777777" w:rsidR="00415E62" w:rsidRDefault="00530D72" w:rsidP="00415E62">
            <w:pPr>
              <w:pStyle w:val="KeinLeerraum"/>
            </w:pPr>
            <w:r>
              <w:t xml:space="preserve">As this </w:t>
            </w:r>
            <w:r w:rsidRPr="00530D72">
              <w:rPr>
                <w:b/>
                <w:bCs/>
              </w:rPr>
              <w:t>enhances the ‘when’ (i.e., temporal) flexibility</w:t>
            </w:r>
            <w:r>
              <w:t xml:space="preserve"> during the design of mitigation scenarios considerably, </w:t>
            </w:r>
            <w:r w:rsidRPr="009B6DFB">
              <w:rPr>
                <w:b/>
                <w:bCs/>
                <w:color w:val="F79646" w:themeColor="accent6"/>
              </w:rPr>
              <w:t>BECCS</w:t>
            </w:r>
            <w:r w:rsidRPr="009B6DFB">
              <w:rPr>
                <w:color w:val="F79646" w:themeColor="accent6"/>
              </w:rPr>
              <w:t xml:space="preserve"> </w:t>
            </w:r>
            <w:r>
              <w:t xml:space="preserve">plays a prominent role in many of the low-stabilization pathways discussed in </w:t>
            </w:r>
            <w:r w:rsidRPr="00CB73D4">
              <w:rPr>
                <w:b/>
                <w:bCs/>
                <w:color w:val="FF0000"/>
              </w:rPr>
              <w:t>Chapter 6</w:t>
            </w:r>
            <w:r>
              <w:t xml:space="preserve"> and </w:t>
            </w:r>
            <w:r w:rsidRPr="00CB73D4">
              <w:rPr>
                <w:b/>
                <w:bCs/>
                <w:color w:val="FF0000"/>
              </w:rPr>
              <w:t>Section 7.11</w:t>
            </w:r>
            <w:r>
              <w:t>.</w:t>
            </w:r>
          </w:p>
        </w:tc>
        <w:tc>
          <w:tcPr>
            <w:tcW w:w="829" w:type="dxa"/>
          </w:tcPr>
          <w:p w14:paraId="26FE5955" w14:textId="77777777" w:rsidR="00415E62" w:rsidRDefault="00530D72" w:rsidP="00415E62">
            <w:pPr>
              <w:pStyle w:val="KeinLeerraum"/>
            </w:pPr>
            <w:r>
              <w:t>7.5.5</w:t>
            </w:r>
          </w:p>
        </w:tc>
      </w:tr>
      <w:tr w:rsidR="00415E62" w14:paraId="1AE78ED7" w14:textId="77777777" w:rsidTr="00415E62">
        <w:tc>
          <w:tcPr>
            <w:tcW w:w="531" w:type="dxa"/>
          </w:tcPr>
          <w:p w14:paraId="0B93E9DB" w14:textId="77777777" w:rsidR="00415E62" w:rsidRDefault="00415E62" w:rsidP="00415E62">
            <w:pPr>
              <w:pStyle w:val="KeinLeerraum"/>
            </w:pPr>
            <w:r>
              <w:t>8</w:t>
            </w:r>
          </w:p>
        </w:tc>
        <w:tc>
          <w:tcPr>
            <w:tcW w:w="8262" w:type="dxa"/>
          </w:tcPr>
          <w:p w14:paraId="447F33B3" w14:textId="77777777" w:rsidR="00415E62" w:rsidRDefault="00530D72" w:rsidP="00415E62">
            <w:pPr>
              <w:pStyle w:val="KeinLeerraum"/>
            </w:pPr>
            <w:r>
              <w:t xml:space="preserve">Potential risks associated with </w:t>
            </w:r>
            <w:r w:rsidRPr="009B6DFB">
              <w:rPr>
                <w:b/>
                <w:bCs/>
                <w:color w:val="F79646" w:themeColor="accent6"/>
              </w:rPr>
              <w:t>BECCS</w:t>
            </w:r>
            <w:r w:rsidRPr="009B6DFB">
              <w:rPr>
                <w:color w:val="F79646" w:themeColor="accent6"/>
              </w:rPr>
              <w:t xml:space="preserve"> </w:t>
            </w:r>
            <w:r>
              <w:t xml:space="preserve">technologies are related to those associated with the </w:t>
            </w:r>
            <w:r w:rsidRPr="00530D72">
              <w:rPr>
                <w:b/>
                <w:bCs/>
              </w:rPr>
              <w:t>upstream provision of the used biomass</w:t>
            </w:r>
            <w:r>
              <w:t>9 (</w:t>
            </w:r>
            <w:r w:rsidRPr="00CB73D4">
              <w:rPr>
                <w:b/>
                <w:bCs/>
                <w:color w:val="FF0000"/>
              </w:rPr>
              <w:t>see Section 11.13</w:t>
            </w:r>
            <w:r>
              <w:t xml:space="preserve">) as well as those </w:t>
            </w:r>
            <w:r w:rsidRPr="00530D72">
              <w:rPr>
                <w:b/>
                <w:bCs/>
              </w:rPr>
              <w:t>originating from the capture, transport, and long-term underground storage of CO2</w:t>
            </w:r>
            <w:r>
              <w:t xml:space="preserve"> that would be emitted otherwise</w:t>
            </w:r>
          </w:p>
        </w:tc>
        <w:tc>
          <w:tcPr>
            <w:tcW w:w="829" w:type="dxa"/>
          </w:tcPr>
          <w:p w14:paraId="5EEF3C42" w14:textId="77777777" w:rsidR="00415E62" w:rsidRDefault="00530D72" w:rsidP="00415E62">
            <w:pPr>
              <w:pStyle w:val="KeinLeerraum"/>
            </w:pPr>
            <w:r>
              <w:t>7.5.5</w:t>
            </w:r>
          </w:p>
        </w:tc>
      </w:tr>
      <w:tr w:rsidR="00415E62" w14:paraId="3687470D" w14:textId="77777777" w:rsidTr="00415E62">
        <w:tc>
          <w:tcPr>
            <w:tcW w:w="531" w:type="dxa"/>
          </w:tcPr>
          <w:p w14:paraId="405F7FEF" w14:textId="77777777" w:rsidR="00415E62" w:rsidRDefault="00415E62" w:rsidP="00415E62">
            <w:pPr>
              <w:pStyle w:val="KeinLeerraum"/>
            </w:pPr>
            <w:r>
              <w:t>9</w:t>
            </w:r>
          </w:p>
        </w:tc>
        <w:tc>
          <w:tcPr>
            <w:tcW w:w="8262" w:type="dxa"/>
          </w:tcPr>
          <w:p w14:paraId="2ABBC5A6" w14:textId="77777777" w:rsidR="00415E62" w:rsidRDefault="00530D72" w:rsidP="00415E62">
            <w:pPr>
              <w:pStyle w:val="KeinLeerraum"/>
            </w:pPr>
            <w:r w:rsidRPr="009B6DFB">
              <w:rPr>
                <w:b/>
                <w:bCs/>
                <w:color w:val="F79646" w:themeColor="accent6"/>
              </w:rPr>
              <w:t>BECCS</w:t>
            </w:r>
            <w:r w:rsidRPr="009B6DFB">
              <w:rPr>
                <w:color w:val="F79646" w:themeColor="accent6"/>
              </w:rPr>
              <w:t xml:space="preserve"> </w:t>
            </w:r>
            <w:r>
              <w:t>costs can be reduced by using large-scale biomass conversion facilities, which, in turn, require the development of cost-effective and low-emitting largescale feedstock and supply logistics</w:t>
            </w:r>
          </w:p>
        </w:tc>
        <w:tc>
          <w:tcPr>
            <w:tcW w:w="829" w:type="dxa"/>
          </w:tcPr>
          <w:p w14:paraId="009A3246" w14:textId="77777777" w:rsidR="00415E62" w:rsidRDefault="00530D72" w:rsidP="00415E62">
            <w:pPr>
              <w:pStyle w:val="KeinLeerraum"/>
            </w:pPr>
            <w:r>
              <w:t>7.5.5</w:t>
            </w:r>
          </w:p>
        </w:tc>
      </w:tr>
      <w:tr w:rsidR="00415E62" w14:paraId="37021677" w14:textId="77777777" w:rsidTr="00415E62">
        <w:tc>
          <w:tcPr>
            <w:tcW w:w="531" w:type="dxa"/>
          </w:tcPr>
          <w:p w14:paraId="7EBD8A39" w14:textId="77777777" w:rsidR="00415E62" w:rsidRPr="00F71281" w:rsidRDefault="00415E62" w:rsidP="00415E62">
            <w:pPr>
              <w:pStyle w:val="KeinLeerraum"/>
            </w:pPr>
            <w:r>
              <w:t>10</w:t>
            </w:r>
          </w:p>
        </w:tc>
        <w:tc>
          <w:tcPr>
            <w:tcW w:w="8262" w:type="dxa"/>
          </w:tcPr>
          <w:p w14:paraId="486CA378" w14:textId="77777777" w:rsidR="00415E62" w:rsidRDefault="00530D72" w:rsidP="00415E62">
            <w:pPr>
              <w:pStyle w:val="KeinLeerraum"/>
            </w:pPr>
            <w:r>
              <w:t xml:space="preserve">The CCS technologies applied in the power sector will only become competitive with unabated technologies if the additional equipment attached to the power plant and their decreased efficiency as well as the additional cost for CO2 transport and storage is </w:t>
            </w:r>
            <w:r w:rsidRPr="00530D72">
              <w:rPr>
                <w:b/>
                <w:bCs/>
              </w:rPr>
              <w:t>compensated by sufficiently high carbon prices or direct financial support</w:t>
            </w:r>
          </w:p>
        </w:tc>
        <w:tc>
          <w:tcPr>
            <w:tcW w:w="829" w:type="dxa"/>
          </w:tcPr>
          <w:p w14:paraId="0AC808B1" w14:textId="77777777" w:rsidR="00415E62" w:rsidRDefault="00530D72" w:rsidP="00415E62">
            <w:pPr>
              <w:pStyle w:val="KeinLeerraum"/>
            </w:pPr>
            <w:r>
              <w:t>7.8.2</w:t>
            </w:r>
          </w:p>
        </w:tc>
      </w:tr>
      <w:tr w:rsidR="00415E62" w14:paraId="4029EA72" w14:textId="77777777" w:rsidTr="00415E62">
        <w:tc>
          <w:tcPr>
            <w:tcW w:w="531" w:type="dxa"/>
          </w:tcPr>
          <w:p w14:paraId="6624947E" w14:textId="77777777" w:rsidR="00415E62" w:rsidRPr="00F71281" w:rsidRDefault="00415E62" w:rsidP="00415E62">
            <w:pPr>
              <w:pStyle w:val="KeinLeerraum"/>
            </w:pPr>
            <w:r>
              <w:t>11</w:t>
            </w:r>
          </w:p>
        </w:tc>
        <w:tc>
          <w:tcPr>
            <w:tcW w:w="8262" w:type="dxa"/>
          </w:tcPr>
          <w:p w14:paraId="246187A2" w14:textId="77777777" w:rsidR="00415E62" w:rsidRDefault="00530D72" w:rsidP="00415E62">
            <w:pPr>
              <w:pStyle w:val="KeinLeerraum"/>
            </w:pPr>
            <w:r w:rsidRPr="009B6DFB">
              <w:rPr>
                <w:b/>
                <w:bCs/>
                <w:color w:val="F79646" w:themeColor="accent6"/>
              </w:rPr>
              <w:t>BECCS</w:t>
            </w:r>
            <w:r w:rsidRPr="009B6DFB">
              <w:rPr>
                <w:color w:val="F79646" w:themeColor="accent6"/>
              </w:rPr>
              <w:t xml:space="preserve"> </w:t>
            </w:r>
            <w:r>
              <w:t xml:space="preserve">faces </w:t>
            </w:r>
            <w:r w:rsidRPr="00530D72">
              <w:rPr>
                <w:b/>
                <w:bCs/>
              </w:rPr>
              <w:t>large challenges in financing</w:t>
            </w:r>
            <w:r>
              <w:t xml:space="preserve"> and currently no such plants have been built and tested at scale</w:t>
            </w:r>
          </w:p>
        </w:tc>
        <w:tc>
          <w:tcPr>
            <w:tcW w:w="829" w:type="dxa"/>
          </w:tcPr>
          <w:p w14:paraId="4C9D0DDE" w14:textId="77777777" w:rsidR="00415E62" w:rsidRDefault="00530D72" w:rsidP="00415E62">
            <w:pPr>
              <w:pStyle w:val="KeinLeerraum"/>
            </w:pPr>
            <w:r>
              <w:t>7.8.2</w:t>
            </w:r>
          </w:p>
        </w:tc>
      </w:tr>
      <w:tr w:rsidR="00415E62" w14:paraId="4B455F1B" w14:textId="77777777" w:rsidTr="00415E62">
        <w:tc>
          <w:tcPr>
            <w:tcW w:w="531" w:type="dxa"/>
          </w:tcPr>
          <w:p w14:paraId="2313E75D" w14:textId="77777777" w:rsidR="00415E62" w:rsidRPr="00F71281" w:rsidRDefault="00415E62" w:rsidP="00415E62">
            <w:pPr>
              <w:pStyle w:val="KeinLeerraum"/>
            </w:pPr>
            <w:r>
              <w:t>12</w:t>
            </w:r>
          </w:p>
        </w:tc>
        <w:tc>
          <w:tcPr>
            <w:tcW w:w="8262" w:type="dxa"/>
          </w:tcPr>
          <w:p w14:paraId="4D9FAD5B" w14:textId="77777777" w:rsidR="00415E62" w:rsidRDefault="00530D72" w:rsidP="00415E62">
            <w:pPr>
              <w:pStyle w:val="KeinLeerraum"/>
            </w:pPr>
            <w:r>
              <w:t>Integrated models (see Section 6.2) tend to agree that</w:t>
            </w:r>
            <w:r w:rsidRPr="00530D72">
              <w:rPr>
                <w:b/>
                <w:bCs/>
              </w:rPr>
              <w:t xml:space="preserve"> at about USD 100–150/tCO2 the electricity sector is largely decarbonized with a significant fraction being from CCS deployment</w:t>
            </w:r>
          </w:p>
        </w:tc>
        <w:tc>
          <w:tcPr>
            <w:tcW w:w="829" w:type="dxa"/>
          </w:tcPr>
          <w:p w14:paraId="01CA5C58" w14:textId="77777777" w:rsidR="00415E62" w:rsidRDefault="00530D72" w:rsidP="00415E62">
            <w:pPr>
              <w:pStyle w:val="KeinLeerraum"/>
            </w:pPr>
            <w:r>
              <w:t>7.11.2</w:t>
            </w:r>
          </w:p>
        </w:tc>
      </w:tr>
      <w:tr w:rsidR="00415E62" w14:paraId="75E1D952" w14:textId="77777777" w:rsidTr="00415E62">
        <w:tc>
          <w:tcPr>
            <w:tcW w:w="531" w:type="dxa"/>
          </w:tcPr>
          <w:p w14:paraId="3F5E5F0F" w14:textId="77777777" w:rsidR="00415E62" w:rsidRPr="00F71281" w:rsidRDefault="00415E62" w:rsidP="00415E62">
            <w:pPr>
              <w:pStyle w:val="KeinLeerraum"/>
            </w:pPr>
            <w:r>
              <w:t>13</w:t>
            </w:r>
          </w:p>
        </w:tc>
        <w:tc>
          <w:tcPr>
            <w:tcW w:w="8262" w:type="dxa"/>
          </w:tcPr>
          <w:p w14:paraId="2271A189" w14:textId="77777777" w:rsidR="00415E62" w:rsidRDefault="00530D72" w:rsidP="00415E62">
            <w:pPr>
              <w:pStyle w:val="KeinLeerraum"/>
            </w:pPr>
            <w:r>
              <w:t xml:space="preserve">Many scenarios in the WGIII AR5 Scenario Database achieve this decarbonization at a carbon tax of approximately USD 100/tCO2. This price is sufficient, in most scenarios, to produce large-scale utilization of </w:t>
            </w:r>
            <w:r w:rsidRPr="009B6DFB">
              <w:rPr>
                <w:b/>
                <w:bCs/>
                <w:color w:val="F79646" w:themeColor="accent6"/>
              </w:rPr>
              <w:t>bioenergy with CCS (BECCS)</w:t>
            </w:r>
          </w:p>
        </w:tc>
        <w:tc>
          <w:tcPr>
            <w:tcW w:w="829" w:type="dxa"/>
          </w:tcPr>
          <w:p w14:paraId="7C4ECB80" w14:textId="77777777" w:rsidR="00415E62" w:rsidRDefault="00530D72" w:rsidP="00415E62">
            <w:pPr>
              <w:pStyle w:val="KeinLeerraum"/>
            </w:pPr>
            <w:r>
              <w:t>7.11.2</w:t>
            </w:r>
          </w:p>
        </w:tc>
      </w:tr>
      <w:tr w:rsidR="00530D72" w14:paraId="1B9B9040" w14:textId="77777777" w:rsidTr="00415E62">
        <w:tc>
          <w:tcPr>
            <w:tcW w:w="531" w:type="dxa"/>
          </w:tcPr>
          <w:p w14:paraId="745B0750" w14:textId="77777777" w:rsidR="00530D72" w:rsidRDefault="00530D72" w:rsidP="00415E62">
            <w:pPr>
              <w:pStyle w:val="KeinLeerraum"/>
            </w:pPr>
            <w:r>
              <w:t>14</w:t>
            </w:r>
          </w:p>
        </w:tc>
        <w:tc>
          <w:tcPr>
            <w:tcW w:w="8262" w:type="dxa"/>
          </w:tcPr>
          <w:p w14:paraId="633470E3" w14:textId="77777777" w:rsidR="00530D72" w:rsidRDefault="00530D72" w:rsidP="00415E62">
            <w:pPr>
              <w:pStyle w:val="KeinLeerraum"/>
            </w:pPr>
            <w:r w:rsidRPr="009B6DFB">
              <w:rPr>
                <w:b/>
                <w:bCs/>
                <w:color w:val="F79646" w:themeColor="accent6"/>
              </w:rPr>
              <w:t>BECCS</w:t>
            </w:r>
            <w:r w:rsidRPr="009B6DFB">
              <w:rPr>
                <w:color w:val="F79646" w:themeColor="accent6"/>
              </w:rPr>
              <w:t xml:space="preserve"> </w:t>
            </w:r>
            <w:r>
              <w:t>in turn allows net removal of CO2 from the atmosphere while simultaneously producing electricity</w:t>
            </w:r>
          </w:p>
        </w:tc>
        <w:tc>
          <w:tcPr>
            <w:tcW w:w="829" w:type="dxa"/>
          </w:tcPr>
          <w:p w14:paraId="6DDB92CC" w14:textId="77777777" w:rsidR="00530D72" w:rsidRDefault="00530D72" w:rsidP="00415E62">
            <w:pPr>
              <w:pStyle w:val="KeinLeerraum"/>
            </w:pPr>
            <w:r>
              <w:t>7.11.2</w:t>
            </w:r>
          </w:p>
        </w:tc>
      </w:tr>
      <w:tr w:rsidR="00530D72" w14:paraId="53B44A02" w14:textId="77777777" w:rsidTr="00415E62">
        <w:tc>
          <w:tcPr>
            <w:tcW w:w="531" w:type="dxa"/>
          </w:tcPr>
          <w:p w14:paraId="39F9AFB5" w14:textId="77777777" w:rsidR="00530D72" w:rsidRDefault="00530D72" w:rsidP="00415E62">
            <w:pPr>
              <w:pStyle w:val="KeinLeerraum"/>
            </w:pPr>
            <w:r>
              <w:t>15</w:t>
            </w:r>
          </w:p>
        </w:tc>
        <w:tc>
          <w:tcPr>
            <w:tcW w:w="8262" w:type="dxa"/>
          </w:tcPr>
          <w:p w14:paraId="3AD67F08" w14:textId="77777777" w:rsidR="00530D72" w:rsidRDefault="00530D72" w:rsidP="00415E62">
            <w:pPr>
              <w:pStyle w:val="KeinLeerraum"/>
            </w:pPr>
            <w:r>
              <w:t>“Significant challenges remain in growing CCS from the megatonne level where it is today to the gigatonne level where it needs to be to help mitigate global climate change. These challenges, none of which are showstoppers, include lowering costs, developing needed infrastructure, reducing subsurface uncertainty, and addressing legal and regulatory issues”.</w:t>
            </w:r>
          </w:p>
        </w:tc>
        <w:tc>
          <w:tcPr>
            <w:tcW w:w="829" w:type="dxa"/>
          </w:tcPr>
          <w:p w14:paraId="51D42C4C" w14:textId="77777777" w:rsidR="00530D72" w:rsidRDefault="00530D72" w:rsidP="00415E62">
            <w:pPr>
              <w:pStyle w:val="KeinLeerraum"/>
            </w:pPr>
            <w:r>
              <w:t>7.11.2</w:t>
            </w:r>
          </w:p>
        </w:tc>
      </w:tr>
      <w:tr w:rsidR="00530D72" w14:paraId="624E6735" w14:textId="77777777" w:rsidTr="00415E62">
        <w:tc>
          <w:tcPr>
            <w:tcW w:w="531" w:type="dxa"/>
          </w:tcPr>
          <w:p w14:paraId="468805DE" w14:textId="77777777" w:rsidR="00530D72" w:rsidRDefault="00530D72" w:rsidP="00415E62">
            <w:pPr>
              <w:pStyle w:val="KeinLeerraum"/>
            </w:pPr>
            <w:r>
              <w:t>16</w:t>
            </w:r>
          </w:p>
        </w:tc>
        <w:tc>
          <w:tcPr>
            <w:tcW w:w="8262" w:type="dxa"/>
          </w:tcPr>
          <w:p w14:paraId="6B55F900" w14:textId="77777777" w:rsidR="00530D72" w:rsidRDefault="00530D72" w:rsidP="00530D72">
            <w:pPr>
              <w:pStyle w:val="KeinLeerraum"/>
            </w:pPr>
            <w:r>
              <w:t xml:space="preserve">the </w:t>
            </w:r>
            <w:r w:rsidRPr="00530D72">
              <w:rPr>
                <w:b/>
                <w:bCs/>
              </w:rPr>
              <w:t xml:space="preserve">up-scaling of </w:t>
            </w:r>
            <w:r w:rsidRPr="00530D72">
              <w:rPr>
                <w:b/>
                <w:bCs/>
                <w:color w:val="F79646" w:themeColor="accent6"/>
              </w:rPr>
              <w:t>BECCS</w:t>
            </w:r>
            <w:r w:rsidRPr="00530D72">
              <w:rPr>
                <w:b/>
                <w:bCs/>
              </w:rPr>
              <w:t>, which plays a prominent role in many of the stringent mitigation scenarios in the literature</w:t>
            </w:r>
            <w:r>
              <w:t xml:space="preserve">, will require overcoming potential technical barriers to </w:t>
            </w:r>
            <w:r w:rsidRPr="00530D72">
              <w:rPr>
                <w:b/>
                <w:bCs/>
              </w:rPr>
              <w:t>increase the size of biomass plants</w:t>
            </w:r>
            <w:r>
              <w:t xml:space="preserve">. </w:t>
            </w:r>
          </w:p>
        </w:tc>
        <w:tc>
          <w:tcPr>
            <w:tcW w:w="829" w:type="dxa"/>
          </w:tcPr>
          <w:p w14:paraId="5C3E6FA8" w14:textId="77777777" w:rsidR="00530D72" w:rsidRDefault="00530D72" w:rsidP="00415E62">
            <w:pPr>
              <w:pStyle w:val="KeinLeerraum"/>
            </w:pPr>
            <w:r>
              <w:t>7.11.2</w:t>
            </w:r>
          </w:p>
        </w:tc>
      </w:tr>
      <w:tr w:rsidR="00530D72" w14:paraId="17AD0663" w14:textId="77777777" w:rsidTr="00415E62">
        <w:tc>
          <w:tcPr>
            <w:tcW w:w="531" w:type="dxa"/>
          </w:tcPr>
          <w:p w14:paraId="74DA3AA9" w14:textId="77777777" w:rsidR="00530D72" w:rsidRDefault="00530D72" w:rsidP="00415E62">
            <w:pPr>
              <w:pStyle w:val="KeinLeerraum"/>
            </w:pPr>
            <w:r>
              <w:t>17</w:t>
            </w:r>
          </w:p>
        </w:tc>
        <w:tc>
          <w:tcPr>
            <w:tcW w:w="8262" w:type="dxa"/>
          </w:tcPr>
          <w:p w14:paraId="73096080" w14:textId="77777777" w:rsidR="00530D72" w:rsidRDefault="00530D72" w:rsidP="00415E62">
            <w:pPr>
              <w:pStyle w:val="KeinLeerraum"/>
            </w:pPr>
            <w:r>
              <w:t xml:space="preserve">Potential </w:t>
            </w:r>
            <w:r w:rsidRPr="00530D72">
              <w:rPr>
                <w:b/>
                <w:bCs/>
              </w:rPr>
              <w:t>adverse side effects related to the biomass feedstock usage remain the same as for biomass technologies without CCS</w:t>
            </w:r>
          </w:p>
        </w:tc>
        <w:tc>
          <w:tcPr>
            <w:tcW w:w="829" w:type="dxa"/>
          </w:tcPr>
          <w:p w14:paraId="49C7F91F" w14:textId="77777777" w:rsidR="00530D72" w:rsidRDefault="00530D72" w:rsidP="00415E62">
            <w:pPr>
              <w:pStyle w:val="KeinLeerraum"/>
            </w:pPr>
            <w:r>
              <w:t>7.11.2</w:t>
            </w:r>
          </w:p>
        </w:tc>
      </w:tr>
      <w:tr w:rsidR="00530D72" w14:paraId="5C4B53F5" w14:textId="77777777" w:rsidTr="00415E62">
        <w:tc>
          <w:tcPr>
            <w:tcW w:w="531" w:type="dxa"/>
          </w:tcPr>
          <w:p w14:paraId="63DABB8F" w14:textId="77777777" w:rsidR="00530D72" w:rsidRDefault="00022E6B" w:rsidP="00415E62">
            <w:pPr>
              <w:pStyle w:val="KeinLeerraum"/>
            </w:pPr>
            <w:r>
              <w:t>18</w:t>
            </w:r>
          </w:p>
        </w:tc>
        <w:tc>
          <w:tcPr>
            <w:tcW w:w="8262" w:type="dxa"/>
          </w:tcPr>
          <w:p w14:paraId="595A549C" w14:textId="77777777" w:rsidR="00530D72" w:rsidRDefault="00022E6B" w:rsidP="00415E62">
            <w:pPr>
              <w:pStyle w:val="KeinLeerraum"/>
            </w:pPr>
            <w:r>
              <w:t xml:space="preserve">By 2050, the contribution of fossil CCS technologies is in most scenarios larger than </w:t>
            </w:r>
            <w:r w:rsidRPr="00CB73D4">
              <w:rPr>
                <w:b/>
                <w:bCs/>
                <w:color w:val="F79646" w:themeColor="accent6"/>
              </w:rPr>
              <w:t>BECCS</w:t>
            </w:r>
            <w:r w:rsidRPr="00CB73D4">
              <w:rPr>
                <w:color w:val="F79646" w:themeColor="accent6"/>
              </w:rPr>
              <w:t xml:space="preserve"> </w:t>
            </w:r>
            <w:r>
              <w:t>(</w:t>
            </w:r>
            <w:r w:rsidRPr="00CB73D4">
              <w:rPr>
                <w:b/>
                <w:bCs/>
                <w:color w:val="FF0000"/>
              </w:rPr>
              <w:t>see Figure 7.11</w:t>
            </w:r>
            <w:r>
              <w:t>).</w:t>
            </w:r>
          </w:p>
        </w:tc>
        <w:tc>
          <w:tcPr>
            <w:tcW w:w="829" w:type="dxa"/>
          </w:tcPr>
          <w:p w14:paraId="796CC194" w14:textId="77777777" w:rsidR="00530D72" w:rsidRDefault="00022E6B" w:rsidP="00415E62">
            <w:pPr>
              <w:pStyle w:val="KeinLeerraum"/>
            </w:pPr>
            <w:r>
              <w:t>7.11.3</w:t>
            </w:r>
          </w:p>
        </w:tc>
      </w:tr>
      <w:tr w:rsidR="00530D72" w14:paraId="7EA78FA5" w14:textId="77777777" w:rsidTr="00415E62">
        <w:tc>
          <w:tcPr>
            <w:tcW w:w="531" w:type="dxa"/>
          </w:tcPr>
          <w:p w14:paraId="50E0CE52" w14:textId="77777777" w:rsidR="00530D72" w:rsidRDefault="00022E6B" w:rsidP="00415E62">
            <w:pPr>
              <w:pStyle w:val="KeinLeerraum"/>
            </w:pPr>
            <w:r>
              <w:t>19</w:t>
            </w:r>
          </w:p>
        </w:tc>
        <w:tc>
          <w:tcPr>
            <w:tcW w:w="8262" w:type="dxa"/>
          </w:tcPr>
          <w:p w14:paraId="5B580457" w14:textId="77777777" w:rsidR="00530D72" w:rsidRPr="00022E6B" w:rsidRDefault="00022E6B" w:rsidP="00415E62">
            <w:pPr>
              <w:pStyle w:val="KeinLeerraum"/>
              <w:rPr>
                <w:b/>
              </w:rPr>
            </w:pPr>
            <w:r w:rsidRPr="00022E6B">
              <w:rPr>
                <w:b/>
              </w:rPr>
              <w:t xml:space="preserve">For any stable concentration of CO2, emissions must peak and then decline toward zero, and for low concentrations, some period of </w:t>
            </w:r>
            <w:r w:rsidRPr="00022E6B">
              <w:rPr>
                <w:b/>
                <w:color w:val="8064A2" w:themeColor="accent4"/>
              </w:rPr>
              <w:t xml:space="preserve">negative emissions </w:t>
            </w:r>
            <w:r w:rsidRPr="00022E6B">
              <w:rPr>
                <w:b/>
              </w:rPr>
              <w:t>may prove necessary.</w:t>
            </w:r>
          </w:p>
        </w:tc>
        <w:tc>
          <w:tcPr>
            <w:tcW w:w="829" w:type="dxa"/>
          </w:tcPr>
          <w:p w14:paraId="5AAB74AA" w14:textId="77777777" w:rsidR="00530D72" w:rsidRDefault="00022E6B" w:rsidP="00415E62">
            <w:pPr>
              <w:pStyle w:val="KeinLeerraum"/>
            </w:pPr>
            <w:r>
              <w:t>7.11.4</w:t>
            </w:r>
          </w:p>
        </w:tc>
      </w:tr>
      <w:tr w:rsidR="00530D72" w14:paraId="3DC2D8D1" w14:textId="77777777" w:rsidTr="00415E62">
        <w:tc>
          <w:tcPr>
            <w:tcW w:w="531" w:type="dxa"/>
          </w:tcPr>
          <w:p w14:paraId="7D3EB0BD" w14:textId="77777777" w:rsidR="00530D72" w:rsidRDefault="00022E6B" w:rsidP="00415E62">
            <w:pPr>
              <w:pStyle w:val="KeinLeerraum"/>
            </w:pPr>
            <w:r>
              <w:t>20</w:t>
            </w:r>
          </w:p>
        </w:tc>
        <w:tc>
          <w:tcPr>
            <w:tcW w:w="8262" w:type="dxa"/>
          </w:tcPr>
          <w:p w14:paraId="690F2FFA" w14:textId="77777777" w:rsidR="00530D72" w:rsidRDefault="00022E6B" w:rsidP="00415E62">
            <w:pPr>
              <w:pStyle w:val="KeinLeerraum"/>
            </w:pPr>
            <w:r>
              <w:t xml:space="preserve">‘Overshoot scenarios’ are scenarios for which target values are exceeded during the period before the target date. They are possible because carbon is removed from the atmosphere by the oceans over an extended period of time, and can be further extended by the ability of society to create </w:t>
            </w:r>
            <w:r w:rsidRPr="009B6DFB">
              <w:rPr>
                <w:b/>
                <w:bCs/>
                <w:color w:val="8064A2" w:themeColor="accent4"/>
              </w:rPr>
              <w:t>negative emissions</w:t>
            </w:r>
            <w:r>
              <w:t xml:space="preserve"> through sequestration </w:t>
            </w:r>
            <w:r>
              <w:lastRenderedPageBreak/>
              <w:t>in terrestrial systems (</w:t>
            </w:r>
            <w:r w:rsidRPr="00CB73D4">
              <w:rPr>
                <w:b/>
                <w:bCs/>
                <w:color w:val="FF0000"/>
              </w:rPr>
              <w:t>Section 7.5, Chapter 11</w:t>
            </w:r>
            <w:r>
              <w:t xml:space="preserve">), production of </w:t>
            </w:r>
            <w:r w:rsidRPr="009B6DFB">
              <w:rPr>
                <w:b/>
                <w:bCs/>
                <w:color w:val="F79646" w:themeColor="accent6"/>
              </w:rPr>
              <w:t>bioenergy in conjunction with CCS technology</w:t>
            </w:r>
            <w:r>
              <w:t xml:space="preserve"> (</w:t>
            </w:r>
            <w:r w:rsidRPr="00CB73D4">
              <w:rPr>
                <w:b/>
                <w:bCs/>
                <w:color w:val="FF0000"/>
              </w:rPr>
              <w:t>Section 7.5.5</w:t>
            </w:r>
            <w:r>
              <w:t>), and/or direct air capture (DAC).</w:t>
            </w:r>
          </w:p>
        </w:tc>
        <w:tc>
          <w:tcPr>
            <w:tcW w:w="829" w:type="dxa"/>
          </w:tcPr>
          <w:p w14:paraId="06B08AA0" w14:textId="77777777" w:rsidR="00530D72" w:rsidRDefault="00022E6B" w:rsidP="00415E62">
            <w:pPr>
              <w:pStyle w:val="KeinLeerraum"/>
            </w:pPr>
            <w:r>
              <w:lastRenderedPageBreak/>
              <w:t>7.11.4</w:t>
            </w:r>
          </w:p>
        </w:tc>
      </w:tr>
      <w:tr w:rsidR="00530D72" w14:paraId="4D6E3BCF" w14:textId="77777777" w:rsidTr="00415E62">
        <w:tc>
          <w:tcPr>
            <w:tcW w:w="531" w:type="dxa"/>
          </w:tcPr>
          <w:p w14:paraId="7704A8B5" w14:textId="77777777" w:rsidR="00530D72" w:rsidRDefault="00022E6B" w:rsidP="00415E62">
            <w:pPr>
              <w:pStyle w:val="KeinLeerraum"/>
            </w:pPr>
            <w:r>
              <w:t>21</w:t>
            </w:r>
          </w:p>
        </w:tc>
        <w:tc>
          <w:tcPr>
            <w:tcW w:w="8262" w:type="dxa"/>
          </w:tcPr>
          <w:p w14:paraId="08C91F58" w14:textId="77777777" w:rsidR="00530D72" w:rsidRDefault="00022E6B" w:rsidP="00415E62">
            <w:pPr>
              <w:pStyle w:val="KeinLeerraum"/>
            </w:pPr>
            <w:r w:rsidRPr="00022E6B">
              <w:rPr>
                <w:b/>
                <w:bCs/>
              </w:rPr>
              <w:t xml:space="preserve">Especially, there is a lack of consistent and comprehensive global surveys concerning the current cost of sourcing and using unconventional fossil fuels, RE, nuclear power, and the expected ones for CCS and </w:t>
            </w:r>
            <w:r w:rsidRPr="00022E6B">
              <w:rPr>
                <w:b/>
                <w:bCs/>
                <w:color w:val="F79646" w:themeColor="accent6"/>
              </w:rPr>
              <w:t>BECCS</w:t>
            </w:r>
            <w:r w:rsidRPr="00022E6B">
              <w:rPr>
                <w:b/>
                <w:bCs/>
              </w:rPr>
              <w:t>.</w:t>
            </w:r>
          </w:p>
        </w:tc>
        <w:tc>
          <w:tcPr>
            <w:tcW w:w="829" w:type="dxa"/>
          </w:tcPr>
          <w:p w14:paraId="26C4228D" w14:textId="77777777" w:rsidR="00530D72" w:rsidRDefault="00022E6B" w:rsidP="00415E62">
            <w:pPr>
              <w:pStyle w:val="KeinLeerraum"/>
            </w:pPr>
            <w:r>
              <w:t>7.13</w:t>
            </w:r>
          </w:p>
        </w:tc>
      </w:tr>
    </w:tbl>
    <w:p w14:paraId="18F96412" w14:textId="77777777" w:rsidR="00415E62" w:rsidRDefault="00415E62"/>
    <w:p w14:paraId="3280C149" w14:textId="77777777" w:rsidR="008D387A" w:rsidRPr="002278AD" w:rsidRDefault="00C21F57" w:rsidP="002278AD">
      <w:pPr>
        <w:pStyle w:val="berschrift2"/>
        <w:rPr>
          <w:rStyle w:val="berschrift1Zchn"/>
          <w:b/>
          <w:bCs/>
          <w:color w:val="4F81BD" w:themeColor="accent1"/>
          <w:sz w:val="26"/>
          <w:szCs w:val="26"/>
        </w:rPr>
      </w:pPr>
      <w:bookmarkStart w:id="47" w:name="_Toc525298480"/>
      <w:r w:rsidRPr="002278AD">
        <w:rPr>
          <w:rStyle w:val="berschrift1Zchn"/>
          <w:b/>
          <w:bCs/>
          <w:color w:val="4F81BD" w:themeColor="accent1"/>
          <w:sz w:val="26"/>
          <w:szCs w:val="26"/>
        </w:rPr>
        <w:t>Executive summary</w:t>
      </w:r>
      <w:bookmarkEnd w:id="47"/>
    </w:p>
    <w:p w14:paraId="1083D095" w14:textId="77777777" w:rsidR="00C21F57" w:rsidRDefault="00C21F57" w:rsidP="002F68A1">
      <w:r w:rsidRPr="007B11CA">
        <w:rPr>
          <w:b/>
          <w:bCs/>
        </w:rPr>
        <w:t xml:space="preserve">Combining </w:t>
      </w:r>
      <w:r w:rsidRPr="007B11CA">
        <w:rPr>
          <w:b/>
          <w:bCs/>
          <w:color w:val="F79646" w:themeColor="accent6"/>
        </w:rPr>
        <w:t xml:space="preserve">bioenergy with CCS (BECCS) </w:t>
      </w:r>
      <w:r w:rsidRPr="007B11CA">
        <w:rPr>
          <w:b/>
          <w:bCs/>
        </w:rPr>
        <w:t xml:space="preserve">offers the prospect of energy supply with large-scale net </w:t>
      </w:r>
      <w:r w:rsidRPr="007B11CA">
        <w:rPr>
          <w:b/>
          <w:bCs/>
          <w:color w:val="8064A2" w:themeColor="accent4"/>
        </w:rPr>
        <w:t>negative emissions</w:t>
      </w:r>
      <w:r w:rsidRPr="007B11CA">
        <w:rPr>
          <w:b/>
          <w:bCs/>
        </w:rPr>
        <w:t>, which plays an important role in many low-stabilization scenarios, while it entails challenges and risks (limited evidence, medium agreement).</w:t>
      </w:r>
      <w:r>
        <w:t xml:space="preserve"> </w:t>
      </w:r>
      <w:r w:rsidRPr="007B11CA">
        <w:rPr>
          <w:b/>
          <w:bCs/>
        </w:rPr>
        <w:t>These challenges and risks include those associated with the upstream provision of the biomass that is used in the CCS facility as well as those associated with the CCS technology itself</w:t>
      </w:r>
      <w:r w:rsidRPr="007B11CA">
        <w:t xml:space="preserve">. </w:t>
      </w:r>
      <w:r w:rsidRPr="007B11CA">
        <w:rPr>
          <w:b/>
          <w:bCs/>
          <w:color w:val="F79646" w:themeColor="accent6"/>
        </w:rPr>
        <w:t xml:space="preserve">BECCS </w:t>
      </w:r>
      <w:r w:rsidRPr="007B11CA">
        <w:rPr>
          <w:b/>
          <w:bCs/>
        </w:rPr>
        <w:t>faces large challenges in financing and currently no such plants have been built and tested at scale.</w:t>
      </w:r>
      <w:r>
        <w:t xml:space="preserve"> [</w:t>
      </w:r>
      <w:r w:rsidRPr="00CB73D4">
        <w:rPr>
          <w:b/>
          <w:bCs/>
          <w:color w:val="FF0000"/>
        </w:rPr>
        <w:t>7.5.5, 7.8.2, 7.9, 7.12, 11.13</w:t>
      </w:r>
      <w:r>
        <w:t>]</w:t>
      </w:r>
    </w:p>
    <w:p w14:paraId="2BE5AD69" w14:textId="77777777" w:rsidR="009B6DFB" w:rsidRDefault="009B6DFB" w:rsidP="009B6DFB">
      <w:pPr>
        <w:pStyle w:val="berschrift2"/>
      </w:pPr>
      <w:bookmarkStart w:id="48" w:name="_Toc525298481"/>
      <w:r>
        <w:t>7.5.5 Carbon dioxide capture and storage (CCS)</w:t>
      </w:r>
      <w:bookmarkEnd w:id="48"/>
    </w:p>
    <w:p w14:paraId="253A6159" w14:textId="77777777" w:rsidR="009B6DFB" w:rsidRDefault="009B6DFB" w:rsidP="002F68A1">
      <w:r>
        <w:t>The direct CO2 emissions from biogenic feedstock combustion broadly correspond to the amount of atmospheric CO2 sequestered through the growth cycle of bioenergy production.8 A net removal of atmospheric CO2 therefore would result, once the direct emissions are captured and stored using CCS technologies (</w:t>
      </w:r>
      <w:r w:rsidRPr="00CB73D4">
        <w:rPr>
          <w:b/>
          <w:bCs/>
          <w:color w:val="FF0000"/>
        </w:rPr>
        <w:t>see Section 11.13, Figure 11.22</w:t>
      </w:r>
      <w:r>
        <w:t>). As a consequence</w:t>
      </w:r>
      <w:r w:rsidRPr="003A4B92">
        <w:rPr>
          <w:b/>
          <w:bCs/>
        </w:rPr>
        <w:t xml:space="preserve">, a combination of </w:t>
      </w:r>
      <w:r w:rsidRPr="003A4B92">
        <w:rPr>
          <w:b/>
          <w:bCs/>
          <w:color w:val="F79646" w:themeColor="accent6"/>
        </w:rPr>
        <w:t>bio-energy and CCS (BECCS)</w:t>
      </w:r>
      <w:r w:rsidRPr="003A4B92">
        <w:rPr>
          <w:b/>
          <w:bCs/>
        </w:rPr>
        <w:t xml:space="preserve"> generally will result in </w:t>
      </w:r>
      <w:r w:rsidRPr="003A4B92">
        <w:rPr>
          <w:b/>
          <w:bCs/>
          <w:color w:val="8064A2" w:themeColor="accent4"/>
        </w:rPr>
        <w:t>net negative emissions</w:t>
      </w:r>
      <w:r>
        <w:t xml:space="preserve"> (see IEA, 2011c, 2012c; IEAGHG, 2011). </w:t>
      </w:r>
      <w:r w:rsidRPr="003A4B92">
        <w:rPr>
          <w:b/>
          <w:bCs/>
        </w:rPr>
        <w:t xml:space="preserve">Currently, two small-scale examples of commercial precursors to </w:t>
      </w:r>
      <w:r w:rsidRPr="003A4B92">
        <w:rPr>
          <w:b/>
          <w:bCs/>
          <w:color w:val="F79646" w:themeColor="accent6"/>
        </w:rPr>
        <w:t xml:space="preserve">BECCS </w:t>
      </w:r>
      <w:r w:rsidRPr="003A4B92">
        <w:rPr>
          <w:b/>
          <w:bCs/>
        </w:rPr>
        <w:t>are capturing CO2 emissions from ethanol production facilities for enhanced oil recovery in close-proximity facilities (DiPietro and Balash, 2012).</w:t>
      </w:r>
    </w:p>
    <w:p w14:paraId="4BB562C1" w14:textId="77777777" w:rsidR="009B6DFB" w:rsidRDefault="009B6DFB" w:rsidP="002F68A1">
      <w:r w:rsidRPr="003A4B92">
        <w:rPr>
          <w:b/>
          <w:bCs/>
          <w:color w:val="F79646" w:themeColor="accent6"/>
        </w:rPr>
        <w:t xml:space="preserve">BECCS </w:t>
      </w:r>
      <w:r w:rsidRPr="003A4B92">
        <w:rPr>
          <w:b/>
          <w:bCs/>
        </w:rPr>
        <w:t xml:space="preserve">is one of the few technologies that is capable of removing past CO2 emissions remaining in the atmosphere. </w:t>
      </w:r>
      <w:r>
        <w:t xml:space="preserve">As this </w:t>
      </w:r>
      <w:r w:rsidRPr="00530D72">
        <w:rPr>
          <w:b/>
          <w:bCs/>
        </w:rPr>
        <w:t>enhances the ‘when’ (i.e., temporal) flexibility</w:t>
      </w:r>
      <w:r>
        <w:t xml:space="preserve"> during the design of mitigation scenarios considerably, </w:t>
      </w:r>
      <w:r w:rsidRPr="009B6DFB">
        <w:rPr>
          <w:b/>
          <w:bCs/>
          <w:color w:val="F79646" w:themeColor="accent6"/>
        </w:rPr>
        <w:t>BECCS</w:t>
      </w:r>
      <w:r w:rsidRPr="009B6DFB">
        <w:rPr>
          <w:color w:val="F79646" w:themeColor="accent6"/>
        </w:rPr>
        <w:t xml:space="preserve"> </w:t>
      </w:r>
      <w:r>
        <w:t xml:space="preserve">plays a prominent role in many of the low-stabilization pathways discussed in </w:t>
      </w:r>
      <w:r w:rsidRPr="00CB73D4">
        <w:rPr>
          <w:b/>
          <w:bCs/>
          <w:color w:val="FF0000"/>
        </w:rPr>
        <w:t>Chapter 6</w:t>
      </w:r>
      <w:r>
        <w:t xml:space="preserve"> and </w:t>
      </w:r>
      <w:r w:rsidRPr="00CB73D4">
        <w:rPr>
          <w:b/>
          <w:bCs/>
          <w:color w:val="FF0000"/>
        </w:rPr>
        <w:t>Section 7.11</w:t>
      </w:r>
      <w:r>
        <w:t xml:space="preserve">. Potential risks associated with </w:t>
      </w:r>
      <w:r w:rsidRPr="009B6DFB">
        <w:rPr>
          <w:b/>
          <w:bCs/>
          <w:color w:val="F79646" w:themeColor="accent6"/>
        </w:rPr>
        <w:t>BECCS</w:t>
      </w:r>
      <w:r w:rsidRPr="009B6DFB">
        <w:rPr>
          <w:color w:val="F79646" w:themeColor="accent6"/>
        </w:rPr>
        <w:t xml:space="preserve"> </w:t>
      </w:r>
      <w:r>
        <w:t xml:space="preserve">technologies are related to those associated with the </w:t>
      </w:r>
      <w:r w:rsidRPr="00530D72">
        <w:rPr>
          <w:b/>
          <w:bCs/>
        </w:rPr>
        <w:t>upstream provision of the used biomass</w:t>
      </w:r>
      <w:r>
        <w:t>9 (</w:t>
      </w:r>
      <w:r w:rsidRPr="00CB73D4">
        <w:rPr>
          <w:b/>
          <w:bCs/>
          <w:color w:val="FF0000"/>
        </w:rPr>
        <w:t>see Section 11.13</w:t>
      </w:r>
      <w:r>
        <w:t xml:space="preserve">) as well as those originating from </w:t>
      </w:r>
      <w:r w:rsidRPr="00530D72">
        <w:rPr>
          <w:b/>
          <w:bCs/>
        </w:rPr>
        <w:t xml:space="preserve">the capture, transport, and long-term underground storage of CO2 </w:t>
      </w:r>
      <w:r>
        <w:t>that would be emitted otherwise (see above).</w:t>
      </w:r>
    </w:p>
    <w:p w14:paraId="089A74A3" w14:textId="77777777" w:rsidR="009B6DFB" w:rsidRDefault="009B6DFB" w:rsidP="002F68A1">
      <w:r>
        <w:t xml:space="preserve">Footnote 9: </w:t>
      </w:r>
      <w:r w:rsidRPr="009B6DFB">
        <w:rPr>
          <w:b/>
          <w:bCs/>
          <w:color w:val="F79646" w:themeColor="accent6"/>
        </w:rPr>
        <w:t>BECCS</w:t>
      </w:r>
      <w:r w:rsidRPr="009B6DFB">
        <w:rPr>
          <w:color w:val="F79646" w:themeColor="accent6"/>
        </w:rPr>
        <w:t xml:space="preserve"> </w:t>
      </w:r>
      <w:r>
        <w:t xml:space="preserve">costs can be reduced by using </w:t>
      </w:r>
      <w:r w:rsidRPr="00530D72">
        <w:rPr>
          <w:b/>
          <w:bCs/>
        </w:rPr>
        <w:t>large-scale biomass conversion facilities</w:t>
      </w:r>
      <w:r>
        <w:t xml:space="preserve">, which, in turn, require the </w:t>
      </w:r>
      <w:r w:rsidRPr="00530D72">
        <w:rPr>
          <w:b/>
          <w:bCs/>
        </w:rPr>
        <w:t>development of cost-effective and low-emitting largescale feedstock and supply logistics</w:t>
      </w:r>
      <w:r>
        <w:t xml:space="preserve"> (</w:t>
      </w:r>
      <w:r w:rsidRPr="00CB73D4">
        <w:rPr>
          <w:b/>
          <w:bCs/>
          <w:color w:val="FF0000"/>
        </w:rPr>
        <w:t>Section 11.13.3</w:t>
      </w:r>
      <w:r>
        <w:t>).</w:t>
      </w:r>
    </w:p>
    <w:p w14:paraId="2879419F" w14:textId="77777777" w:rsidR="009B6DFB" w:rsidRPr="002278AD" w:rsidRDefault="009B6DFB" w:rsidP="002278AD">
      <w:pPr>
        <w:pStyle w:val="berschrift2"/>
        <w:rPr>
          <w:rStyle w:val="berschrift1Zchn"/>
          <w:b/>
          <w:bCs/>
          <w:color w:val="4F81BD" w:themeColor="accent1"/>
          <w:sz w:val="26"/>
          <w:szCs w:val="26"/>
        </w:rPr>
      </w:pPr>
      <w:bookmarkStart w:id="49" w:name="_Toc525298482"/>
      <w:r w:rsidRPr="002278AD">
        <w:rPr>
          <w:rStyle w:val="berschrift1Zchn"/>
          <w:b/>
          <w:bCs/>
          <w:color w:val="4F81BD" w:themeColor="accent1"/>
          <w:sz w:val="26"/>
          <w:szCs w:val="26"/>
        </w:rPr>
        <w:t>7.8.2 Cost assessment of mitigation measures</w:t>
      </w:r>
      <w:bookmarkEnd w:id="49"/>
    </w:p>
    <w:p w14:paraId="4ED73146" w14:textId="77777777" w:rsidR="009B6DFB" w:rsidRDefault="009B6DFB" w:rsidP="002F68A1">
      <w:r>
        <w:t xml:space="preserve">As there is still no commercial large-scale CCS power plant in operation today, the estimation of their projected costs has to be carried on the basis of design studies and few existing pilot projects. The associated problems are described in (Yeh and Rubin, 2010; Global CCS Institute, 2011; Rubin, 2012). The CCS technologies applied in the power sector will </w:t>
      </w:r>
      <w:r w:rsidRPr="00530D72">
        <w:rPr>
          <w:b/>
          <w:bCs/>
        </w:rPr>
        <w:t xml:space="preserve">only become competitive with unabated technologies if the additional equipment attached to the power plant and their decreased efficiency as well as the additional cost for CO2 transport and storage is compensated by sufficiently high carbon prices or </w:t>
      </w:r>
      <w:r w:rsidRPr="00530D72">
        <w:rPr>
          <w:b/>
          <w:bCs/>
        </w:rPr>
        <w:lastRenderedPageBreak/>
        <w:t>direct financial support</w:t>
      </w:r>
      <w:r>
        <w:t xml:space="preserve"> (Lohwasser and Madlener, 2011; IEA, 2013c). </w:t>
      </w:r>
      <w:r w:rsidRPr="009B6DFB">
        <w:rPr>
          <w:b/>
          <w:bCs/>
          <w:color w:val="F79646" w:themeColor="accent6"/>
        </w:rPr>
        <w:t>BECCS</w:t>
      </w:r>
      <w:r w:rsidRPr="009B6DFB">
        <w:rPr>
          <w:color w:val="F79646" w:themeColor="accent6"/>
        </w:rPr>
        <w:t xml:space="preserve"> </w:t>
      </w:r>
      <w:r>
        <w:t>faces large challenges in financing and currently no such plants have been built and tested at scale (</w:t>
      </w:r>
      <w:r w:rsidRPr="00CB73D4">
        <w:rPr>
          <w:b/>
          <w:bCs/>
          <w:color w:val="FF0000"/>
        </w:rPr>
        <w:t>see Section 7.5.5</w:t>
      </w:r>
      <w:r>
        <w:t>).</w:t>
      </w:r>
    </w:p>
    <w:p w14:paraId="308A3355" w14:textId="77777777" w:rsidR="009B6DFB" w:rsidRDefault="009B6DFB" w:rsidP="009B6DFB">
      <w:pPr>
        <w:pStyle w:val="berschrift2"/>
      </w:pPr>
      <w:bookmarkStart w:id="50" w:name="_Toc525298483"/>
      <w:r>
        <w:t>7.11.2 Energy supply in low-stabilization scenarios</w:t>
      </w:r>
      <w:bookmarkEnd w:id="50"/>
    </w:p>
    <w:p w14:paraId="40E002BE" w14:textId="77777777" w:rsidR="009B6DFB" w:rsidRDefault="009B6DFB" w:rsidP="002F68A1">
      <w:r>
        <w:t xml:space="preserve">Integrated models (see Section 6.2) tend to agree that at about USD 100–150/tCO2 the electricity sector is largely decarbonized with a significant fraction being from CCS deployment (Krey and Riahi, 2009; Luckow et al., 2010; Wise et al., 2010). </w:t>
      </w:r>
      <w:r w:rsidRPr="00530D72">
        <w:rPr>
          <w:b/>
          <w:bCs/>
        </w:rPr>
        <w:t xml:space="preserve">Many scenarios in the WGIII AR5 Scenario Database achieve this decarbonization at a carbon tax of approximately USD 100/tCO2. This price is sufficient, in most scenarios, to produce large-scale utilization of </w:t>
      </w:r>
      <w:r w:rsidRPr="009B6DFB">
        <w:rPr>
          <w:b/>
          <w:bCs/>
          <w:color w:val="F79646" w:themeColor="accent6"/>
        </w:rPr>
        <w:t>bioenergy with CCS (BECCS)</w:t>
      </w:r>
      <w:r>
        <w:t xml:space="preserve"> (Krey and Riahi, 2009; Azar et al., 2010; Luckow et al., 2010; Edmonds et al., 2013). </w:t>
      </w:r>
      <w:r w:rsidR="00530D72" w:rsidRPr="009B6DFB">
        <w:rPr>
          <w:b/>
          <w:bCs/>
          <w:color w:val="F79646" w:themeColor="accent6"/>
        </w:rPr>
        <w:t>BECCS</w:t>
      </w:r>
      <w:r w:rsidR="00530D72" w:rsidRPr="009B6DFB">
        <w:rPr>
          <w:color w:val="F79646" w:themeColor="accent6"/>
        </w:rPr>
        <w:t xml:space="preserve"> </w:t>
      </w:r>
      <w:r w:rsidR="00530D72">
        <w:t xml:space="preserve">in turn allows net removal of CO2 from the atmosphere while simultaneously producing electricity </w:t>
      </w:r>
      <w:r>
        <w:t>(</w:t>
      </w:r>
      <w:r w:rsidRPr="00CB73D4">
        <w:rPr>
          <w:b/>
          <w:bCs/>
          <w:color w:val="FF0000"/>
        </w:rPr>
        <w:t>Sections 7.5.5 and 11.13</w:t>
      </w:r>
      <w:r>
        <w:t xml:space="preserve">). In terms of large-scale deployment of CCS in the power sector, Herzog (2011, p. 597), and many others have noted that “Significant challenges remain in growing CCS from the megatonne level where it is today to the gigatonne level where it needs to be to help mitigate global climate change. These challenges, none of which are showstoppers, include lowering costs, developing needed infrastructure, reducing subsurface uncertainty, and addressing legal and regulatory issues”. In addition, the </w:t>
      </w:r>
      <w:r w:rsidRPr="00530D72">
        <w:rPr>
          <w:b/>
          <w:bCs/>
        </w:rPr>
        <w:t xml:space="preserve">up-scaling of </w:t>
      </w:r>
      <w:r w:rsidRPr="00530D72">
        <w:rPr>
          <w:b/>
          <w:bCs/>
          <w:color w:val="F79646" w:themeColor="accent6"/>
        </w:rPr>
        <w:t>BECCS</w:t>
      </w:r>
      <w:r w:rsidRPr="00530D72">
        <w:rPr>
          <w:b/>
          <w:bCs/>
        </w:rPr>
        <w:t>, which plays a prominent role in many of the stringent mitigation scenarios</w:t>
      </w:r>
      <w:r>
        <w:t xml:space="preserve"> in the literature, will require overcoming potential technical barriers to increase the size of biomass plants. </w:t>
      </w:r>
      <w:r w:rsidRPr="00530D72">
        <w:rPr>
          <w:b/>
          <w:bCs/>
        </w:rPr>
        <w:t>Potential adverse side effects related to the biomass feedstock usage remain the same as for biomass technologies without CCS</w:t>
      </w:r>
      <w:r>
        <w:t xml:space="preserve"> (</w:t>
      </w:r>
      <w:r w:rsidRPr="00CB73D4">
        <w:rPr>
          <w:b/>
          <w:bCs/>
          <w:color w:val="FF0000"/>
        </w:rPr>
        <w:t>Sections 7.5.5, 11.13, particularly 11.7, 11.13.6, and 11.13.7</w:t>
      </w:r>
      <w:r>
        <w:t>).</w:t>
      </w:r>
    </w:p>
    <w:p w14:paraId="6CD61C12" w14:textId="77777777" w:rsidR="009B6DFB" w:rsidRDefault="009B6DFB" w:rsidP="009B6DFB">
      <w:pPr>
        <w:pStyle w:val="berschrift2"/>
      </w:pPr>
      <w:bookmarkStart w:id="51" w:name="_Toc525298484"/>
      <w:r>
        <w:t>7.11.3 Role of the electricity sector in climate change mitigation</w:t>
      </w:r>
      <w:bookmarkEnd w:id="51"/>
    </w:p>
    <w:p w14:paraId="6CFFD1B4" w14:textId="77777777" w:rsidR="009B6DFB" w:rsidRDefault="009B6DFB" w:rsidP="002F68A1">
      <w:r>
        <w:t xml:space="preserve">Figure 7.15 shows the evolution over time of transformation pathways for primary energy supply, electricity supply, and liquid fuels supply for reference scenarios and low-concentration scenarios (430–530 ppm CO2eq). The development of the full scenario ensemble is further compared to the three illustrative mitigation scenarios by the ReMIND, MESSAGE, and GCAM models discussed in </w:t>
      </w:r>
      <w:r w:rsidRPr="00CB73D4">
        <w:rPr>
          <w:b/>
          <w:bCs/>
          <w:color w:val="FF0000"/>
        </w:rPr>
        <w:t>Section 7.11.2</w:t>
      </w:r>
      <w:r w:rsidRPr="00CB73D4">
        <w:rPr>
          <w:color w:val="FF0000"/>
        </w:rPr>
        <w:t xml:space="preserve"> </w:t>
      </w:r>
      <w:r>
        <w:t>(</w:t>
      </w:r>
      <w:r w:rsidRPr="00CB73D4">
        <w:rPr>
          <w:b/>
          <w:bCs/>
          <w:color w:val="FF0000"/>
        </w:rPr>
        <w:t>see Figure 7.10</w:t>
      </w:r>
      <w:r>
        <w:t xml:space="preserve">). The effect of climate policy plays out differently in each of the three supply domains. In aggregate, mitigation leads to a reduction in primary energy demands. However, two distinctly different mitigation portfolios emerge–one in which hydro-carbon fuels, including biomass, </w:t>
      </w:r>
      <w:r w:rsidRPr="009B6DFB">
        <w:rPr>
          <w:b/>
          <w:bCs/>
          <w:color w:val="F79646" w:themeColor="accent6"/>
        </w:rPr>
        <w:t>BECCS</w:t>
      </w:r>
      <w:r>
        <w:t>, and fossil CCS play a prominent role; and the other where, taken together, non-biomass renewables and nuclear power take center stage. In both instances, the share of fossil energy without CCS declines to less than 20% of the total by 2100. Note that in the scenarios examined here, the major branch point occurs around the 2050 period, while the foundations are laid in the 2030 to 2050 period.</w:t>
      </w:r>
    </w:p>
    <w:p w14:paraId="2D1CC746" w14:textId="77777777" w:rsidR="009B6DFB" w:rsidRDefault="009B6DFB" w:rsidP="002F68A1">
      <w:r>
        <w:t xml:space="preserve">Electricity generation is a somewhat different story. While as previously noted, electricity generation decarbonizes rapidly and completely (in many scenarios emissions actually become negative), taken together, non-biomass renewables and nuclear power always play an important role. The role of CCS varies greatly, but even when CCS becomes extremely important to the overall mitigation strategy, it never exceeds half of power generation. </w:t>
      </w:r>
      <w:r w:rsidRPr="00022E6B">
        <w:rPr>
          <w:b/>
          <w:bCs/>
        </w:rPr>
        <w:t xml:space="preserve">By 2050, the contribution of fossil CCS technologies is in most scenarios larger than </w:t>
      </w:r>
      <w:r w:rsidRPr="00022E6B">
        <w:rPr>
          <w:b/>
          <w:bCs/>
          <w:color w:val="F79646" w:themeColor="accent6"/>
        </w:rPr>
        <w:t xml:space="preserve">BECCS </w:t>
      </w:r>
      <w:r w:rsidRPr="00022E6B">
        <w:rPr>
          <w:b/>
          <w:bCs/>
        </w:rPr>
        <w:t>(</w:t>
      </w:r>
      <w:r w:rsidRPr="00022E6B">
        <w:rPr>
          <w:b/>
          <w:bCs/>
          <w:color w:val="FF0000"/>
        </w:rPr>
        <w:t>see Figure 7.11</w:t>
      </w:r>
      <w:r w:rsidRPr="00022E6B">
        <w:rPr>
          <w:b/>
          <w:bCs/>
        </w:rPr>
        <w:t>).</w:t>
      </w:r>
      <w:r>
        <w:t xml:space="preserve"> In contrast to the overall scale of primary energy supply, which falls in climate policy scenarios relative to baseline scenarios, the scale of power generation can be higher in the presence of climate policy depending on whether the pace of electrification proceeds more </w:t>
      </w:r>
      <w:r>
        <w:lastRenderedPageBreak/>
        <w:t xml:space="preserve">or less rapidly than the rate of end-use energy demand reductions. With regards to the deployment of individual non-biomass renewables or different CCS technologies, see also </w:t>
      </w:r>
      <w:r w:rsidRPr="00CB73D4">
        <w:rPr>
          <w:b/>
          <w:bCs/>
          <w:color w:val="FF0000"/>
        </w:rPr>
        <w:t>Figure 7.11 and Figure 7.12</w:t>
      </w:r>
      <w:r>
        <w:t>.</w:t>
      </w:r>
    </w:p>
    <w:p w14:paraId="44159D06" w14:textId="77777777" w:rsidR="008D387A" w:rsidRPr="002278AD" w:rsidRDefault="009B6DFB" w:rsidP="002278AD">
      <w:pPr>
        <w:pStyle w:val="berschrift2"/>
        <w:rPr>
          <w:rStyle w:val="berschrift1Zchn"/>
          <w:b/>
          <w:bCs/>
          <w:color w:val="4F81BD" w:themeColor="accent1"/>
          <w:sz w:val="26"/>
          <w:szCs w:val="26"/>
        </w:rPr>
      </w:pPr>
      <w:bookmarkStart w:id="52" w:name="_Toc525298485"/>
      <w:r w:rsidRPr="002278AD">
        <w:rPr>
          <w:rStyle w:val="berschrift1Zchn"/>
          <w:b/>
          <w:bCs/>
          <w:color w:val="4F81BD" w:themeColor="accent1"/>
          <w:sz w:val="26"/>
          <w:szCs w:val="26"/>
        </w:rPr>
        <w:t>7.11.4 Relationship between short-term action and long-term targets</w:t>
      </w:r>
      <w:bookmarkEnd w:id="52"/>
    </w:p>
    <w:p w14:paraId="0C35CBCB" w14:textId="77777777" w:rsidR="009B6DFB" w:rsidRDefault="009B6DFB" w:rsidP="002F68A1">
      <w:r>
        <w:t xml:space="preserve">First, it is cumulative emissions over the entire century that to a first approximation determines the CO2 concentration at the end of the century, and therefore no individual year’s emissions are critical (for cumulative CO2 emissions consistent with different concentration goals see </w:t>
      </w:r>
      <w:r w:rsidRPr="00CB73D4">
        <w:rPr>
          <w:b/>
          <w:bCs/>
          <w:color w:val="FF0000"/>
        </w:rPr>
        <w:t>Section 6.3.2</w:t>
      </w:r>
      <w:r>
        <w:t xml:space="preserve">, and Meinshausen et al, 2009). </w:t>
      </w:r>
      <w:r w:rsidRPr="00022E6B">
        <w:rPr>
          <w:b/>
          <w:bCs/>
        </w:rPr>
        <w:t xml:space="preserve">For any stable concentration of CO2, emissions must peak and then decline toward zero, and for low concentrations, some period of </w:t>
      </w:r>
      <w:r w:rsidRPr="00022E6B">
        <w:rPr>
          <w:b/>
          <w:bCs/>
          <w:color w:val="8064A2" w:themeColor="accent4"/>
        </w:rPr>
        <w:t xml:space="preserve">negative emissions </w:t>
      </w:r>
      <w:r w:rsidRPr="00022E6B">
        <w:rPr>
          <w:b/>
          <w:bCs/>
        </w:rPr>
        <w:t>may prove necessary.</w:t>
      </w:r>
    </w:p>
    <w:p w14:paraId="06D7F1B5" w14:textId="77777777" w:rsidR="009B6DFB" w:rsidRDefault="009B6DFB" w:rsidP="002F68A1">
      <w:r>
        <w:t xml:space="preserve">Second, minimization of global social cost implies an immediate initiation of global emissions mitigation, relative to a reference, no-climatepolicy scenario, with a marginal value of carbon that rises exponentially (Hotelling, 1931; Peck and Wan, 1996). The consequence of this latter feature is that emissions abatement and the deployment of mitigation technologies grows over time. When only a long-term state, e.g., a fixed level of radiative forcing in a specific year such as 2.6 Wm–2 in 2100, is prescribed, the interim path can theoretically take on any value before the target year. </w:t>
      </w:r>
      <w:r w:rsidRPr="00022E6B">
        <w:rPr>
          <w:b/>
          <w:bCs/>
        </w:rPr>
        <w:t xml:space="preserve">‘Overshoot scenarios’ are scenarios for which target values are exceeded during the period before the target date. They are possible because carbon is removed from the atmosphere by the oceans over an extended period of time, and can be further extended by the ability of society to create </w:t>
      </w:r>
      <w:r w:rsidRPr="00022E6B">
        <w:rPr>
          <w:b/>
          <w:bCs/>
          <w:color w:val="8064A2" w:themeColor="accent4"/>
        </w:rPr>
        <w:t>negative emissions</w:t>
      </w:r>
      <w:r w:rsidRPr="00022E6B">
        <w:rPr>
          <w:b/>
          <w:bCs/>
        </w:rPr>
        <w:t xml:space="preserve"> through sequestration in terrestrial systems (</w:t>
      </w:r>
      <w:r w:rsidRPr="00022E6B">
        <w:rPr>
          <w:b/>
          <w:bCs/>
          <w:color w:val="FF0000"/>
        </w:rPr>
        <w:t>Section 7.5, Chapter 11</w:t>
      </w:r>
      <w:r w:rsidRPr="00022E6B">
        <w:rPr>
          <w:b/>
          <w:bCs/>
        </w:rPr>
        <w:t xml:space="preserve">), production of </w:t>
      </w:r>
      <w:r w:rsidRPr="00022E6B">
        <w:rPr>
          <w:b/>
          <w:bCs/>
          <w:color w:val="F79646" w:themeColor="accent6"/>
        </w:rPr>
        <w:t>bioenergy in conjunction with CCS technology</w:t>
      </w:r>
      <w:r w:rsidRPr="00022E6B">
        <w:rPr>
          <w:b/>
          <w:bCs/>
        </w:rPr>
        <w:t xml:space="preserve"> (</w:t>
      </w:r>
      <w:r w:rsidRPr="00022E6B">
        <w:rPr>
          <w:b/>
          <w:bCs/>
          <w:color w:val="FF0000"/>
        </w:rPr>
        <w:t>Section 7.5.5</w:t>
      </w:r>
      <w:r w:rsidRPr="00022E6B">
        <w:rPr>
          <w:b/>
          <w:bCs/>
        </w:rPr>
        <w:t>), and/or direct air capture (DAC).</w:t>
      </w:r>
      <w:r>
        <w:t xml:space="preserve"> See for example, Edmonds, et al. (2013).</w:t>
      </w:r>
    </w:p>
    <w:p w14:paraId="256060C2" w14:textId="77777777" w:rsidR="008D387A" w:rsidRPr="002278AD" w:rsidRDefault="00CB73D4" w:rsidP="002278AD">
      <w:pPr>
        <w:pStyle w:val="berschrift2"/>
        <w:rPr>
          <w:rStyle w:val="berschrift1Zchn"/>
          <w:b/>
          <w:bCs/>
          <w:color w:val="4F81BD" w:themeColor="accent1"/>
          <w:sz w:val="26"/>
          <w:szCs w:val="26"/>
        </w:rPr>
      </w:pPr>
      <w:bookmarkStart w:id="53" w:name="_Toc525298486"/>
      <w:r w:rsidRPr="002278AD">
        <w:rPr>
          <w:rStyle w:val="berschrift1Zchn"/>
          <w:b/>
          <w:bCs/>
          <w:color w:val="4F81BD" w:themeColor="accent1"/>
          <w:sz w:val="26"/>
          <w:szCs w:val="26"/>
        </w:rPr>
        <w:t>7.13 Gaps in knowledge and data</w:t>
      </w:r>
      <w:bookmarkEnd w:id="53"/>
    </w:p>
    <w:p w14:paraId="7D6CA832" w14:textId="77777777" w:rsidR="00CB73D4" w:rsidRDefault="00CB73D4" w:rsidP="002F68A1">
      <w:r>
        <w:t xml:space="preserve">The current literature provides a limited number of comprehensive studies on the economic, environmental, social, and cultural implications that are associated with low-carbon emission paths. </w:t>
      </w:r>
      <w:r w:rsidRPr="00022E6B">
        <w:rPr>
          <w:b/>
          <w:bCs/>
        </w:rPr>
        <w:t xml:space="preserve">Especially, there is a lack of consistent and comprehensive global surveys concerning the current cost of sourcing and using unconventional fossil fuels, RE, nuclear power, and the expected ones for CCS and </w:t>
      </w:r>
      <w:r w:rsidRPr="00022E6B">
        <w:rPr>
          <w:b/>
          <w:bCs/>
          <w:color w:val="F79646" w:themeColor="accent6"/>
        </w:rPr>
        <w:t>BECCS</w:t>
      </w:r>
      <w:r w:rsidRPr="00022E6B">
        <w:rPr>
          <w:b/>
          <w:bCs/>
        </w:rPr>
        <w:t>.</w:t>
      </w:r>
      <w:r>
        <w:t xml:space="preserve"> In addition, there is a lack of globally comprehensive assessments of the external cost of energy supply and GHG related mitigation options (</w:t>
      </w:r>
      <w:r w:rsidRPr="00CB73D4">
        <w:rPr>
          <w:b/>
          <w:bCs/>
          <w:color w:val="FF0000"/>
        </w:rPr>
        <w:t>Sections 7.8, 7.9, 7.10</w:t>
      </w:r>
      <w:r>
        <w:t>).</w:t>
      </w:r>
    </w:p>
    <w:p w14:paraId="4C7D8F6F" w14:textId="77777777" w:rsidR="00140BB0" w:rsidRDefault="00140BB0">
      <w:pPr>
        <w:spacing w:after="0" w:line="240" w:lineRule="auto"/>
        <w:rPr>
          <w:rFonts w:asciiTheme="majorHAnsi" w:eastAsiaTheme="majorEastAsia" w:hAnsiTheme="majorHAnsi" w:cstheme="majorBidi"/>
          <w:b/>
          <w:bCs/>
          <w:color w:val="365F91" w:themeColor="accent1" w:themeShade="BF"/>
          <w:sz w:val="28"/>
          <w:szCs w:val="28"/>
        </w:rPr>
      </w:pPr>
      <w:r>
        <w:br w:type="page"/>
      </w:r>
    </w:p>
    <w:p w14:paraId="07F4662D" w14:textId="77777777" w:rsidR="002411BA" w:rsidRPr="008E2000" w:rsidRDefault="002411BA" w:rsidP="002411BA">
      <w:pPr>
        <w:pStyle w:val="berschrift1"/>
      </w:pPr>
      <w:bookmarkStart w:id="54" w:name="_Toc525298487"/>
      <w:r w:rsidRPr="008E2000">
        <w:lastRenderedPageBreak/>
        <w:t xml:space="preserve">IPCC AR5 WGIII </w:t>
      </w:r>
      <w:r w:rsidR="0091311E">
        <w:t>– Chapter 11</w:t>
      </w:r>
      <w:r>
        <w:t xml:space="preserve">: </w:t>
      </w:r>
      <w:r w:rsidR="0091311E">
        <w:t>Agriculture, Forestry and Other Land Use (AFOLU)</w:t>
      </w:r>
      <w:bookmarkEnd w:id="54"/>
    </w:p>
    <w:p w14:paraId="46007F73" w14:textId="77777777" w:rsidR="002411BA" w:rsidRPr="00101EA0" w:rsidRDefault="002411BA" w:rsidP="002411BA">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67"/>
        <w:gridCol w:w="1829"/>
      </w:tblGrid>
      <w:tr w:rsidR="002411BA" w14:paraId="467801B5" w14:textId="77777777" w:rsidTr="000C6565">
        <w:tc>
          <w:tcPr>
            <w:tcW w:w="7763" w:type="dxa"/>
          </w:tcPr>
          <w:p w14:paraId="1C2633F9" w14:textId="77777777" w:rsidR="002411BA" w:rsidRPr="00FE4BC7" w:rsidRDefault="002411BA" w:rsidP="000C6565">
            <w:pPr>
              <w:pStyle w:val="KeinLeerraum"/>
              <w:rPr>
                <w:b/>
              </w:rPr>
            </w:pPr>
            <w:r w:rsidRPr="00FE4BC7">
              <w:rPr>
                <w:b/>
              </w:rPr>
              <w:t>Keyword</w:t>
            </w:r>
          </w:p>
        </w:tc>
        <w:tc>
          <w:tcPr>
            <w:tcW w:w="1859" w:type="dxa"/>
          </w:tcPr>
          <w:p w14:paraId="00A49F18" w14:textId="77777777" w:rsidR="002411BA" w:rsidRPr="00FE4BC7" w:rsidRDefault="002411BA" w:rsidP="000C6565">
            <w:pPr>
              <w:pStyle w:val="KeinLeerraum"/>
              <w:rPr>
                <w:b/>
              </w:rPr>
            </w:pPr>
            <w:r w:rsidRPr="00FE4BC7">
              <w:rPr>
                <w:b/>
              </w:rPr>
              <w:t>Count</w:t>
            </w:r>
          </w:p>
        </w:tc>
      </w:tr>
      <w:tr w:rsidR="002411BA" w14:paraId="10A9FF4C" w14:textId="77777777" w:rsidTr="000C6565">
        <w:tc>
          <w:tcPr>
            <w:tcW w:w="7763" w:type="dxa"/>
          </w:tcPr>
          <w:p w14:paraId="04E65A1F" w14:textId="77777777" w:rsidR="002411BA" w:rsidRPr="00B80049" w:rsidRDefault="002411BA" w:rsidP="000C6565">
            <w:pPr>
              <w:pStyle w:val="KeinLeerraum"/>
              <w:rPr>
                <w:b/>
              </w:rPr>
            </w:pPr>
            <w:r w:rsidRPr="00B80049">
              <w:rPr>
                <w:b/>
                <w:color w:val="7030A0"/>
              </w:rPr>
              <w:t>Negative emission</w:t>
            </w:r>
          </w:p>
        </w:tc>
        <w:tc>
          <w:tcPr>
            <w:tcW w:w="1859" w:type="dxa"/>
          </w:tcPr>
          <w:p w14:paraId="141BFC48" w14:textId="77777777" w:rsidR="002411BA" w:rsidRDefault="000C6565" w:rsidP="000C6565">
            <w:pPr>
              <w:pStyle w:val="KeinLeerraum"/>
            </w:pPr>
            <w:r>
              <w:t>6</w:t>
            </w:r>
          </w:p>
        </w:tc>
      </w:tr>
      <w:tr w:rsidR="002411BA" w14:paraId="4268BFC8" w14:textId="77777777" w:rsidTr="000C6565">
        <w:tc>
          <w:tcPr>
            <w:tcW w:w="7763" w:type="dxa"/>
          </w:tcPr>
          <w:p w14:paraId="64B3AF5E" w14:textId="77777777" w:rsidR="002411BA" w:rsidRPr="00B80049" w:rsidRDefault="002411BA" w:rsidP="000C6565">
            <w:pPr>
              <w:pStyle w:val="KeinLeerraum"/>
              <w:rPr>
                <w:b/>
              </w:rPr>
            </w:pPr>
            <w:r>
              <w:rPr>
                <w:b/>
                <w:color w:val="00B050"/>
              </w:rPr>
              <w:t>C</w:t>
            </w:r>
            <w:r w:rsidRPr="00B80049">
              <w:rPr>
                <w:b/>
                <w:color w:val="00B050"/>
              </w:rPr>
              <w:t>arbon dioxide removal/CDR</w:t>
            </w:r>
          </w:p>
        </w:tc>
        <w:tc>
          <w:tcPr>
            <w:tcW w:w="1859" w:type="dxa"/>
          </w:tcPr>
          <w:p w14:paraId="5C5BA228" w14:textId="77777777" w:rsidR="002411BA" w:rsidRDefault="001B7F9A" w:rsidP="000C6565">
            <w:pPr>
              <w:pStyle w:val="KeinLeerraum"/>
              <w:tabs>
                <w:tab w:val="center" w:pos="821"/>
              </w:tabs>
            </w:pPr>
            <w:r>
              <w:t>0</w:t>
            </w:r>
            <w:r w:rsidR="000C6565">
              <w:tab/>
            </w:r>
          </w:p>
        </w:tc>
      </w:tr>
      <w:tr w:rsidR="002411BA" w14:paraId="343C03C0" w14:textId="77777777" w:rsidTr="000C6565">
        <w:tc>
          <w:tcPr>
            <w:tcW w:w="7763" w:type="dxa"/>
          </w:tcPr>
          <w:p w14:paraId="47924109" w14:textId="77777777" w:rsidR="002411BA" w:rsidRPr="00B80049" w:rsidRDefault="002411BA" w:rsidP="000C6565">
            <w:pPr>
              <w:pStyle w:val="KeinLeerraum"/>
              <w:rPr>
                <w:b/>
              </w:rPr>
            </w:pPr>
            <w:r w:rsidRPr="00B80049">
              <w:rPr>
                <w:b/>
                <w:color w:val="F79646" w:themeColor="accent6"/>
              </w:rPr>
              <w:t>Bioenergy with carbon and capture/BECCS</w:t>
            </w:r>
          </w:p>
        </w:tc>
        <w:tc>
          <w:tcPr>
            <w:tcW w:w="1859" w:type="dxa"/>
          </w:tcPr>
          <w:p w14:paraId="50D5C6E4" w14:textId="77777777" w:rsidR="002411BA" w:rsidRDefault="00E416DF" w:rsidP="000C6565">
            <w:pPr>
              <w:pStyle w:val="KeinLeerraum"/>
            </w:pPr>
            <w:r>
              <w:t>23</w:t>
            </w:r>
          </w:p>
        </w:tc>
      </w:tr>
      <w:tr w:rsidR="002411BA" w14:paraId="27D6FF3F" w14:textId="77777777" w:rsidTr="000C6565">
        <w:tc>
          <w:tcPr>
            <w:tcW w:w="7763" w:type="dxa"/>
          </w:tcPr>
          <w:p w14:paraId="7D68BE4E" w14:textId="77777777" w:rsidR="002411BA" w:rsidRPr="00126167" w:rsidRDefault="002411BA" w:rsidP="000C6565">
            <w:pPr>
              <w:pStyle w:val="KeinLeerraum"/>
              <w:rPr>
                <w:b/>
                <w:color w:val="0070C0"/>
              </w:rPr>
            </w:pPr>
            <w:r w:rsidRPr="00B80049">
              <w:rPr>
                <w:b/>
                <w:color w:val="0070C0"/>
              </w:rPr>
              <w:t>Afforesta</w:t>
            </w:r>
            <w:r w:rsidRPr="00126167">
              <w:rPr>
                <w:b/>
                <w:color w:val="0070C0"/>
              </w:rPr>
              <w:t>t</w:t>
            </w:r>
            <w:r w:rsidRPr="00B80049">
              <w:rPr>
                <w:b/>
                <w:color w:val="0070C0"/>
              </w:rPr>
              <w:t>ion</w:t>
            </w:r>
          </w:p>
        </w:tc>
        <w:tc>
          <w:tcPr>
            <w:tcW w:w="1859" w:type="dxa"/>
          </w:tcPr>
          <w:p w14:paraId="3659A335" w14:textId="77777777" w:rsidR="002411BA" w:rsidRDefault="00E416DF" w:rsidP="000C6565">
            <w:pPr>
              <w:pStyle w:val="KeinLeerraum"/>
            </w:pPr>
            <w:r>
              <w:t>57</w:t>
            </w:r>
          </w:p>
        </w:tc>
      </w:tr>
    </w:tbl>
    <w:p w14:paraId="7E0AE94D" w14:textId="77777777" w:rsidR="002411BA" w:rsidRDefault="002411BA" w:rsidP="002411BA"/>
    <w:tbl>
      <w:tblPr>
        <w:tblStyle w:val="Tabellenraster"/>
        <w:tblW w:w="0" w:type="auto"/>
        <w:tblLook w:val="04A0" w:firstRow="1" w:lastRow="0" w:firstColumn="1" w:lastColumn="0" w:noHBand="0" w:noVBand="1"/>
      </w:tblPr>
      <w:tblGrid>
        <w:gridCol w:w="7569"/>
        <w:gridCol w:w="1827"/>
      </w:tblGrid>
      <w:tr w:rsidR="002411BA" w14:paraId="3BD79424" w14:textId="77777777" w:rsidTr="000C6565">
        <w:tc>
          <w:tcPr>
            <w:tcW w:w="7763" w:type="dxa"/>
          </w:tcPr>
          <w:p w14:paraId="03A531E0" w14:textId="77777777" w:rsidR="002411BA" w:rsidRPr="00FE4BC7" w:rsidRDefault="002411BA" w:rsidP="000C6565">
            <w:pPr>
              <w:pStyle w:val="KeinLeerraum"/>
              <w:rPr>
                <w:b/>
              </w:rPr>
            </w:pPr>
            <w:r>
              <w:rPr>
                <w:b/>
              </w:rPr>
              <w:t>IPCC references</w:t>
            </w:r>
          </w:p>
        </w:tc>
        <w:tc>
          <w:tcPr>
            <w:tcW w:w="1859" w:type="dxa"/>
          </w:tcPr>
          <w:p w14:paraId="73771E70" w14:textId="77777777" w:rsidR="002411BA" w:rsidRPr="00FE4BC7" w:rsidRDefault="002411BA" w:rsidP="000C6565">
            <w:pPr>
              <w:pStyle w:val="KeinLeerraum"/>
              <w:rPr>
                <w:b/>
              </w:rPr>
            </w:pPr>
            <w:r w:rsidRPr="00FE4BC7">
              <w:rPr>
                <w:b/>
              </w:rPr>
              <w:t>Count</w:t>
            </w:r>
          </w:p>
        </w:tc>
      </w:tr>
      <w:tr w:rsidR="00D11346" w14:paraId="1B12C173" w14:textId="77777777" w:rsidTr="00D11346">
        <w:tc>
          <w:tcPr>
            <w:tcW w:w="7763" w:type="dxa"/>
            <w:shd w:val="clear" w:color="auto" w:fill="D9D9D9" w:themeFill="background1" w:themeFillShade="D9"/>
          </w:tcPr>
          <w:p w14:paraId="585B00D1" w14:textId="77777777" w:rsidR="00D11346" w:rsidRDefault="00D11346" w:rsidP="000C6565">
            <w:pPr>
              <w:pStyle w:val="KeinLeerraum"/>
            </w:pPr>
            <w:r>
              <w:t>Sections</w:t>
            </w:r>
          </w:p>
        </w:tc>
        <w:tc>
          <w:tcPr>
            <w:tcW w:w="1859" w:type="dxa"/>
            <w:shd w:val="clear" w:color="auto" w:fill="D9D9D9" w:themeFill="background1" w:themeFillShade="D9"/>
          </w:tcPr>
          <w:p w14:paraId="363B46AA" w14:textId="77777777" w:rsidR="00D11346" w:rsidRDefault="00D11346" w:rsidP="000C6565">
            <w:pPr>
              <w:pStyle w:val="KeinLeerraum"/>
            </w:pPr>
          </w:p>
        </w:tc>
      </w:tr>
      <w:tr w:rsidR="002411BA" w14:paraId="3B4CEB2F" w14:textId="77777777" w:rsidTr="00D11346">
        <w:tc>
          <w:tcPr>
            <w:tcW w:w="7763" w:type="dxa"/>
            <w:shd w:val="clear" w:color="auto" w:fill="F2F2F2" w:themeFill="background1" w:themeFillShade="F2"/>
          </w:tcPr>
          <w:p w14:paraId="39941C83" w14:textId="77777777" w:rsidR="002411BA" w:rsidRDefault="002411BA" w:rsidP="000C6565">
            <w:pPr>
              <w:pStyle w:val="KeinLeerraum"/>
            </w:pPr>
            <w:r>
              <w:t>Chapter 6</w:t>
            </w:r>
          </w:p>
        </w:tc>
        <w:tc>
          <w:tcPr>
            <w:tcW w:w="1859" w:type="dxa"/>
            <w:shd w:val="clear" w:color="auto" w:fill="F2F2F2" w:themeFill="background1" w:themeFillShade="F2"/>
          </w:tcPr>
          <w:p w14:paraId="0216AF3A" w14:textId="77777777" w:rsidR="002411BA" w:rsidRDefault="00D11346" w:rsidP="000C6565">
            <w:pPr>
              <w:pStyle w:val="KeinLeerraum"/>
            </w:pPr>
            <w:r>
              <w:t>4</w:t>
            </w:r>
          </w:p>
        </w:tc>
      </w:tr>
      <w:tr w:rsidR="002411BA" w14:paraId="1BBA382D" w14:textId="77777777" w:rsidTr="000C6565">
        <w:tc>
          <w:tcPr>
            <w:tcW w:w="7763" w:type="dxa"/>
          </w:tcPr>
          <w:p w14:paraId="10E73CE0" w14:textId="77777777" w:rsidR="002411BA" w:rsidRDefault="002411BA" w:rsidP="000C6565">
            <w:pPr>
              <w:pStyle w:val="KeinLeerraum"/>
            </w:pPr>
            <w:r>
              <w:t>Section 6.3.2</w:t>
            </w:r>
          </w:p>
        </w:tc>
        <w:tc>
          <w:tcPr>
            <w:tcW w:w="1859" w:type="dxa"/>
          </w:tcPr>
          <w:p w14:paraId="12171CD8" w14:textId="77777777" w:rsidR="002411BA" w:rsidRDefault="00D11346" w:rsidP="000C6565">
            <w:pPr>
              <w:pStyle w:val="KeinLeerraum"/>
            </w:pPr>
            <w:r>
              <w:t>1</w:t>
            </w:r>
          </w:p>
        </w:tc>
      </w:tr>
      <w:tr w:rsidR="002411BA" w14:paraId="49B761B7" w14:textId="77777777" w:rsidTr="000C6565">
        <w:tc>
          <w:tcPr>
            <w:tcW w:w="7763" w:type="dxa"/>
          </w:tcPr>
          <w:p w14:paraId="5209E88B" w14:textId="77777777" w:rsidR="002411BA" w:rsidRDefault="00E416DF" w:rsidP="000C6565">
            <w:pPr>
              <w:pStyle w:val="KeinLeerraum"/>
            </w:pPr>
            <w:r>
              <w:t>Section 6.3.5</w:t>
            </w:r>
          </w:p>
        </w:tc>
        <w:tc>
          <w:tcPr>
            <w:tcW w:w="1859" w:type="dxa"/>
          </w:tcPr>
          <w:p w14:paraId="612B004D" w14:textId="77777777" w:rsidR="002411BA" w:rsidRDefault="00D11346" w:rsidP="000C6565">
            <w:pPr>
              <w:pStyle w:val="KeinLeerraum"/>
            </w:pPr>
            <w:r>
              <w:t>3</w:t>
            </w:r>
          </w:p>
        </w:tc>
      </w:tr>
      <w:tr w:rsidR="002411BA" w14:paraId="34D3E8FC" w14:textId="77777777" w:rsidTr="00D11346">
        <w:tc>
          <w:tcPr>
            <w:tcW w:w="7763" w:type="dxa"/>
            <w:shd w:val="clear" w:color="auto" w:fill="F2F2F2" w:themeFill="background1" w:themeFillShade="F2"/>
          </w:tcPr>
          <w:p w14:paraId="1B2C77DC" w14:textId="77777777" w:rsidR="002411BA" w:rsidRDefault="00D11346" w:rsidP="000C6565">
            <w:pPr>
              <w:pStyle w:val="KeinLeerraum"/>
            </w:pPr>
            <w:r>
              <w:t>Chapter 7</w:t>
            </w:r>
          </w:p>
        </w:tc>
        <w:tc>
          <w:tcPr>
            <w:tcW w:w="1859" w:type="dxa"/>
            <w:shd w:val="clear" w:color="auto" w:fill="F2F2F2" w:themeFill="background1" w:themeFillShade="F2"/>
          </w:tcPr>
          <w:p w14:paraId="13FEE640" w14:textId="77777777" w:rsidR="002411BA" w:rsidRDefault="00D11346" w:rsidP="000C6565">
            <w:pPr>
              <w:pStyle w:val="KeinLeerraum"/>
            </w:pPr>
            <w:r>
              <w:t>8</w:t>
            </w:r>
          </w:p>
        </w:tc>
      </w:tr>
      <w:tr w:rsidR="002411BA" w14:paraId="049FC33D" w14:textId="77777777" w:rsidTr="000C6565">
        <w:tc>
          <w:tcPr>
            <w:tcW w:w="7763" w:type="dxa"/>
          </w:tcPr>
          <w:p w14:paraId="409DED2E" w14:textId="77777777" w:rsidR="002411BA" w:rsidRDefault="00317600" w:rsidP="000C6565">
            <w:pPr>
              <w:pStyle w:val="KeinLeerraum"/>
            </w:pPr>
            <w:r>
              <w:t>Section 7.5.5</w:t>
            </w:r>
          </w:p>
        </w:tc>
        <w:tc>
          <w:tcPr>
            <w:tcW w:w="1859" w:type="dxa"/>
          </w:tcPr>
          <w:p w14:paraId="05A0CB31" w14:textId="77777777" w:rsidR="002411BA" w:rsidRDefault="00D11346" w:rsidP="000C6565">
            <w:pPr>
              <w:pStyle w:val="KeinLeerraum"/>
            </w:pPr>
            <w:r>
              <w:t>3</w:t>
            </w:r>
          </w:p>
        </w:tc>
      </w:tr>
      <w:tr w:rsidR="00317600" w14:paraId="19D333EE" w14:textId="77777777" w:rsidTr="000C6565">
        <w:tc>
          <w:tcPr>
            <w:tcW w:w="7763" w:type="dxa"/>
          </w:tcPr>
          <w:p w14:paraId="0011A3A0" w14:textId="77777777" w:rsidR="00317600" w:rsidRDefault="00317600" w:rsidP="000C6565">
            <w:pPr>
              <w:pStyle w:val="KeinLeerraum"/>
            </w:pPr>
            <w:r>
              <w:t>Section 7.6.4</w:t>
            </w:r>
          </w:p>
        </w:tc>
        <w:tc>
          <w:tcPr>
            <w:tcW w:w="1859" w:type="dxa"/>
          </w:tcPr>
          <w:p w14:paraId="3FBEE7E6" w14:textId="77777777" w:rsidR="00317600" w:rsidRDefault="00D11346" w:rsidP="000C6565">
            <w:pPr>
              <w:pStyle w:val="KeinLeerraum"/>
            </w:pPr>
            <w:r>
              <w:t>2</w:t>
            </w:r>
          </w:p>
        </w:tc>
      </w:tr>
      <w:tr w:rsidR="002411BA" w14:paraId="531B32C3" w14:textId="77777777" w:rsidTr="000C6565">
        <w:tc>
          <w:tcPr>
            <w:tcW w:w="7763" w:type="dxa"/>
          </w:tcPr>
          <w:p w14:paraId="567BFC9D" w14:textId="77777777" w:rsidR="002411BA" w:rsidRDefault="00317600" w:rsidP="000C6565">
            <w:pPr>
              <w:pStyle w:val="KeinLeerraum"/>
            </w:pPr>
            <w:r>
              <w:t>Section 7.9</w:t>
            </w:r>
          </w:p>
        </w:tc>
        <w:tc>
          <w:tcPr>
            <w:tcW w:w="1859" w:type="dxa"/>
          </w:tcPr>
          <w:p w14:paraId="6D96F3FD" w14:textId="77777777" w:rsidR="002411BA" w:rsidRDefault="00D11346" w:rsidP="000C6565">
            <w:pPr>
              <w:pStyle w:val="KeinLeerraum"/>
            </w:pPr>
            <w:r>
              <w:t>2</w:t>
            </w:r>
          </w:p>
        </w:tc>
      </w:tr>
      <w:tr w:rsidR="00317600" w14:paraId="41D02785" w14:textId="77777777" w:rsidTr="000C6565">
        <w:tc>
          <w:tcPr>
            <w:tcW w:w="7763" w:type="dxa"/>
          </w:tcPr>
          <w:p w14:paraId="55773470" w14:textId="77777777" w:rsidR="00317600" w:rsidRDefault="00317600" w:rsidP="000C6565">
            <w:pPr>
              <w:pStyle w:val="KeinLeerraum"/>
            </w:pPr>
            <w:r>
              <w:t>Section 7.12</w:t>
            </w:r>
          </w:p>
        </w:tc>
        <w:tc>
          <w:tcPr>
            <w:tcW w:w="1859" w:type="dxa"/>
          </w:tcPr>
          <w:p w14:paraId="59237F1B" w14:textId="77777777" w:rsidR="00317600" w:rsidRDefault="00D11346" w:rsidP="000C6565">
            <w:pPr>
              <w:pStyle w:val="KeinLeerraum"/>
            </w:pPr>
            <w:r>
              <w:t>1</w:t>
            </w:r>
          </w:p>
        </w:tc>
      </w:tr>
      <w:tr w:rsidR="00317600" w14:paraId="5DA22A61" w14:textId="77777777" w:rsidTr="00D11346">
        <w:tc>
          <w:tcPr>
            <w:tcW w:w="7763" w:type="dxa"/>
            <w:shd w:val="clear" w:color="auto" w:fill="F2F2F2" w:themeFill="background1" w:themeFillShade="F2"/>
          </w:tcPr>
          <w:p w14:paraId="6988E4B1" w14:textId="77777777" w:rsidR="00317600" w:rsidRDefault="00D11346" w:rsidP="000C6565">
            <w:pPr>
              <w:pStyle w:val="KeinLeerraum"/>
            </w:pPr>
            <w:r>
              <w:t>Chapter 11</w:t>
            </w:r>
          </w:p>
        </w:tc>
        <w:tc>
          <w:tcPr>
            <w:tcW w:w="1859" w:type="dxa"/>
            <w:shd w:val="clear" w:color="auto" w:fill="F2F2F2" w:themeFill="background1" w:themeFillShade="F2"/>
          </w:tcPr>
          <w:p w14:paraId="43BA502A" w14:textId="77777777" w:rsidR="00317600" w:rsidRDefault="00D11346" w:rsidP="000C6565">
            <w:pPr>
              <w:pStyle w:val="KeinLeerraum"/>
            </w:pPr>
            <w:r>
              <w:t>8</w:t>
            </w:r>
          </w:p>
        </w:tc>
      </w:tr>
      <w:tr w:rsidR="002411BA" w14:paraId="7BCE0017" w14:textId="77777777" w:rsidTr="000C6565">
        <w:tc>
          <w:tcPr>
            <w:tcW w:w="7763" w:type="dxa"/>
          </w:tcPr>
          <w:p w14:paraId="3140C440" w14:textId="77777777" w:rsidR="002411BA" w:rsidRDefault="00126167" w:rsidP="000C6565">
            <w:pPr>
              <w:pStyle w:val="KeinLeerraum"/>
            </w:pPr>
            <w:r>
              <w:t>Section 11.2</w:t>
            </w:r>
          </w:p>
        </w:tc>
        <w:tc>
          <w:tcPr>
            <w:tcW w:w="1859" w:type="dxa"/>
          </w:tcPr>
          <w:p w14:paraId="1CB58C24" w14:textId="77777777" w:rsidR="002411BA" w:rsidRDefault="00D11346" w:rsidP="000C6565">
            <w:pPr>
              <w:pStyle w:val="KeinLeerraum"/>
            </w:pPr>
            <w:r>
              <w:t>1</w:t>
            </w:r>
          </w:p>
        </w:tc>
      </w:tr>
      <w:tr w:rsidR="002411BA" w14:paraId="5D343199" w14:textId="77777777" w:rsidTr="000C6565">
        <w:tc>
          <w:tcPr>
            <w:tcW w:w="7763" w:type="dxa"/>
          </w:tcPr>
          <w:p w14:paraId="28E66958" w14:textId="77777777" w:rsidR="002411BA" w:rsidRDefault="007E01E3" w:rsidP="000C6565">
            <w:pPr>
              <w:pStyle w:val="KeinLeerraum"/>
            </w:pPr>
            <w:r>
              <w:t>Section 11.4.4</w:t>
            </w:r>
          </w:p>
        </w:tc>
        <w:tc>
          <w:tcPr>
            <w:tcW w:w="1859" w:type="dxa"/>
          </w:tcPr>
          <w:p w14:paraId="2A641988" w14:textId="77777777" w:rsidR="002411BA" w:rsidRDefault="00D11346" w:rsidP="000C6565">
            <w:pPr>
              <w:pStyle w:val="KeinLeerraum"/>
            </w:pPr>
            <w:r>
              <w:t>1</w:t>
            </w:r>
          </w:p>
        </w:tc>
      </w:tr>
      <w:tr w:rsidR="002411BA" w14:paraId="59E4E1E6" w14:textId="77777777" w:rsidTr="000C6565">
        <w:tc>
          <w:tcPr>
            <w:tcW w:w="7763" w:type="dxa"/>
          </w:tcPr>
          <w:p w14:paraId="365FA774" w14:textId="77777777" w:rsidR="002411BA" w:rsidRDefault="007E01E3" w:rsidP="000C6565">
            <w:pPr>
              <w:pStyle w:val="KeinLeerraum"/>
            </w:pPr>
            <w:r>
              <w:t>Section 11.6</w:t>
            </w:r>
          </w:p>
        </w:tc>
        <w:tc>
          <w:tcPr>
            <w:tcW w:w="1859" w:type="dxa"/>
          </w:tcPr>
          <w:p w14:paraId="0EA7E410" w14:textId="77777777" w:rsidR="002411BA" w:rsidRDefault="00D11346" w:rsidP="000C6565">
            <w:pPr>
              <w:pStyle w:val="KeinLeerraum"/>
            </w:pPr>
            <w:r>
              <w:t>1</w:t>
            </w:r>
          </w:p>
        </w:tc>
      </w:tr>
      <w:tr w:rsidR="00317600" w14:paraId="07B60F3B" w14:textId="77777777" w:rsidTr="000C6565">
        <w:tc>
          <w:tcPr>
            <w:tcW w:w="7763" w:type="dxa"/>
          </w:tcPr>
          <w:p w14:paraId="3CBB1536" w14:textId="77777777" w:rsidR="00317600" w:rsidRDefault="00317600" w:rsidP="000C6565">
            <w:pPr>
              <w:pStyle w:val="KeinLeerraum"/>
            </w:pPr>
            <w:r>
              <w:t>Section 11.7</w:t>
            </w:r>
          </w:p>
        </w:tc>
        <w:tc>
          <w:tcPr>
            <w:tcW w:w="1859" w:type="dxa"/>
          </w:tcPr>
          <w:p w14:paraId="70299E98" w14:textId="77777777" w:rsidR="00317600" w:rsidRDefault="00D11346" w:rsidP="000C6565">
            <w:pPr>
              <w:pStyle w:val="KeinLeerraum"/>
            </w:pPr>
            <w:r>
              <w:t>1</w:t>
            </w:r>
          </w:p>
        </w:tc>
      </w:tr>
      <w:tr w:rsidR="00317600" w14:paraId="1F1A3D26" w14:textId="77777777" w:rsidTr="000C6565">
        <w:tc>
          <w:tcPr>
            <w:tcW w:w="7763" w:type="dxa"/>
          </w:tcPr>
          <w:p w14:paraId="6E72EE06" w14:textId="77777777" w:rsidR="00317600" w:rsidRDefault="00317600" w:rsidP="000C6565">
            <w:pPr>
              <w:pStyle w:val="KeinLeerraum"/>
            </w:pPr>
            <w:r>
              <w:t>Section 11.9</w:t>
            </w:r>
          </w:p>
        </w:tc>
        <w:tc>
          <w:tcPr>
            <w:tcW w:w="1859" w:type="dxa"/>
          </w:tcPr>
          <w:p w14:paraId="4A2240BC" w14:textId="77777777" w:rsidR="00317600" w:rsidRDefault="00D11346" w:rsidP="000C6565">
            <w:pPr>
              <w:pStyle w:val="KeinLeerraum"/>
            </w:pPr>
            <w:r>
              <w:t>1</w:t>
            </w:r>
          </w:p>
        </w:tc>
      </w:tr>
      <w:tr w:rsidR="00317600" w14:paraId="5F8F59F3" w14:textId="77777777" w:rsidTr="000C6565">
        <w:tc>
          <w:tcPr>
            <w:tcW w:w="7763" w:type="dxa"/>
          </w:tcPr>
          <w:p w14:paraId="4CA88DE8" w14:textId="77777777" w:rsidR="00317600" w:rsidRDefault="00317600" w:rsidP="000C6565">
            <w:pPr>
              <w:pStyle w:val="KeinLeerraum"/>
            </w:pPr>
            <w:r>
              <w:t>Section 11.9.1</w:t>
            </w:r>
          </w:p>
        </w:tc>
        <w:tc>
          <w:tcPr>
            <w:tcW w:w="1859" w:type="dxa"/>
          </w:tcPr>
          <w:p w14:paraId="7958D279" w14:textId="77777777" w:rsidR="00317600" w:rsidRDefault="00D11346" w:rsidP="000C6565">
            <w:pPr>
              <w:pStyle w:val="KeinLeerraum"/>
            </w:pPr>
            <w:r>
              <w:t>1</w:t>
            </w:r>
          </w:p>
        </w:tc>
      </w:tr>
      <w:tr w:rsidR="00317600" w14:paraId="30D53F21" w14:textId="77777777" w:rsidTr="000C6565">
        <w:tc>
          <w:tcPr>
            <w:tcW w:w="7763" w:type="dxa"/>
          </w:tcPr>
          <w:p w14:paraId="197AB1FF" w14:textId="77777777" w:rsidR="00317600" w:rsidRDefault="00317600" w:rsidP="000C6565">
            <w:pPr>
              <w:pStyle w:val="KeinLeerraum"/>
            </w:pPr>
            <w:r>
              <w:t>Section 11.13.3</w:t>
            </w:r>
          </w:p>
        </w:tc>
        <w:tc>
          <w:tcPr>
            <w:tcW w:w="1859" w:type="dxa"/>
          </w:tcPr>
          <w:p w14:paraId="130B3AA3" w14:textId="77777777" w:rsidR="00317600" w:rsidRDefault="00D11346" w:rsidP="000C6565">
            <w:pPr>
              <w:pStyle w:val="KeinLeerraum"/>
            </w:pPr>
            <w:r>
              <w:t>2</w:t>
            </w:r>
          </w:p>
        </w:tc>
      </w:tr>
      <w:tr w:rsidR="002411BA" w14:paraId="115082CB" w14:textId="77777777" w:rsidTr="00D11346">
        <w:tc>
          <w:tcPr>
            <w:tcW w:w="7763" w:type="dxa"/>
            <w:shd w:val="clear" w:color="auto" w:fill="D9D9D9" w:themeFill="background1" w:themeFillShade="D9"/>
          </w:tcPr>
          <w:p w14:paraId="7FE3AC80" w14:textId="77777777" w:rsidR="002411BA" w:rsidRDefault="00D11346" w:rsidP="000C6565">
            <w:pPr>
              <w:pStyle w:val="KeinLeerraum"/>
            </w:pPr>
            <w:r>
              <w:t>Figures</w:t>
            </w:r>
          </w:p>
        </w:tc>
        <w:tc>
          <w:tcPr>
            <w:tcW w:w="1859" w:type="dxa"/>
            <w:shd w:val="clear" w:color="auto" w:fill="D9D9D9" w:themeFill="background1" w:themeFillShade="D9"/>
          </w:tcPr>
          <w:p w14:paraId="5C5DB0B2" w14:textId="77777777" w:rsidR="002411BA" w:rsidRDefault="00D11346" w:rsidP="000C6565">
            <w:pPr>
              <w:pStyle w:val="KeinLeerraum"/>
            </w:pPr>
            <w:r>
              <w:t>3</w:t>
            </w:r>
          </w:p>
        </w:tc>
      </w:tr>
      <w:tr w:rsidR="00D11346" w14:paraId="5E8AB55F" w14:textId="77777777" w:rsidTr="000C6565">
        <w:tc>
          <w:tcPr>
            <w:tcW w:w="7763" w:type="dxa"/>
          </w:tcPr>
          <w:p w14:paraId="58B66F53" w14:textId="77777777" w:rsidR="00D11346" w:rsidRDefault="00D11346" w:rsidP="0056487E">
            <w:pPr>
              <w:pStyle w:val="KeinLeerraum"/>
            </w:pPr>
            <w:r>
              <w:t>Figure 11.8</w:t>
            </w:r>
          </w:p>
        </w:tc>
        <w:tc>
          <w:tcPr>
            <w:tcW w:w="1859" w:type="dxa"/>
          </w:tcPr>
          <w:p w14:paraId="69D9AB3A" w14:textId="77777777" w:rsidR="00D11346" w:rsidRDefault="00D11346" w:rsidP="000C6565">
            <w:pPr>
              <w:pStyle w:val="KeinLeerraum"/>
            </w:pPr>
            <w:r>
              <w:t>1</w:t>
            </w:r>
          </w:p>
        </w:tc>
      </w:tr>
      <w:tr w:rsidR="00D11346" w14:paraId="7347842C" w14:textId="77777777" w:rsidTr="000C6565">
        <w:tc>
          <w:tcPr>
            <w:tcW w:w="7763" w:type="dxa"/>
          </w:tcPr>
          <w:p w14:paraId="0A5CED88" w14:textId="77777777" w:rsidR="00D11346" w:rsidRDefault="00D11346" w:rsidP="0056487E">
            <w:pPr>
              <w:pStyle w:val="KeinLeerraum"/>
            </w:pPr>
            <w:r>
              <w:t>Figure 11.22</w:t>
            </w:r>
          </w:p>
        </w:tc>
        <w:tc>
          <w:tcPr>
            <w:tcW w:w="1859" w:type="dxa"/>
          </w:tcPr>
          <w:p w14:paraId="2A114317" w14:textId="77777777" w:rsidR="00D11346" w:rsidRDefault="00D11346" w:rsidP="000C6565">
            <w:pPr>
              <w:pStyle w:val="KeinLeerraum"/>
            </w:pPr>
            <w:r>
              <w:t>1</w:t>
            </w:r>
          </w:p>
        </w:tc>
      </w:tr>
      <w:tr w:rsidR="00D11346" w14:paraId="12DEC7A2" w14:textId="77777777" w:rsidTr="000C6565">
        <w:tc>
          <w:tcPr>
            <w:tcW w:w="7763" w:type="dxa"/>
          </w:tcPr>
          <w:p w14:paraId="19A67C61" w14:textId="77777777" w:rsidR="00D11346" w:rsidRDefault="00D11346" w:rsidP="0056487E">
            <w:pPr>
              <w:pStyle w:val="KeinLeerraum"/>
            </w:pPr>
            <w:r>
              <w:t>Figure 11.23</w:t>
            </w:r>
          </w:p>
        </w:tc>
        <w:tc>
          <w:tcPr>
            <w:tcW w:w="1859" w:type="dxa"/>
          </w:tcPr>
          <w:p w14:paraId="22FE5A66" w14:textId="77777777" w:rsidR="00D11346" w:rsidRDefault="00D11346" w:rsidP="000C6565">
            <w:pPr>
              <w:pStyle w:val="KeinLeerraum"/>
            </w:pPr>
            <w:r>
              <w:t>1</w:t>
            </w:r>
          </w:p>
        </w:tc>
      </w:tr>
      <w:tr w:rsidR="00D11346" w14:paraId="37D5D82F" w14:textId="77777777" w:rsidTr="00D11346">
        <w:tc>
          <w:tcPr>
            <w:tcW w:w="7763" w:type="dxa"/>
            <w:shd w:val="clear" w:color="auto" w:fill="D9D9D9" w:themeFill="background1" w:themeFillShade="D9"/>
          </w:tcPr>
          <w:p w14:paraId="079D5DC2" w14:textId="77777777" w:rsidR="00D11346" w:rsidRDefault="00D11346" w:rsidP="000C6565">
            <w:pPr>
              <w:pStyle w:val="KeinLeerraum"/>
            </w:pPr>
            <w:r>
              <w:t>Tables</w:t>
            </w:r>
          </w:p>
        </w:tc>
        <w:tc>
          <w:tcPr>
            <w:tcW w:w="1859" w:type="dxa"/>
            <w:shd w:val="clear" w:color="auto" w:fill="D9D9D9" w:themeFill="background1" w:themeFillShade="D9"/>
          </w:tcPr>
          <w:p w14:paraId="3B228F07" w14:textId="77777777" w:rsidR="00D11346" w:rsidRDefault="00D11346" w:rsidP="000C6565">
            <w:pPr>
              <w:pStyle w:val="KeinLeerraum"/>
            </w:pPr>
            <w:r>
              <w:t>2</w:t>
            </w:r>
          </w:p>
        </w:tc>
      </w:tr>
      <w:tr w:rsidR="00D11346" w14:paraId="0E300746" w14:textId="77777777" w:rsidTr="000C6565">
        <w:tc>
          <w:tcPr>
            <w:tcW w:w="7763" w:type="dxa"/>
          </w:tcPr>
          <w:p w14:paraId="21D35858" w14:textId="77777777" w:rsidR="00D11346" w:rsidRDefault="00D11346" w:rsidP="0056487E">
            <w:pPr>
              <w:pStyle w:val="KeinLeerraum"/>
            </w:pPr>
            <w:r>
              <w:t>Table 11.4</w:t>
            </w:r>
          </w:p>
        </w:tc>
        <w:tc>
          <w:tcPr>
            <w:tcW w:w="1859" w:type="dxa"/>
          </w:tcPr>
          <w:p w14:paraId="43F0F692" w14:textId="77777777" w:rsidR="00D11346" w:rsidRDefault="00D11346" w:rsidP="000C6565">
            <w:pPr>
              <w:pStyle w:val="KeinLeerraum"/>
            </w:pPr>
            <w:r>
              <w:t>1</w:t>
            </w:r>
          </w:p>
        </w:tc>
      </w:tr>
      <w:tr w:rsidR="00D11346" w14:paraId="36F2E058" w14:textId="77777777" w:rsidTr="000C6565">
        <w:tc>
          <w:tcPr>
            <w:tcW w:w="7763" w:type="dxa"/>
          </w:tcPr>
          <w:p w14:paraId="6393BFCD" w14:textId="77777777" w:rsidR="00D11346" w:rsidRDefault="00D11346" w:rsidP="0056487E">
            <w:pPr>
              <w:pStyle w:val="KeinLeerraum"/>
            </w:pPr>
            <w:r>
              <w:t>Table 11.2</w:t>
            </w:r>
          </w:p>
        </w:tc>
        <w:tc>
          <w:tcPr>
            <w:tcW w:w="1859" w:type="dxa"/>
          </w:tcPr>
          <w:p w14:paraId="3631FE3B" w14:textId="77777777" w:rsidR="00D11346" w:rsidRDefault="00D11346" w:rsidP="000C6565">
            <w:pPr>
              <w:pStyle w:val="KeinLeerraum"/>
            </w:pPr>
            <w:r>
              <w:t>1</w:t>
            </w:r>
          </w:p>
        </w:tc>
      </w:tr>
    </w:tbl>
    <w:p w14:paraId="1E9571AD" w14:textId="77777777" w:rsidR="002411BA" w:rsidRDefault="002411BA" w:rsidP="002411BA"/>
    <w:p w14:paraId="6636CE4A" w14:textId="77777777" w:rsidR="002411BA" w:rsidRDefault="002411BA" w:rsidP="002411BA">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25"/>
        <w:gridCol w:w="7986"/>
        <w:gridCol w:w="885"/>
      </w:tblGrid>
      <w:tr w:rsidR="001B7F9A" w14:paraId="13065ED2" w14:textId="77777777" w:rsidTr="0056487E">
        <w:tc>
          <w:tcPr>
            <w:tcW w:w="529" w:type="dxa"/>
          </w:tcPr>
          <w:p w14:paraId="5F94E1EB" w14:textId="77777777" w:rsidR="001B7F9A" w:rsidRPr="00F71281" w:rsidRDefault="001B7F9A" w:rsidP="0056487E">
            <w:pPr>
              <w:pStyle w:val="KeinLeerraum"/>
              <w:rPr>
                <w:b/>
              </w:rPr>
            </w:pPr>
            <w:r>
              <w:rPr>
                <w:b/>
              </w:rPr>
              <w:t>#</w:t>
            </w:r>
          </w:p>
        </w:tc>
        <w:tc>
          <w:tcPr>
            <w:tcW w:w="8208" w:type="dxa"/>
          </w:tcPr>
          <w:p w14:paraId="6DABE9EE" w14:textId="77777777" w:rsidR="001B7F9A" w:rsidRPr="00F71281" w:rsidRDefault="001B7F9A" w:rsidP="0056487E">
            <w:pPr>
              <w:pStyle w:val="KeinLeerraum"/>
              <w:rPr>
                <w:b/>
              </w:rPr>
            </w:pPr>
            <w:r w:rsidRPr="00F71281">
              <w:rPr>
                <w:b/>
              </w:rPr>
              <w:t>Statements</w:t>
            </w:r>
          </w:p>
        </w:tc>
        <w:tc>
          <w:tcPr>
            <w:tcW w:w="885" w:type="dxa"/>
          </w:tcPr>
          <w:p w14:paraId="773A4F6F" w14:textId="77777777" w:rsidR="001B7F9A" w:rsidRPr="00415E62" w:rsidRDefault="001B7F9A" w:rsidP="0056487E">
            <w:pPr>
              <w:pStyle w:val="KeinLeerraum"/>
              <w:rPr>
                <w:b/>
                <w:bCs/>
              </w:rPr>
            </w:pPr>
            <w:r w:rsidRPr="00415E62">
              <w:rPr>
                <w:b/>
                <w:bCs/>
              </w:rPr>
              <w:t>Loc.</w:t>
            </w:r>
          </w:p>
        </w:tc>
      </w:tr>
      <w:tr w:rsidR="001B7F9A" w14:paraId="0A83D49E" w14:textId="77777777" w:rsidTr="0056487E">
        <w:tc>
          <w:tcPr>
            <w:tcW w:w="529" w:type="dxa"/>
          </w:tcPr>
          <w:p w14:paraId="76705DC0" w14:textId="77777777" w:rsidR="001B7F9A" w:rsidRDefault="001B7F9A" w:rsidP="0056487E">
            <w:pPr>
              <w:pStyle w:val="KeinLeerraum"/>
            </w:pPr>
            <w:r>
              <w:t>1</w:t>
            </w:r>
          </w:p>
        </w:tc>
        <w:tc>
          <w:tcPr>
            <w:tcW w:w="8208" w:type="dxa"/>
          </w:tcPr>
          <w:p w14:paraId="4FC9892F" w14:textId="77777777" w:rsidR="001B7F9A" w:rsidRPr="00E416DF" w:rsidRDefault="001B7F9A" w:rsidP="0056487E">
            <w:pPr>
              <w:pStyle w:val="KeinLeerraum"/>
              <w:rPr>
                <w:b/>
                <w:color w:val="F79646" w:themeColor="accent6"/>
              </w:rPr>
            </w:pPr>
            <w:r>
              <w:t xml:space="preserve">In spite of a large range across global Forestry and Other Land Use (FOLU) flux estimates, most approaches indicate a decline in FOLU carbon dioxide (CO2) emissions over the most recent years, largely due to decreasing deforestation rates and increased </w:t>
            </w:r>
            <w:r w:rsidRPr="00126167">
              <w:rPr>
                <w:b/>
                <w:color w:val="0070C0"/>
              </w:rPr>
              <w:t>afforestation</w:t>
            </w:r>
            <w:r w:rsidRPr="00126167">
              <w:rPr>
                <w:color w:val="0070C0"/>
              </w:rPr>
              <w:t xml:space="preserve"> </w:t>
            </w:r>
            <w:r>
              <w:t>(limited evidence, medium agreement).</w:t>
            </w:r>
          </w:p>
        </w:tc>
        <w:tc>
          <w:tcPr>
            <w:tcW w:w="885" w:type="dxa"/>
          </w:tcPr>
          <w:p w14:paraId="01A0A26D" w14:textId="77777777" w:rsidR="001B7F9A" w:rsidRDefault="001B7F9A" w:rsidP="0056487E">
            <w:pPr>
              <w:pStyle w:val="KeinLeerraum"/>
            </w:pPr>
            <w:r>
              <w:t>Exec. Summ.</w:t>
            </w:r>
          </w:p>
        </w:tc>
      </w:tr>
      <w:tr w:rsidR="001B7F9A" w14:paraId="1A34E626" w14:textId="77777777" w:rsidTr="0056487E">
        <w:tc>
          <w:tcPr>
            <w:tcW w:w="529" w:type="dxa"/>
          </w:tcPr>
          <w:p w14:paraId="7E805A88" w14:textId="77777777" w:rsidR="001B7F9A" w:rsidRDefault="001B7F9A" w:rsidP="0056487E">
            <w:pPr>
              <w:pStyle w:val="KeinLeerraum"/>
            </w:pPr>
            <w:r>
              <w:t>2</w:t>
            </w:r>
          </w:p>
        </w:tc>
        <w:tc>
          <w:tcPr>
            <w:tcW w:w="8208" w:type="dxa"/>
          </w:tcPr>
          <w:p w14:paraId="1D1E1466" w14:textId="77777777" w:rsidR="001B7F9A" w:rsidRPr="00E416DF" w:rsidRDefault="001B7F9A" w:rsidP="0056487E">
            <w:pPr>
              <w:pStyle w:val="KeinLeerraum"/>
              <w:rPr>
                <w:b/>
                <w:color w:val="F79646" w:themeColor="accent6"/>
              </w:rPr>
            </w:pPr>
            <w:r>
              <w:t xml:space="preserve">Forest management, followed by </w:t>
            </w:r>
            <w:r w:rsidRPr="00126167">
              <w:rPr>
                <w:b/>
                <w:color w:val="0070C0"/>
              </w:rPr>
              <w:t>afforestation</w:t>
            </w:r>
            <w:r>
              <w:t xml:space="preserve">, dominate in OECD-1990, EIT, and Asia (medium evidence, strong agreement) </w:t>
            </w:r>
            <w:r w:rsidRPr="00126167">
              <w:rPr>
                <w:b/>
                <w:color w:val="FF0000"/>
              </w:rPr>
              <w:t>[11.6]</w:t>
            </w:r>
            <w:r>
              <w:t>.</w:t>
            </w:r>
          </w:p>
        </w:tc>
        <w:tc>
          <w:tcPr>
            <w:tcW w:w="885" w:type="dxa"/>
          </w:tcPr>
          <w:p w14:paraId="26014806" w14:textId="77777777" w:rsidR="001B7F9A" w:rsidRDefault="001B7F9A" w:rsidP="0056487E">
            <w:pPr>
              <w:pStyle w:val="KeinLeerraum"/>
            </w:pPr>
            <w:r>
              <w:t>Exec. Summ.</w:t>
            </w:r>
          </w:p>
        </w:tc>
      </w:tr>
      <w:tr w:rsidR="001B7F9A" w14:paraId="244AB58F" w14:textId="77777777" w:rsidTr="0056487E">
        <w:tc>
          <w:tcPr>
            <w:tcW w:w="529" w:type="dxa"/>
          </w:tcPr>
          <w:p w14:paraId="7A6DFCB8" w14:textId="77777777" w:rsidR="001B7F9A" w:rsidRDefault="001B7F9A" w:rsidP="0056487E">
            <w:pPr>
              <w:pStyle w:val="KeinLeerraum"/>
            </w:pPr>
            <w:r>
              <w:lastRenderedPageBreak/>
              <w:t>3</w:t>
            </w:r>
          </w:p>
        </w:tc>
        <w:tc>
          <w:tcPr>
            <w:tcW w:w="8208" w:type="dxa"/>
          </w:tcPr>
          <w:p w14:paraId="68851288" w14:textId="77777777" w:rsidR="001B7F9A" w:rsidRPr="00E416DF" w:rsidRDefault="001B7F9A" w:rsidP="0056487E">
            <w:pPr>
              <w:pStyle w:val="KeinLeerraum"/>
              <w:rPr>
                <w:b/>
                <w:color w:val="F79646" w:themeColor="accent6"/>
              </w:rPr>
            </w:pPr>
            <w:r>
              <w:t xml:space="preserve">Anthropogenic land-use activities (e.g., management of croplands, forests, grasslands, wetlands), and changes in land use/cover (e.g., conversion of forest lands and grasslands to cropland and pasture, </w:t>
            </w:r>
            <w:r w:rsidRPr="009B5DF2">
              <w:rPr>
                <w:b/>
                <w:color w:val="0070C0"/>
              </w:rPr>
              <w:t>afforestation</w:t>
            </w:r>
            <w:r>
              <w:t>) cause changes superimposed on these natural fluxes.</w:t>
            </w:r>
          </w:p>
        </w:tc>
        <w:tc>
          <w:tcPr>
            <w:tcW w:w="885" w:type="dxa"/>
          </w:tcPr>
          <w:p w14:paraId="5424D6A1" w14:textId="77777777" w:rsidR="001B7F9A" w:rsidRDefault="001B7F9A" w:rsidP="0056487E">
            <w:pPr>
              <w:pStyle w:val="KeinLeerraum"/>
            </w:pPr>
            <w:r>
              <w:t>11.1</w:t>
            </w:r>
          </w:p>
        </w:tc>
      </w:tr>
      <w:tr w:rsidR="001B7F9A" w14:paraId="70BF769F" w14:textId="77777777" w:rsidTr="0056487E">
        <w:tc>
          <w:tcPr>
            <w:tcW w:w="529" w:type="dxa"/>
          </w:tcPr>
          <w:p w14:paraId="6123E4F9" w14:textId="77777777" w:rsidR="001B7F9A" w:rsidRDefault="001B7F9A" w:rsidP="0056487E">
            <w:pPr>
              <w:pStyle w:val="KeinLeerraum"/>
            </w:pPr>
            <w:r>
              <w:t>4</w:t>
            </w:r>
          </w:p>
        </w:tc>
        <w:tc>
          <w:tcPr>
            <w:tcW w:w="8208" w:type="dxa"/>
          </w:tcPr>
          <w:p w14:paraId="3913FCE0" w14:textId="77777777" w:rsidR="001B7F9A" w:rsidRPr="00A10F51" w:rsidRDefault="001B7F9A" w:rsidP="0056487E">
            <w:pPr>
              <w:rPr>
                <w:bCs/>
              </w:rPr>
            </w:pPr>
            <w:r>
              <w:t xml:space="preserve">AFOLU activities lead to both sources of CO2 (e.g., deforestation, peatland drainage) and sinks of CO2 (e.g., </w:t>
            </w:r>
            <w:r w:rsidRPr="009B5DF2">
              <w:rPr>
                <w:b/>
                <w:color w:val="0070C0"/>
              </w:rPr>
              <w:t>afforestation</w:t>
            </w:r>
            <w:r>
              <w:t xml:space="preserve">, management for soil carbon sequestration), and to non-CO2 emissions primarily from agriculture (e.g., CH4 from livestock and rice cultivation, N2O from manure storage and agricultural soils and biomass burning </w:t>
            </w:r>
            <w:r w:rsidRPr="009B5DF2">
              <w:rPr>
                <w:b/>
                <w:color w:val="FF0000"/>
              </w:rPr>
              <w:t>(Section 11.2)</w:t>
            </w:r>
            <w:r>
              <w:t>.</w:t>
            </w:r>
          </w:p>
        </w:tc>
        <w:tc>
          <w:tcPr>
            <w:tcW w:w="885" w:type="dxa"/>
          </w:tcPr>
          <w:p w14:paraId="4ED8DDBD" w14:textId="77777777" w:rsidR="001B7F9A" w:rsidRDefault="001B7F9A" w:rsidP="0056487E">
            <w:pPr>
              <w:pStyle w:val="KeinLeerraum"/>
            </w:pPr>
            <w:r>
              <w:t>11.1</w:t>
            </w:r>
          </w:p>
        </w:tc>
      </w:tr>
      <w:tr w:rsidR="001B7F9A" w14:paraId="769FA47E" w14:textId="77777777" w:rsidTr="0056487E">
        <w:tc>
          <w:tcPr>
            <w:tcW w:w="529" w:type="dxa"/>
          </w:tcPr>
          <w:p w14:paraId="7C369F3B" w14:textId="77777777" w:rsidR="001B7F9A" w:rsidRDefault="001B7F9A" w:rsidP="0056487E">
            <w:pPr>
              <w:pStyle w:val="KeinLeerraum"/>
            </w:pPr>
            <w:r>
              <w:t>5</w:t>
            </w:r>
          </w:p>
        </w:tc>
        <w:tc>
          <w:tcPr>
            <w:tcW w:w="8208" w:type="dxa"/>
          </w:tcPr>
          <w:p w14:paraId="568782CF" w14:textId="77777777" w:rsidR="001B7F9A" w:rsidRPr="00E416DF" w:rsidRDefault="001B7F9A" w:rsidP="0056487E">
            <w:pPr>
              <w:pStyle w:val="KeinLeerraum"/>
              <w:rPr>
                <w:b/>
                <w:color w:val="F79646" w:themeColor="accent6"/>
              </w:rPr>
            </w:pPr>
            <w:r w:rsidRPr="00A10F51">
              <w:rPr>
                <w:bCs/>
              </w:rPr>
              <w:t>Enhancement of carbon sequestration in soils, biota, and longlived products through increases in the area of carbon-rich ecosystems such as forests (</w:t>
            </w:r>
            <w:r w:rsidRPr="00A10F51">
              <w:rPr>
                <w:b/>
                <w:bCs/>
                <w:color w:val="0070C0"/>
              </w:rPr>
              <w:t>afforestation</w:t>
            </w:r>
            <w:r w:rsidRPr="00A10F51">
              <w:rPr>
                <w:bCs/>
              </w:rPr>
              <w:t>, reforestation), increased carbon storage per unit area, e.g., increased stocking density in</w:t>
            </w:r>
            <w:r>
              <w:rPr>
                <w:b/>
                <w:bCs/>
              </w:rPr>
              <w:t xml:space="preserve"> </w:t>
            </w:r>
            <w:r w:rsidRPr="00A10F51">
              <w:t>forests, carbon sequestration in soils, and wood use in construction activities.</w:t>
            </w:r>
          </w:p>
        </w:tc>
        <w:tc>
          <w:tcPr>
            <w:tcW w:w="885" w:type="dxa"/>
          </w:tcPr>
          <w:p w14:paraId="27B21A17" w14:textId="77777777" w:rsidR="001B7F9A" w:rsidRDefault="001B7F9A" w:rsidP="0056487E">
            <w:pPr>
              <w:pStyle w:val="KeinLeerraum"/>
            </w:pPr>
            <w:r>
              <w:t>11.3</w:t>
            </w:r>
          </w:p>
        </w:tc>
      </w:tr>
      <w:tr w:rsidR="001B7F9A" w14:paraId="5A4A8DD8" w14:textId="77777777" w:rsidTr="0056487E">
        <w:tc>
          <w:tcPr>
            <w:tcW w:w="529" w:type="dxa"/>
          </w:tcPr>
          <w:p w14:paraId="65766231" w14:textId="77777777" w:rsidR="001B7F9A" w:rsidRDefault="001B7F9A" w:rsidP="0056487E">
            <w:pPr>
              <w:pStyle w:val="KeinLeerraum"/>
            </w:pPr>
            <w:r>
              <w:t>6</w:t>
            </w:r>
          </w:p>
        </w:tc>
        <w:tc>
          <w:tcPr>
            <w:tcW w:w="8208" w:type="dxa"/>
          </w:tcPr>
          <w:p w14:paraId="09A1EBB6" w14:textId="77777777" w:rsidR="001B7F9A" w:rsidRPr="00E416DF" w:rsidRDefault="001B7F9A" w:rsidP="0056487E">
            <w:pPr>
              <w:pStyle w:val="KeinLeerraum"/>
              <w:rPr>
                <w:b/>
                <w:color w:val="F79646" w:themeColor="accent6"/>
              </w:rPr>
            </w:pPr>
            <w:r>
              <w:t xml:space="preserve">Various types of carbon sinks (e.g., </w:t>
            </w:r>
            <w:r w:rsidRPr="00A10F51">
              <w:rPr>
                <w:b/>
                <w:color w:val="0070C0"/>
              </w:rPr>
              <w:t>afforestation</w:t>
            </w:r>
            <w:r>
              <w:t>/reforestation, agricultural soil C) have an inherent risk of future reversals.</w:t>
            </w:r>
          </w:p>
        </w:tc>
        <w:tc>
          <w:tcPr>
            <w:tcW w:w="885" w:type="dxa"/>
          </w:tcPr>
          <w:p w14:paraId="23DC6CE7" w14:textId="77777777" w:rsidR="001B7F9A" w:rsidRDefault="001B7F9A" w:rsidP="0056487E">
            <w:pPr>
              <w:pStyle w:val="KeinLeerraum"/>
            </w:pPr>
            <w:r>
              <w:t>11.3.2</w:t>
            </w:r>
          </w:p>
        </w:tc>
      </w:tr>
      <w:tr w:rsidR="001B7F9A" w14:paraId="54FD4D3D" w14:textId="77777777" w:rsidTr="0056487E">
        <w:tc>
          <w:tcPr>
            <w:tcW w:w="529" w:type="dxa"/>
          </w:tcPr>
          <w:p w14:paraId="79306C96" w14:textId="77777777" w:rsidR="001B7F9A" w:rsidRDefault="001B7F9A" w:rsidP="0056487E">
            <w:pPr>
              <w:pStyle w:val="KeinLeerraum"/>
            </w:pPr>
            <w:r>
              <w:t>7</w:t>
            </w:r>
          </w:p>
        </w:tc>
        <w:tc>
          <w:tcPr>
            <w:tcW w:w="8208" w:type="dxa"/>
          </w:tcPr>
          <w:p w14:paraId="51C29D85" w14:textId="77777777" w:rsidR="001B7F9A" w:rsidRDefault="001B7F9A" w:rsidP="0056487E">
            <w:pPr>
              <w:pStyle w:val="KeinLeerraum"/>
            </w:pPr>
            <w:r w:rsidRPr="00477662">
              <w:rPr>
                <w:b/>
                <w:color w:val="FFC000"/>
              </w:rPr>
              <w:t>Coupling bioenergy and CCS (BECCS)</w:t>
            </w:r>
            <w:r w:rsidRPr="00477662">
              <w:rPr>
                <w:color w:val="FFC000"/>
              </w:rPr>
              <w:t xml:space="preserve"> </w:t>
            </w:r>
            <w:r>
              <w:t>has attracted particular attention since AR4 because it offers the prospect of negative emissions.</w:t>
            </w:r>
          </w:p>
        </w:tc>
        <w:tc>
          <w:tcPr>
            <w:tcW w:w="885" w:type="dxa"/>
          </w:tcPr>
          <w:p w14:paraId="3221C7DE" w14:textId="77777777" w:rsidR="001B7F9A" w:rsidRDefault="001B7F9A" w:rsidP="0056487E">
            <w:pPr>
              <w:pStyle w:val="KeinLeerraum"/>
            </w:pPr>
            <w:r>
              <w:t>Box 11.5</w:t>
            </w:r>
          </w:p>
        </w:tc>
      </w:tr>
      <w:tr w:rsidR="001B7F9A" w14:paraId="5BEB8EA3" w14:textId="77777777" w:rsidTr="0056487E">
        <w:tc>
          <w:tcPr>
            <w:tcW w:w="529" w:type="dxa"/>
          </w:tcPr>
          <w:p w14:paraId="148902D7" w14:textId="77777777" w:rsidR="001B7F9A" w:rsidRDefault="001B7F9A" w:rsidP="0056487E">
            <w:pPr>
              <w:pStyle w:val="KeinLeerraum"/>
            </w:pPr>
            <w:r>
              <w:t>8</w:t>
            </w:r>
          </w:p>
        </w:tc>
        <w:tc>
          <w:tcPr>
            <w:tcW w:w="8208" w:type="dxa"/>
          </w:tcPr>
          <w:p w14:paraId="673EB83C" w14:textId="77777777" w:rsidR="001B7F9A" w:rsidRDefault="001B7F9A" w:rsidP="0056487E">
            <w:pPr>
              <w:pStyle w:val="KeinLeerraum"/>
            </w:pPr>
            <w:r w:rsidRPr="00477662">
              <w:t>Until 2050, the economic potential is estimated to be between 2–10 GtCO2 per year.</w:t>
            </w:r>
            <w:r>
              <w:t xml:space="preserve"> Some climate stabilization scenarios see considerable higher deployment towards the end of the century, even in some 580–650 ppm scenarios, operating under different time scales, socioeconomic assumptions, technology portfolios, CO2 prices, and interpreting </w:t>
            </w:r>
            <w:r w:rsidRPr="00477662">
              <w:rPr>
                <w:b/>
                <w:color w:val="FFC000"/>
              </w:rPr>
              <w:t>BECCS</w:t>
            </w:r>
            <w:r>
              <w:t xml:space="preserve"> as part of an overall mitigation framework.</w:t>
            </w:r>
          </w:p>
        </w:tc>
        <w:tc>
          <w:tcPr>
            <w:tcW w:w="885" w:type="dxa"/>
          </w:tcPr>
          <w:p w14:paraId="6C2ED699" w14:textId="77777777" w:rsidR="001B7F9A" w:rsidRDefault="001B7F9A" w:rsidP="0056487E">
            <w:pPr>
              <w:pStyle w:val="KeinLeerraum"/>
            </w:pPr>
            <w:r>
              <w:t>Box 11.5</w:t>
            </w:r>
          </w:p>
        </w:tc>
      </w:tr>
      <w:tr w:rsidR="001B7F9A" w14:paraId="27B08A68" w14:textId="77777777" w:rsidTr="0056487E">
        <w:tc>
          <w:tcPr>
            <w:tcW w:w="529" w:type="dxa"/>
          </w:tcPr>
          <w:p w14:paraId="76CBE225" w14:textId="77777777" w:rsidR="001B7F9A" w:rsidRDefault="001B7F9A" w:rsidP="0056487E">
            <w:pPr>
              <w:pStyle w:val="KeinLeerraum"/>
            </w:pPr>
            <w:r>
              <w:t>9</w:t>
            </w:r>
          </w:p>
        </w:tc>
        <w:tc>
          <w:tcPr>
            <w:tcW w:w="8208" w:type="dxa"/>
          </w:tcPr>
          <w:p w14:paraId="06AFAAF8" w14:textId="77777777" w:rsidR="001B7F9A" w:rsidRDefault="001B7F9A" w:rsidP="0056487E">
            <w:pPr>
              <w:pStyle w:val="KeinLeerraum"/>
            </w:pPr>
            <w:r>
              <w:t xml:space="preserve">Technological challenges and potential risks of </w:t>
            </w:r>
            <w:r w:rsidRPr="00477662">
              <w:rPr>
                <w:b/>
                <w:color w:val="FFC000"/>
              </w:rPr>
              <w:t>BECCS</w:t>
            </w:r>
            <w:r>
              <w:t xml:space="preserve"> include those associated with the provision of the biomass feedstock as well as with the capture, transport and longterm underground storage of CO2.</w:t>
            </w:r>
          </w:p>
        </w:tc>
        <w:tc>
          <w:tcPr>
            <w:tcW w:w="885" w:type="dxa"/>
          </w:tcPr>
          <w:p w14:paraId="1C3E9395" w14:textId="77777777" w:rsidR="001B7F9A" w:rsidRDefault="001B7F9A" w:rsidP="0056487E">
            <w:pPr>
              <w:pStyle w:val="KeinLeerraum"/>
            </w:pPr>
            <w:r>
              <w:t>Box 11.5</w:t>
            </w:r>
          </w:p>
        </w:tc>
      </w:tr>
      <w:tr w:rsidR="001B7F9A" w14:paraId="47D71623" w14:textId="77777777" w:rsidTr="0056487E">
        <w:tc>
          <w:tcPr>
            <w:tcW w:w="529" w:type="dxa"/>
          </w:tcPr>
          <w:p w14:paraId="3ABA7200" w14:textId="77777777" w:rsidR="001B7F9A" w:rsidRDefault="001B7F9A" w:rsidP="0056487E">
            <w:pPr>
              <w:pStyle w:val="KeinLeerraum"/>
            </w:pPr>
            <w:r>
              <w:t>10</w:t>
            </w:r>
          </w:p>
        </w:tc>
        <w:tc>
          <w:tcPr>
            <w:tcW w:w="8208" w:type="dxa"/>
          </w:tcPr>
          <w:p w14:paraId="1DB44903" w14:textId="77777777" w:rsidR="001B7F9A" w:rsidRDefault="001B7F9A" w:rsidP="0056487E">
            <w:pPr>
              <w:pStyle w:val="KeinLeerraum"/>
            </w:pPr>
            <w:r w:rsidRPr="00477662">
              <w:rPr>
                <w:b/>
                <w:color w:val="FFC000"/>
              </w:rPr>
              <w:t>BECCS</w:t>
            </w:r>
            <w:r>
              <w:t xml:space="preserve"> faces large challenges in financing and currently no such plants have been built and tested at scale (</w:t>
            </w:r>
            <w:r w:rsidRPr="00477662">
              <w:rPr>
                <w:b/>
                <w:color w:val="FF0000"/>
              </w:rPr>
              <w:t>Sections 7.5.5, 7.9, 11.13.3</w:t>
            </w:r>
            <w:r>
              <w:t>).</w:t>
            </w:r>
          </w:p>
        </w:tc>
        <w:tc>
          <w:tcPr>
            <w:tcW w:w="885" w:type="dxa"/>
          </w:tcPr>
          <w:p w14:paraId="2861B7DB" w14:textId="77777777" w:rsidR="001B7F9A" w:rsidRDefault="001B7F9A" w:rsidP="0056487E">
            <w:pPr>
              <w:pStyle w:val="KeinLeerraum"/>
            </w:pPr>
            <w:r>
              <w:t>Box 11.5</w:t>
            </w:r>
          </w:p>
        </w:tc>
      </w:tr>
      <w:tr w:rsidR="001B7F9A" w14:paraId="48D722E6" w14:textId="77777777" w:rsidTr="0056487E">
        <w:tc>
          <w:tcPr>
            <w:tcW w:w="529" w:type="dxa"/>
          </w:tcPr>
          <w:p w14:paraId="217924CB" w14:textId="77777777" w:rsidR="001B7F9A" w:rsidRDefault="001B7F9A" w:rsidP="0056487E">
            <w:pPr>
              <w:pStyle w:val="KeinLeerraum"/>
            </w:pPr>
            <w:r>
              <w:t>11</w:t>
            </w:r>
          </w:p>
        </w:tc>
        <w:tc>
          <w:tcPr>
            <w:tcW w:w="8208" w:type="dxa"/>
          </w:tcPr>
          <w:p w14:paraId="3F853EB0" w14:textId="77777777" w:rsidR="001B7F9A" w:rsidRPr="00E416DF" w:rsidRDefault="001B7F9A" w:rsidP="0056487E">
            <w:pPr>
              <w:pStyle w:val="KeinLeerraum"/>
              <w:rPr>
                <w:b/>
                <w:color w:val="F79646" w:themeColor="accent6"/>
              </w:rPr>
            </w:pPr>
            <w:r>
              <w:t xml:space="preserve">Some changes in demand for food and fibre can reduce GHG emissions in the production chain (Table 11.3) through (i) a switch to the consumption of products with higher GHG emissions in the process chain to products with lower GHG emissions and (ii) by making land available for other GHG reduction activities e.g., </w:t>
            </w:r>
            <w:r w:rsidRPr="005B119A">
              <w:rPr>
                <w:b/>
                <w:color w:val="0070C0"/>
              </w:rPr>
              <w:t>afforestation</w:t>
            </w:r>
            <w:r w:rsidRPr="005B119A">
              <w:rPr>
                <w:color w:val="0070C0"/>
              </w:rPr>
              <w:t xml:space="preserve"> </w:t>
            </w:r>
            <w:r>
              <w:t>or bioenergy (</w:t>
            </w:r>
            <w:r w:rsidRPr="005B119A">
              <w:rPr>
                <w:b/>
                <w:color w:val="FF0000"/>
              </w:rPr>
              <w:t>Section 11.4.4</w:t>
            </w:r>
            <w:r>
              <w:t>).</w:t>
            </w:r>
          </w:p>
        </w:tc>
        <w:tc>
          <w:tcPr>
            <w:tcW w:w="885" w:type="dxa"/>
          </w:tcPr>
          <w:p w14:paraId="75C2AF97" w14:textId="77777777" w:rsidR="001B7F9A" w:rsidRDefault="001B7F9A" w:rsidP="0056487E">
            <w:pPr>
              <w:pStyle w:val="KeinLeerraum"/>
            </w:pPr>
            <w:r>
              <w:t>11.4.3</w:t>
            </w:r>
          </w:p>
        </w:tc>
      </w:tr>
      <w:tr w:rsidR="001B7F9A" w14:paraId="380FDF3D" w14:textId="77777777" w:rsidTr="0056487E">
        <w:tc>
          <w:tcPr>
            <w:tcW w:w="529" w:type="dxa"/>
          </w:tcPr>
          <w:p w14:paraId="0062B2E4" w14:textId="77777777" w:rsidR="001B7F9A" w:rsidRDefault="001B7F9A" w:rsidP="0056487E">
            <w:pPr>
              <w:pStyle w:val="KeinLeerraum"/>
            </w:pPr>
            <w:r>
              <w:t>12</w:t>
            </w:r>
          </w:p>
        </w:tc>
        <w:tc>
          <w:tcPr>
            <w:tcW w:w="8208" w:type="dxa"/>
          </w:tcPr>
          <w:p w14:paraId="6575866E" w14:textId="77777777" w:rsidR="001B7F9A" w:rsidRPr="00E416DF" w:rsidRDefault="001B7F9A" w:rsidP="0056487E">
            <w:pPr>
              <w:pStyle w:val="KeinLeerraum"/>
              <w:rPr>
                <w:b/>
                <w:color w:val="F79646" w:themeColor="accent6"/>
              </w:rPr>
            </w:pPr>
            <w:r w:rsidRPr="00AB30D7">
              <w:rPr>
                <w:b/>
                <w:color w:val="FF0000"/>
              </w:rPr>
              <w:t>Table 11.4</w:t>
            </w:r>
            <w:r>
              <w:t xml:space="preserve"> shows that demand-side options save GHG by freeing up land for bioenergy or </w:t>
            </w:r>
            <w:r w:rsidRPr="00AB30D7">
              <w:rPr>
                <w:b/>
                <w:color w:val="0070C0"/>
              </w:rPr>
              <w:t>afforestation</w:t>
            </w:r>
            <w:r>
              <w:t xml:space="preserve"> and related carbon sequestration.</w:t>
            </w:r>
          </w:p>
        </w:tc>
        <w:tc>
          <w:tcPr>
            <w:tcW w:w="885" w:type="dxa"/>
          </w:tcPr>
          <w:p w14:paraId="68B30D3D" w14:textId="77777777" w:rsidR="001B7F9A" w:rsidRDefault="001B7F9A" w:rsidP="0056487E">
            <w:pPr>
              <w:pStyle w:val="KeinLeerraum"/>
            </w:pPr>
            <w:r>
              <w:t>11.4.3</w:t>
            </w:r>
          </w:p>
        </w:tc>
      </w:tr>
      <w:tr w:rsidR="001B7F9A" w14:paraId="7F2D7AD8" w14:textId="77777777" w:rsidTr="0056487E">
        <w:tc>
          <w:tcPr>
            <w:tcW w:w="529" w:type="dxa"/>
          </w:tcPr>
          <w:p w14:paraId="53F3E739" w14:textId="77777777" w:rsidR="001B7F9A" w:rsidRDefault="001B7F9A" w:rsidP="0056487E">
            <w:pPr>
              <w:pStyle w:val="KeinLeerraum"/>
            </w:pPr>
            <w:r>
              <w:t>13</w:t>
            </w:r>
          </w:p>
        </w:tc>
        <w:tc>
          <w:tcPr>
            <w:tcW w:w="8208" w:type="dxa"/>
          </w:tcPr>
          <w:p w14:paraId="4EFA5B29" w14:textId="77777777" w:rsidR="001B7F9A" w:rsidRPr="00E416DF" w:rsidRDefault="001B7F9A" w:rsidP="0056487E">
            <w:pPr>
              <w:pStyle w:val="KeinLeerraum"/>
              <w:rPr>
                <w:b/>
                <w:color w:val="F79646" w:themeColor="accent6"/>
              </w:rPr>
            </w:pPr>
            <w:r>
              <w:t xml:space="preserve">The systemic effects of land-demanding mitigation options such as bioenergy or </w:t>
            </w:r>
            <w:r w:rsidRPr="00AB30D7">
              <w:rPr>
                <w:b/>
                <w:color w:val="0070C0"/>
              </w:rPr>
              <w:t>afforestation</w:t>
            </w:r>
            <w:r w:rsidRPr="00AB30D7">
              <w:rPr>
                <w:color w:val="0070C0"/>
              </w:rPr>
              <w:t xml:space="preserve"> </w:t>
            </w:r>
            <w:r>
              <w:t>depend not only on their own area demand, but also on land demand for food and fibre supply (Chum et al., 2011; Coelho et al., 2012; Erb et al., 2012b).</w:t>
            </w:r>
          </w:p>
        </w:tc>
        <w:tc>
          <w:tcPr>
            <w:tcW w:w="885" w:type="dxa"/>
          </w:tcPr>
          <w:p w14:paraId="75880B7C" w14:textId="77777777" w:rsidR="001B7F9A" w:rsidRDefault="001B7F9A" w:rsidP="0056487E">
            <w:pPr>
              <w:pStyle w:val="KeinLeerraum"/>
            </w:pPr>
            <w:r>
              <w:t>11.4.4</w:t>
            </w:r>
          </w:p>
        </w:tc>
      </w:tr>
      <w:tr w:rsidR="001B7F9A" w14:paraId="1A794EC0" w14:textId="77777777" w:rsidTr="0056487E">
        <w:tc>
          <w:tcPr>
            <w:tcW w:w="529" w:type="dxa"/>
          </w:tcPr>
          <w:p w14:paraId="0ECEB8C4" w14:textId="77777777" w:rsidR="001B7F9A" w:rsidRDefault="001B7F9A" w:rsidP="0056487E">
            <w:pPr>
              <w:pStyle w:val="KeinLeerraum"/>
            </w:pPr>
            <w:r>
              <w:t>14</w:t>
            </w:r>
          </w:p>
        </w:tc>
        <w:tc>
          <w:tcPr>
            <w:tcW w:w="8208" w:type="dxa"/>
          </w:tcPr>
          <w:p w14:paraId="2B92FA44" w14:textId="77777777" w:rsidR="001B7F9A" w:rsidRPr="009800DA" w:rsidRDefault="001B7F9A" w:rsidP="0056487E">
            <w:r>
              <w:t xml:space="preserve">Increased pressure on land systems may also emerge when </w:t>
            </w:r>
            <w:r w:rsidRPr="00AB30D7">
              <w:rPr>
                <w:b/>
                <w:color w:val="0070C0"/>
              </w:rPr>
              <w:t>afforestation</w:t>
            </w:r>
            <w:r w:rsidRPr="00AB30D7">
              <w:rPr>
                <w:color w:val="0070C0"/>
              </w:rPr>
              <w:t xml:space="preserve"> </w:t>
            </w:r>
            <w:r>
              <w:t>claims land, or forest conservation restricts farmland expansion (Murtaugh and Schlax, 2009; Popp et al., 2011).</w:t>
            </w:r>
          </w:p>
        </w:tc>
        <w:tc>
          <w:tcPr>
            <w:tcW w:w="885" w:type="dxa"/>
          </w:tcPr>
          <w:p w14:paraId="4097CBFC" w14:textId="77777777" w:rsidR="001B7F9A" w:rsidRDefault="001B7F9A" w:rsidP="0056487E">
            <w:pPr>
              <w:pStyle w:val="KeinLeerraum"/>
            </w:pPr>
            <w:r>
              <w:t>11.4.4</w:t>
            </w:r>
          </w:p>
        </w:tc>
      </w:tr>
      <w:tr w:rsidR="001B7F9A" w14:paraId="611B735D" w14:textId="77777777" w:rsidTr="0056487E">
        <w:tc>
          <w:tcPr>
            <w:tcW w:w="529" w:type="dxa"/>
          </w:tcPr>
          <w:p w14:paraId="3ACEEB2D" w14:textId="77777777" w:rsidR="001B7F9A" w:rsidRDefault="001B7F9A" w:rsidP="0056487E">
            <w:pPr>
              <w:pStyle w:val="KeinLeerraum"/>
            </w:pPr>
            <w:r>
              <w:t>15</w:t>
            </w:r>
          </w:p>
        </w:tc>
        <w:tc>
          <w:tcPr>
            <w:tcW w:w="8208" w:type="dxa"/>
          </w:tcPr>
          <w:p w14:paraId="2F20E581" w14:textId="77777777" w:rsidR="001B7F9A" w:rsidRPr="00E416DF" w:rsidRDefault="001B7F9A" w:rsidP="0056487E">
            <w:pPr>
              <w:pStyle w:val="KeinLeerraum"/>
              <w:rPr>
                <w:b/>
                <w:color w:val="F79646" w:themeColor="accent6"/>
              </w:rPr>
            </w:pPr>
            <w:r>
              <w:t xml:space="preserve">Restrictions to agricultural expansion due to forest conservation, increased energy crop area, </w:t>
            </w:r>
            <w:r w:rsidRPr="00AB30D7">
              <w:rPr>
                <w:b/>
                <w:color w:val="0070C0"/>
              </w:rPr>
              <w:t>afforestation</w:t>
            </w:r>
            <w:r w:rsidRPr="00AB30D7">
              <w:rPr>
                <w:color w:val="0070C0"/>
              </w:rPr>
              <w:t xml:space="preserve"> </w:t>
            </w:r>
            <w:r>
              <w:t>and reforestation may increase costs of agricultural production and food prices.</w:t>
            </w:r>
          </w:p>
        </w:tc>
        <w:tc>
          <w:tcPr>
            <w:tcW w:w="885" w:type="dxa"/>
          </w:tcPr>
          <w:p w14:paraId="1C115CA2" w14:textId="77777777" w:rsidR="001B7F9A" w:rsidRDefault="001B7F9A" w:rsidP="0056487E">
            <w:pPr>
              <w:pStyle w:val="KeinLeerraum"/>
            </w:pPr>
            <w:r>
              <w:t>11.4.4</w:t>
            </w:r>
          </w:p>
        </w:tc>
      </w:tr>
      <w:tr w:rsidR="001B7F9A" w14:paraId="43B3E75A" w14:textId="77777777" w:rsidTr="0056487E">
        <w:tc>
          <w:tcPr>
            <w:tcW w:w="529" w:type="dxa"/>
          </w:tcPr>
          <w:p w14:paraId="75259FAF" w14:textId="77777777" w:rsidR="001B7F9A" w:rsidRDefault="001B7F9A" w:rsidP="0056487E">
            <w:pPr>
              <w:pStyle w:val="KeinLeerraum"/>
            </w:pPr>
            <w:r>
              <w:t>16</w:t>
            </w:r>
          </w:p>
        </w:tc>
        <w:tc>
          <w:tcPr>
            <w:tcW w:w="8208" w:type="dxa"/>
          </w:tcPr>
          <w:p w14:paraId="3F6BE1CD" w14:textId="77777777" w:rsidR="001B7F9A" w:rsidRPr="00E416DF" w:rsidRDefault="001B7F9A" w:rsidP="0056487E">
            <w:pPr>
              <w:pStyle w:val="KeinLeerraum"/>
              <w:rPr>
                <w:b/>
                <w:color w:val="F79646" w:themeColor="accent6"/>
              </w:rPr>
            </w:pPr>
            <w:r>
              <w:t xml:space="preserve">Land-use choices driven by mitigation concerns (e.g., forest conservation, </w:t>
            </w:r>
            <w:r w:rsidRPr="00341134">
              <w:rPr>
                <w:b/>
                <w:color w:val="0070C0"/>
              </w:rPr>
              <w:t>afforestation</w:t>
            </w:r>
            <w:r>
              <w:t>) may have consequences for adaptive responses and/or development objectives of other sectors (e.g., expansion of agricultural land).</w:t>
            </w:r>
          </w:p>
        </w:tc>
        <w:tc>
          <w:tcPr>
            <w:tcW w:w="885" w:type="dxa"/>
          </w:tcPr>
          <w:p w14:paraId="28C25E99" w14:textId="77777777" w:rsidR="001B7F9A" w:rsidRDefault="001B7F9A" w:rsidP="0056487E">
            <w:pPr>
              <w:pStyle w:val="KeinLeerraum"/>
            </w:pPr>
            <w:r>
              <w:t>11.5.5</w:t>
            </w:r>
          </w:p>
        </w:tc>
      </w:tr>
      <w:tr w:rsidR="001B7F9A" w14:paraId="355B72FB" w14:textId="77777777" w:rsidTr="0056487E">
        <w:tc>
          <w:tcPr>
            <w:tcW w:w="529" w:type="dxa"/>
          </w:tcPr>
          <w:p w14:paraId="67BF4461" w14:textId="77777777" w:rsidR="001B7F9A" w:rsidRDefault="001B7F9A" w:rsidP="0056487E">
            <w:pPr>
              <w:pStyle w:val="KeinLeerraum"/>
            </w:pPr>
            <w:r>
              <w:lastRenderedPageBreak/>
              <w:t>17</w:t>
            </w:r>
          </w:p>
        </w:tc>
        <w:tc>
          <w:tcPr>
            <w:tcW w:w="8208" w:type="dxa"/>
          </w:tcPr>
          <w:p w14:paraId="2FAF3187" w14:textId="77777777" w:rsidR="001B7F9A" w:rsidRPr="00E416DF" w:rsidRDefault="001B7F9A" w:rsidP="0056487E">
            <w:pPr>
              <w:pStyle w:val="KeinLeerraum"/>
              <w:rPr>
                <w:b/>
                <w:color w:val="F79646" w:themeColor="accent6"/>
              </w:rPr>
            </w:pPr>
            <w:r>
              <w:t xml:space="preserve">Forest and biodiversity conservation, protected area formation, and mixed-species forestry-based </w:t>
            </w:r>
            <w:r w:rsidRPr="00341134">
              <w:rPr>
                <w:b/>
                <w:color w:val="0070C0"/>
              </w:rPr>
              <w:t>afforestation</w:t>
            </w:r>
            <w:r w:rsidRPr="00341134">
              <w:rPr>
                <w:color w:val="0070C0"/>
              </w:rPr>
              <w:t xml:space="preserve"> </w:t>
            </w:r>
            <w:r>
              <w:t>are practices that can help to maintain or enhance carbon stocks, while also providing adaptation options to enhance resilience of forest ecosystems to climate change (Ravindranath, 2007).</w:t>
            </w:r>
          </w:p>
        </w:tc>
        <w:tc>
          <w:tcPr>
            <w:tcW w:w="885" w:type="dxa"/>
          </w:tcPr>
          <w:p w14:paraId="6F0BDE48" w14:textId="77777777" w:rsidR="001B7F9A" w:rsidRDefault="001B7F9A" w:rsidP="0056487E">
            <w:pPr>
              <w:pStyle w:val="KeinLeerraum"/>
            </w:pPr>
            <w:r>
              <w:t>11.5.5</w:t>
            </w:r>
          </w:p>
        </w:tc>
      </w:tr>
      <w:tr w:rsidR="001B7F9A" w14:paraId="42462034" w14:textId="77777777" w:rsidTr="0056487E">
        <w:tc>
          <w:tcPr>
            <w:tcW w:w="529" w:type="dxa"/>
          </w:tcPr>
          <w:p w14:paraId="1056E6B8" w14:textId="77777777" w:rsidR="001B7F9A" w:rsidRDefault="001B7F9A" w:rsidP="0056487E">
            <w:pPr>
              <w:pStyle w:val="KeinLeerraum"/>
            </w:pPr>
            <w:r>
              <w:t>18</w:t>
            </w:r>
          </w:p>
        </w:tc>
        <w:tc>
          <w:tcPr>
            <w:tcW w:w="8208" w:type="dxa"/>
          </w:tcPr>
          <w:p w14:paraId="70DDEB05" w14:textId="77777777" w:rsidR="001B7F9A" w:rsidRPr="00E416DF" w:rsidRDefault="001B7F9A" w:rsidP="0056487E">
            <w:pPr>
              <w:pStyle w:val="KeinLeerraum"/>
              <w:rPr>
                <w:b/>
                <w:color w:val="F79646" w:themeColor="accent6"/>
              </w:rPr>
            </w:pPr>
            <w:r>
              <w:t xml:space="preserve">Mitigation technology competition, in particular, can lead to intensification (and increases in agricultural emissions intensities) that support cost-effective adoption of other mitigation strategies, such as </w:t>
            </w:r>
            <w:r w:rsidRPr="00CC3028">
              <w:rPr>
                <w:b/>
                <w:color w:val="0070C0"/>
              </w:rPr>
              <w:t>afforestation</w:t>
            </w:r>
            <w:r w:rsidRPr="00CC3028">
              <w:rPr>
                <w:color w:val="0070C0"/>
              </w:rPr>
              <w:t xml:space="preserve"> </w:t>
            </w:r>
            <w:r>
              <w:t>or bioenergy (</w:t>
            </w:r>
            <w:r w:rsidRPr="006C22A5">
              <w:rPr>
                <w:b/>
                <w:color w:val="FF0000"/>
              </w:rPr>
              <w:t>Sections 11.9 and 6.3.5</w:t>
            </w:r>
            <w:r>
              <w:t>).</w:t>
            </w:r>
          </w:p>
        </w:tc>
        <w:tc>
          <w:tcPr>
            <w:tcW w:w="885" w:type="dxa"/>
          </w:tcPr>
          <w:p w14:paraId="0C8E1847" w14:textId="77777777" w:rsidR="001B7F9A" w:rsidRDefault="001B7F9A" w:rsidP="0056487E">
            <w:pPr>
              <w:pStyle w:val="KeinLeerraum"/>
            </w:pPr>
            <w:r>
              <w:t>11.6.2</w:t>
            </w:r>
          </w:p>
        </w:tc>
      </w:tr>
      <w:tr w:rsidR="001B7F9A" w14:paraId="48C9AA6C" w14:textId="77777777" w:rsidTr="0056487E">
        <w:tc>
          <w:tcPr>
            <w:tcW w:w="529" w:type="dxa"/>
          </w:tcPr>
          <w:p w14:paraId="174E3E83" w14:textId="77777777" w:rsidR="001B7F9A" w:rsidRDefault="001B7F9A" w:rsidP="0056487E">
            <w:pPr>
              <w:pStyle w:val="KeinLeerraum"/>
            </w:pPr>
            <w:r>
              <w:t>19</w:t>
            </w:r>
          </w:p>
        </w:tc>
        <w:tc>
          <w:tcPr>
            <w:tcW w:w="8208" w:type="dxa"/>
          </w:tcPr>
          <w:p w14:paraId="2FC0F657" w14:textId="77777777" w:rsidR="001B7F9A" w:rsidRPr="00E416DF" w:rsidRDefault="001B7F9A" w:rsidP="0056487E">
            <w:pPr>
              <w:pStyle w:val="KeinLeerraum"/>
              <w:rPr>
                <w:b/>
                <w:color w:val="F79646" w:themeColor="accent6"/>
              </w:rPr>
            </w:pPr>
            <w:r>
              <w:t xml:space="preserve">Forest management, followed by </w:t>
            </w:r>
            <w:r w:rsidRPr="007318C7">
              <w:rPr>
                <w:b/>
                <w:color w:val="0070C0"/>
              </w:rPr>
              <w:t>afforestation</w:t>
            </w:r>
            <w:r>
              <w:t>, dominate in OECD-1990, EIT, and Asia (</w:t>
            </w:r>
            <w:r w:rsidRPr="002F2B83">
              <w:rPr>
                <w:b/>
                <w:color w:val="FF0000"/>
              </w:rPr>
              <w:t>Figure 11.18</w:t>
            </w:r>
            <w:r>
              <w:t>).</w:t>
            </w:r>
          </w:p>
        </w:tc>
        <w:tc>
          <w:tcPr>
            <w:tcW w:w="885" w:type="dxa"/>
          </w:tcPr>
          <w:p w14:paraId="18B73DC7" w14:textId="77777777" w:rsidR="001B7F9A" w:rsidRDefault="001B7F9A" w:rsidP="0056487E">
            <w:pPr>
              <w:pStyle w:val="KeinLeerraum"/>
            </w:pPr>
            <w:r>
              <w:t>11.6.3</w:t>
            </w:r>
          </w:p>
        </w:tc>
      </w:tr>
      <w:tr w:rsidR="001B7F9A" w14:paraId="64FF54FF" w14:textId="77777777" w:rsidTr="0056487E">
        <w:tc>
          <w:tcPr>
            <w:tcW w:w="529" w:type="dxa"/>
          </w:tcPr>
          <w:p w14:paraId="7B9BD4BC" w14:textId="77777777" w:rsidR="001B7F9A" w:rsidRDefault="001B7F9A" w:rsidP="0056487E">
            <w:pPr>
              <w:pStyle w:val="KeinLeerraum"/>
            </w:pPr>
            <w:r>
              <w:t>20</w:t>
            </w:r>
          </w:p>
        </w:tc>
        <w:tc>
          <w:tcPr>
            <w:tcW w:w="8208" w:type="dxa"/>
          </w:tcPr>
          <w:p w14:paraId="243D38E5" w14:textId="77777777" w:rsidR="001B7F9A" w:rsidRPr="00487692" w:rsidRDefault="001B7F9A" w:rsidP="0056487E">
            <w:r>
              <w:t xml:space="preserve">Potential impacts on equity and benefit-sharing mechanisms arise for AFOLU activities using forestry measures in developing countries including conservation, restoration, reduced deforestation and degradation, as well as sustainable management and </w:t>
            </w:r>
            <w:r w:rsidRPr="007318C7">
              <w:rPr>
                <w:b/>
                <w:color w:val="0070C0"/>
              </w:rPr>
              <w:t>afforestation</w:t>
            </w:r>
            <w:r>
              <w:t>/reforestation (Combes Motel et al., 2009; Cattaneo et al., 2010; Rosemary, 2011).</w:t>
            </w:r>
          </w:p>
        </w:tc>
        <w:tc>
          <w:tcPr>
            <w:tcW w:w="885" w:type="dxa"/>
          </w:tcPr>
          <w:p w14:paraId="5BBC61C3" w14:textId="77777777" w:rsidR="001B7F9A" w:rsidRDefault="001B7F9A" w:rsidP="0056487E">
            <w:pPr>
              <w:pStyle w:val="KeinLeerraum"/>
            </w:pPr>
            <w:r>
              <w:t>11.7.1</w:t>
            </w:r>
          </w:p>
        </w:tc>
      </w:tr>
      <w:tr w:rsidR="001B7F9A" w14:paraId="412F18F4" w14:textId="77777777" w:rsidTr="0056487E">
        <w:tc>
          <w:tcPr>
            <w:tcW w:w="529" w:type="dxa"/>
          </w:tcPr>
          <w:p w14:paraId="326CAEB4" w14:textId="77777777" w:rsidR="001B7F9A" w:rsidRDefault="001B7F9A" w:rsidP="0056487E">
            <w:pPr>
              <w:pStyle w:val="KeinLeerraum"/>
            </w:pPr>
            <w:r>
              <w:t>21</w:t>
            </w:r>
          </w:p>
        </w:tc>
        <w:tc>
          <w:tcPr>
            <w:tcW w:w="8208" w:type="dxa"/>
          </w:tcPr>
          <w:p w14:paraId="0E76F0BB" w14:textId="77777777" w:rsidR="001B7F9A" w:rsidRPr="00E416DF" w:rsidRDefault="001B7F9A" w:rsidP="0056487E">
            <w:pPr>
              <w:pStyle w:val="KeinLeerraum"/>
              <w:rPr>
                <w:b/>
                <w:color w:val="F79646" w:themeColor="accent6"/>
              </w:rPr>
            </w:pPr>
            <w:r>
              <w:t>AFOLU mitigation options can promote conservation of biological diversity (Smith et al., 2013a) both by reducing deforestation (Chhatre et al., 2012; Murdiyarso et al., 2012; Putz and Romero, 2012; VisserenHamakers et  al., 2012), and by using reforestation/</w:t>
            </w:r>
            <w:r w:rsidRPr="00227A97">
              <w:rPr>
                <w:color w:val="0070C0"/>
              </w:rPr>
              <w:t xml:space="preserve">afforestation </w:t>
            </w:r>
            <w:r>
              <w:t>to restore biodiverse communities on previously developed farmland (Harper et  al., 2007).</w:t>
            </w:r>
          </w:p>
        </w:tc>
        <w:tc>
          <w:tcPr>
            <w:tcW w:w="885" w:type="dxa"/>
          </w:tcPr>
          <w:p w14:paraId="03FDF866" w14:textId="77777777" w:rsidR="001B7F9A" w:rsidRDefault="001B7F9A" w:rsidP="0056487E">
            <w:pPr>
              <w:pStyle w:val="KeinLeerraum"/>
            </w:pPr>
            <w:r>
              <w:t>11.7.2</w:t>
            </w:r>
          </w:p>
        </w:tc>
      </w:tr>
      <w:tr w:rsidR="001B7F9A" w14:paraId="65186C7F" w14:textId="77777777" w:rsidTr="0056487E">
        <w:tc>
          <w:tcPr>
            <w:tcW w:w="529" w:type="dxa"/>
          </w:tcPr>
          <w:p w14:paraId="46DD0F73" w14:textId="77777777" w:rsidR="001B7F9A" w:rsidRDefault="001B7F9A" w:rsidP="0056487E">
            <w:pPr>
              <w:pStyle w:val="KeinLeerraum"/>
            </w:pPr>
            <w:r>
              <w:t>22</w:t>
            </w:r>
          </w:p>
        </w:tc>
        <w:tc>
          <w:tcPr>
            <w:tcW w:w="8208" w:type="dxa"/>
          </w:tcPr>
          <w:p w14:paraId="29A67B35" w14:textId="77777777" w:rsidR="001B7F9A" w:rsidRPr="00E416DF" w:rsidRDefault="001B7F9A" w:rsidP="0056487E">
            <w:pPr>
              <w:pStyle w:val="KeinLeerraum"/>
              <w:rPr>
                <w:b/>
                <w:color w:val="F79646" w:themeColor="accent6"/>
              </w:rPr>
            </w:pPr>
            <w:r>
              <w:t xml:space="preserve">Water yields can be manipulated with forest management, through </w:t>
            </w:r>
            <w:r w:rsidRPr="00227A97">
              <w:rPr>
                <w:b/>
                <w:color w:val="0070C0"/>
              </w:rPr>
              <w:t>afforestation</w:t>
            </w:r>
            <w:r>
              <w:t>, reforestation, forest thinning, or deforestation.</w:t>
            </w:r>
          </w:p>
        </w:tc>
        <w:tc>
          <w:tcPr>
            <w:tcW w:w="885" w:type="dxa"/>
          </w:tcPr>
          <w:p w14:paraId="72D15E38" w14:textId="77777777" w:rsidR="001B7F9A" w:rsidRDefault="001B7F9A" w:rsidP="0056487E">
            <w:pPr>
              <w:pStyle w:val="KeinLeerraum"/>
            </w:pPr>
            <w:r>
              <w:t>11.7.2</w:t>
            </w:r>
          </w:p>
        </w:tc>
      </w:tr>
      <w:tr w:rsidR="001B7F9A" w14:paraId="6548C42C" w14:textId="77777777" w:rsidTr="0056487E">
        <w:tc>
          <w:tcPr>
            <w:tcW w:w="529" w:type="dxa"/>
          </w:tcPr>
          <w:p w14:paraId="7507428A" w14:textId="77777777" w:rsidR="001B7F9A" w:rsidRDefault="001B7F9A" w:rsidP="0056487E">
            <w:pPr>
              <w:pStyle w:val="KeinLeerraum"/>
            </w:pPr>
            <w:r>
              <w:t>23</w:t>
            </w:r>
          </w:p>
        </w:tc>
        <w:tc>
          <w:tcPr>
            <w:tcW w:w="8208" w:type="dxa"/>
          </w:tcPr>
          <w:p w14:paraId="32909262" w14:textId="77777777" w:rsidR="001B7F9A" w:rsidRPr="00E416DF" w:rsidRDefault="001B7F9A" w:rsidP="0056487E">
            <w:pPr>
              <w:pStyle w:val="KeinLeerraum"/>
              <w:rPr>
                <w:b/>
                <w:color w:val="F79646" w:themeColor="accent6"/>
              </w:rPr>
            </w:pPr>
            <w:r w:rsidRPr="00227A97">
              <w:rPr>
                <w:b/>
              </w:rPr>
              <w:t>.</w:t>
            </w:r>
            <w:r>
              <w:t xml:space="preserve"> In general, reduction in water yields in </w:t>
            </w:r>
            <w:r w:rsidRPr="00227A97">
              <w:rPr>
                <w:b/>
                <w:color w:val="0070C0"/>
              </w:rPr>
              <w:t>afforestation</w:t>
            </w:r>
            <w:r>
              <w:t>/reforestation projects has been reported in both groundwater or surface catchments (Jackson et al., 2005), or where irrigation water is used to produce bioenergy crops.</w:t>
            </w:r>
          </w:p>
        </w:tc>
        <w:tc>
          <w:tcPr>
            <w:tcW w:w="885" w:type="dxa"/>
          </w:tcPr>
          <w:p w14:paraId="6F4C82F4" w14:textId="77777777" w:rsidR="001B7F9A" w:rsidRDefault="001B7F9A" w:rsidP="0056487E">
            <w:pPr>
              <w:pStyle w:val="KeinLeerraum"/>
            </w:pPr>
            <w:r>
              <w:t>11.7.2</w:t>
            </w:r>
          </w:p>
        </w:tc>
      </w:tr>
      <w:tr w:rsidR="001B7F9A" w14:paraId="5A0C919B" w14:textId="77777777" w:rsidTr="0056487E">
        <w:tc>
          <w:tcPr>
            <w:tcW w:w="529" w:type="dxa"/>
          </w:tcPr>
          <w:p w14:paraId="339ABDCD" w14:textId="77777777" w:rsidR="001B7F9A" w:rsidRDefault="001B7F9A" w:rsidP="0056487E">
            <w:pPr>
              <w:pStyle w:val="KeinLeerraum"/>
            </w:pPr>
            <w:r>
              <w:t>24</w:t>
            </w:r>
          </w:p>
        </w:tc>
        <w:tc>
          <w:tcPr>
            <w:tcW w:w="8208" w:type="dxa"/>
          </w:tcPr>
          <w:p w14:paraId="527037F0" w14:textId="77777777" w:rsidR="001B7F9A" w:rsidRPr="00487692" w:rsidRDefault="001B7F9A" w:rsidP="0056487E">
            <w:r>
              <w:t xml:space="preserve">). However, there are concerns about competition between food and AFOLU outcomes, either because of an increasing use of land for biofuel plantations (Fargione et  al., 2008; Alves Finco and Doppler, 2010), or </w:t>
            </w:r>
            <w:r w:rsidRPr="00227A97">
              <w:rPr>
                <w:b/>
                <w:color w:val="0070C0"/>
              </w:rPr>
              <w:t>afforestation</w:t>
            </w:r>
            <w:r>
              <w:t>/reforestation (Mitchell et al., 2012), or by blocking the transformation of forest land into agricultural land (Harvey and Pilgrim, 2011).</w:t>
            </w:r>
          </w:p>
        </w:tc>
        <w:tc>
          <w:tcPr>
            <w:tcW w:w="885" w:type="dxa"/>
          </w:tcPr>
          <w:p w14:paraId="361EE38E" w14:textId="77777777" w:rsidR="001B7F9A" w:rsidRDefault="001B7F9A" w:rsidP="0056487E">
            <w:pPr>
              <w:pStyle w:val="KeinLeerraum"/>
            </w:pPr>
            <w:r>
              <w:t>11.7.3</w:t>
            </w:r>
          </w:p>
        </w:tc>
      </w:tr>
      <w:tr w:rsidR="001B7F9A" w14:paraId="56E40C2E" w14:textId="77777777" w:rsidTr="0056487E">
        <w:tc>
          <w:tcPr>
            <w:tcW w:w="529" w:type="dxa"/>
          </w:tcPr>
          <w:p w14:paraId="2F3ACB0A" w14:textId="77777777" w:rsidR="001B7F9A" w:rsidRDefault="001B7F9A" w:rsidP="0056487E">
            <w:pPr>
              <w:pStyle w:val="KeinLeerraum"/>
            </w:pPr>
            <w:r>
              <w:t>25</w:t>
            </w:r>
          </w:p>
        </w:tc>
        <w:tc>
          <w:tcPr>
            <w:tcW w:w="8208" w:type="dxa"/>
          </w:tcPr>
          <w:p w14:paraId="7D8C0F67" w14:textId="77777777" w:rsidR="001B7F9A" w:rsidRPr="00E416DF" w:rsidRDefault="001B7F9A" w:rsidP="0056487E">
            <w:pPr>
              <w:pStyle w:val="KeinLeerraum"/>
              <w:rPr>
                <w:b/>
                <w:color w:val="F79646" w:themeColor="accent6"/>
              </w:rPr>
            </w:pPr>
            <w:r>
              <w:t xml:space="preserve">Financial concerns, including reduced access to loan and credits, high transaction costs or reduced income due to price changes of carbon credits over the project duration, are potential risks for AFOLU measures, especially in developing countries, and when land holders use market mechanisms (e.g., </w:t>
            </w:r>
            <w:r w:rsidRPr="00227A97">
              <w:rPr>
                <w:b/>
                <w:color w:val="0070C0"/>
              </w:rPr>
              <w:t>Afforestation</w:t>
            </w:r>
            <w:r w:rsidRPr="00227A97">
              <w:rPr>
                <w:color w:val="0070C0"/>
              </w:rPr>
              <w:t xml:space="preserve"> </w:t>
            </w:r>
            <w:r>
              <w:t>and Reforestation (A/R) Clean Development Mechanism (CDM); Madlener et al., 2006).</w:t>
            </w:r>
          </w:p>
        </w:tc>
        <w:tc>
          <w:tcPr>
            <w:tcW w:w="885" w:type="dxa"/>
          </w:tcPr>
          <w:p w14:paraId="0137DB48" w14:textId="77777777" w:rsidR="001B7F9A" w:rsidRDefault="001B7F9A" w:rsidP="0056487E">
            <w:pPr>
              <w:pStyle w:val="KeinLeerraum"/>
            </w:pPr>
            <w:r>
              <w:t>11.8.1</w:t>
            </w:r>
          </w:p>
        </w:tc>
      </w:tr>
      <w:tr w:rsidR="001B7F9A" w14:paraId="27280A17" w14:textId="77777777" w:rsidTr="0056487E">
        <w:tc>
          <w:tcPr>
            <w:tcW w:w="529" w:type="dxa"/>
          </w:tcPr>
          <w:p w14:paraId="05B4354E" w14:textId="77777777" w:rsidR="001B7F9A" w:rsidRDefault="001B7F9A" w:rsidP="0056487E">
            <w:pPr>
              <w:pStyle w:val="KeinLeerraum"/>
            </w:pPr>
            <w:r>
              <w:t>26</w:t>
            </w:r>
          </w:p>
        </w:tc>
        <w:tc>
          <w:tcPr>
            <w:tcW w:w="8208" w:type="dxa"/>
          </w:tcPr>
          <w:p w14:paraId="6D6DA230" w14:textId="77777777" w:rsidR="001B7F9A" w:rsidRPr="00E416DF" w:rsidRDefault="001B7F9A" w:rsidP="0056487E">
            <w:pPr>
              <w:pStyle w:val="KeinLeerraum"/>
              <w:tabs>
                <w:tab w:val="left" w:pos="5054"/>
              </w:tabs>
              <w:rPr>
                <w:b/>
                <w:color w:val="F79646" w:themeColor="accent6"/>
              </w:rPr>
            </w:pPr>
            <w:r>
              <w:t xml:space="preserve">Some mitigation technologies are already applied now (e.g., </w:t>
            </w:r>
            <w:r w:rsidRPr="00227A97">
              <w:rPr>
                <w:b/>
                <w:color w:val="0070C0"/>
              </w:rPr>
              <w:t>afforestation</w:t>
            </w:r>
            <w:r>
              <w:t xml:space="preserve">, cropland, and grazing land management, improved livestock breeds and diets) so there are no technological barriers for these options, but others (e.g., some livestock dietary additives, crop trait manipulation) are still at the development stage (see </w:t>
            </w:r>
            <w:r w:rsidRPr="00227A97">
              <w:rPr>
                <w:b/>
                <w:color w:val="FF0000"/>
              </w:rPr>
              <w:t>Table 11.2</w:t>
            </w:r>
            <w:r>
              <w:t>).</w:t>
            </w:r>
            <w:r>
              <w:rPr>
                <w:b/>
                <w:color w:val="F79646" w:themeColor="accent6"/>
              </w:rPr>
              <w:tab/>
            </w:r>
          </w:p>
        </w:tc>
        <w:tc>
          <w:tcPr>
            <w:tcW w:w="885" w:type="dxa"/>
          </w:tcPr>
          <w:p w14:paraId="21F3F5C3" w14:textId="77777777" w:rsidR="001B7F9A" w:rsidRDefault="001B7F9A" w:rsidP="0056487E">
            <w:pPr>
              <w:pStyle w:val="KeinLeerraum"/>
            </w:pPr>
            <w:r>
              <w:t>11.8.4</w:t>
            </w:r>
          </w:p>
        </w:tc>
      </w:tr>
      <w:tr w:rsidR="001B7F9A" w14:paraId="044BB286" w14:textId="77777777" w:rsidTr="0056487E">
        <w:tc>
          <w:tcPr>
            <w:tcW w:w="529" w:type="dxa"/>
          </w:tcPr>
          <w:p w14:paraId="4617DC70" w14:textId="77777777" w:rsidR="001B7F9A" w:rsidRDefault="001B7F9A" w:rsidP="0056487E">
            <w:pPr>
              <w:pStyle w:val="KeinLeerraum"/>
            </w:pPr>
            <w:r>
              <w:t>27</w:t>
            </w:r>
          </w:p>
        </w:tc>
        <w:tc>
          <w:tcPr>
            <w:tcW w:w="8208" w:type="dxa"/>
          </w:tcPr>
          <w:p w14:paraId="1C70847D" w14:textId="77777777" w:rsidR="001B7F9A" w:rsidRPr="00E416DF" w:rsidRDefault="001B7F9A" w:rsidP="0056487E">
            <w:pPr>
              <w:pStyle w:val="KeinLeerraum"/>
              <w:rPr>
                <w:b/>
                <w:color w:val="F79646" w:themeColor="accent6"/>
              </w:rPr>
            </w:pPr>
            <w:r>
              <w:t xml:space="preserve">). In addition to competition between energy crops and forest carbon strategies, there is also competition between avoided deforestation and </w:t>
            </w:r>
            <w:r w:rsidRPr="008E793C">
              <w:rPr>
                <w:b/>
                <w:color w:val="0070C0"/>
              </w:rPr>
              <w:t>afforestation</w:t>
            </w:r>
            <w:r w:rsidRPr="008E793C">
              <w:rPr>
                <w:color w:val="0070C0"/>
              </w:rPr>
              <w:t xml:space="preserve"> </w:t>
            </w:r>
            <w:r>
              <w:t xml:space="preserve">mitigation strategies, but synergies between forest management and </w:t>
            </w:r>
            <w:r w:rsidRPr="008E793C">
              <w:rPr>
                <w:b/>
                <w:color w:val="0070C0"/>
              </w:rPr>
              <w:t>afforestation</w:t>
            </w:r>
            <w:r w:rsidRPr="008E793C">
              <w:rPr>
                <w:color w:val="0070C0"/>
              </w:rPr>
              <w:t xml:space="preserve"> </w:t>
            </w:r>
            <w:r>
              <w:t>(Rose and Sohngen, 2011).</w:t>
            </w:r>
          </w:p>
        </w:tc>
        <w:tc>
          <w:tcPr>
            <w:tcW w:w="885" w:type="dxa"/>
          </w:tcPr>
          <w:p w14:paraId="2397740C" w14:textId="77777777" w:rsidR="001B7F9A" w:rsidRDefault="001B7F9A" w:rsidP="0056487E">
            <w:pPr>
              <w:pStyle w:val="KeinLeerraum"/>
            </w:pPr>
            <w:r>
              <w:t>11.9.1</w:t>
            </w:r>
          </w:p>
        </w:tc>
      </w:tr>
      <w:tr w:rsidR="001B7F9A" w14:paraId="19E50EBC" w14:textId="77777777" w:rsidTr="0056487E">
        <w:tc>
          <w:tcPr>
            <w:tcW w:w="529" w:type="dxa"/>
          </w:tcPr>
          <w:p w14:paraId="670C8110" w14:textId="77777777" w:rsidR="001B7F9A" w:rsidRDefault="001B7F9A" w:rsidP="0056487E">
            <w:pPr>
              <w:pStyle w:val="KeinLeerraum"/>
            </w:pPr>
            <w:r>
              <w:t>28</w:t>
            </w:r>
          </w:p>
        </w:tc>
        <w:tc>
          <w:tcPr>
            <w:tcW w:w="8208" w:type="dxa"/>
          </w:tcPr>
          <w:p w14:paraId="65C04077" w14:textId="77777777" w:rsidR="001B7F9A" w:rsidRPr="00E416DF" w:rsidRDefault="001B7F9A" w:rsidP="0056487E">
            <w:pPr>
              <w:pStyle w:val="KeinLeerraum"/>
              <w:rPr>
                <w:b/>
                <w:color w:val="F79646" w:themeColor="accent6"/>
              </w:rPr>
            </w:pPr>
            <w:r>
              <w:t xml:space="preserve">The implications of transformation pathway scenarios with large regional expansion of forest cover for carbon sequestration, depends in part on how the forest area </w:t>
            </w:r>
            <w:r>
              <w:lastRenderedPageBreak/>
              <w:t xml:space="preserve">increases (Figure 11.19; Popp et  al., 2013). If forest areas increase through the expansion of natural vegetation, biodiversity and a range of other ecosystem services provided by forests could be enhanced. If </w:t>
            </w:r>
            <w:r w:rsidRPr="008E793C">
              <w:rPr>
                <w:b/>
                <w:color w:val="0070C0"/>
              </w:rPr>
              <w:t>afforestation</w:t>
            </w:r>
            <w:r w:rsidRPr="008E793C">
              <w:rPr>
                <w:color w:val="0070C0"/>
              </w:rPr>
              <w:t xml:space="preserve"> </w:t>
            </w:r>
            <w:r>
              <w:t>occurs through large-scale plantation, however, some negative impacts on biodiversity, water, and other ecosystem services could arise, depending on what land cover the plantation replaces and the rotation time (</w:t>
            </w:r>
            <w:r w:rsidRPr="008E793C">
              <w:rPr>
                <w:b/>
                <w:color w:val="FF0000"/>
              </w:rPr>
              <w:t>Section 11.7</w:t>
            </w:r>
            <w:r>
              <w:t>).</w:t>
            </w:r>
          </w:p>
        </w:tc>
        <w:tc>
          <w:tcPr>
            <w:tcW w:w="885" w:type="dxa"/>
          </w:tcPr>
          <w:p w14:paraId="1B760686" w14:textId="77777777" w:rsidR="001B7F9A" w:rsidRDefault="001B7F9A" w:rsidP="0056487E">
            <w:pPr>
              <w:pStyle w:val="KeinLeerraum"/>
            </w:pPr>
            <w:r>
              <w:lastRenderedPageBreak/>
              <w:t>11.9.2</w:t>
            </w:r>
          </w:p>
        </w:tc>
      </w:tr>
      <w:tr w:rsidR="001B7F9A" w14:paraId="7A5F4E62" w14:textId="77777777" w:rsidTr="0056487E">
        <w:tc>
          <w:tcPr>
            <w:tcW w:w="529" w:type="dxa"/>
          </w:tcPr>
          <w:p w14:paraId="037303CA" w14:textId="77777777" w:rsidR="001B7F9A" w:rsidRDefault="001B7F9A" w:rsidP="0056487E">
            <w:pPr>
              <w:pStyle w:val="KeinLeerraum"/>
            </w:pPr>
            <w:r>
              <w:t>29</w:t>
            </w:r>
          </w:p>
        </w:tc>
        <w:tc>
          <w:tcPr>
            <w:tcW w:w="8208" w:type="dxa"/>
          </w:tcPr>
          <w:p w14:paraId="6E65066A" w14:textId="77777777" w:rsidR="001B7F9A" w:rsidRPr="00E416DF" w:rsidRDefault="001B7F9A" w:rsidP="0056487E">
            <w:pPr>
              <w:pStyle w:val="KeinLeerraum"/>
              <w:rPr>
                <w:b/>
                <w:color w:val="F79646" w:themeColor="accent6"/>
              </w:rPr>
            </w:pPr>
            <w:r>
              <w:t xml:space="preserve">Currently, AFOLU projects in CDM only include specific types of projects: for agriculture—methane avoidance (manure management), biogas projects, agricultural residues for biomass energy; for forestry—reforestation and </w:t>
            </w:r>
            <w:r w:rsidRPr="00CB67A1">
              <w:rPr>
                <w:b/>
                <w:color w:val="0070C0"/>
              </w:rPr>
              <w:t>afforestation</w:t>
            </w:r>
            <w:r>
              <w:t>.</w:t>
            </w:r>
          </w:p>
        </w:tc>
        <w:tc>
          <w:tcPr>
            <w:tcW w:w="885" w:type="dxa"/>
          </w:tcPr>
          <w:p w14:paraId="34B40CE4" w14:textId="77777777" w:rsidR="001B7F9A" w:rsidRDefault="001B7F9A" w:rsidP="0056487E">
            <w:pPr>
              <w:pStyle w:val="KeinLeerraum"/>
            </w:pPr>
            <w:r>
              <w:t>11.10.1</w:t>
            </w:r>
          </w:p>
        </w:tc>
      </w:tr>
      <w:tr w:rsidR="001B7F9A" w14:paraId="5700E28C" w14:textId="77777777" w:rsidTr="0056487E">
        <w:tc>
          <w:tcPr>
            <w:tcW w:w="529" w:type="dxa"/>
          </w:tcPr>
          <w:p w14:paraId="354EF159" w14:textId="77777777" w:rsidR="001B7F9A" w:rsidRDefault="001B7F9A" w:rsidP="0056487E">
            <w:pPr>
              <w:pStyle w:val="KeinLeerraum"/>
            </w:pPr>
            <w:r>
              <w:t>30</w:t>
            </w:r>
          </w:p>
        </w:tc>
        <w:tc>
          <w:tcPr>
            <w:tcW w:w="8208" w:type="dxa"/>
          </w:tcPr>
          <w:p w14:paraId="308DC4F7" w14:textId="77777777" w:rsidR="001B7F9A" w:rsidRPr="00E416DF" w:rsidRDefault="001B7F9A" w:rsidP="0056487E">
            <w:pPr>
              <w:pStyle w:val="KeinLeerraum"/>
              <w:rPr>
                <w:b/>
                <w:color w:val="F79646" w:themeColor="accent6"/>
              </w:rPr>
            </w:pPr>
            <w:r>
              <w:t xml:space="preserve">By June 2013, the total number of registered CDM projects was 6989, 0.6 and 2.5 % of this total being related to </w:t>
            </w:r>
            <w:r w:rsidRPr="00CB67A1">
              <w:rPr>
                <w:b/>
                <w:color w:val="0070C0"/>
              </w:rPr>
              <w:t>afforestation</w:t>
            </w:r>
            <w:r>
              <w:t>/reforestation and agriculture, respectively (UNFCCC—CDM); therefore, finance streams coming from A/R CDM Projects are marginal from the global perspective. An analysis of A/R CDM projects suggests crucial factors for the performance of these projects are initial funding support, design, and implementation guided by large organizations with technical expertise, occurrence on private land (land with secured property rights attached), and that most revenue from Certified Emission Reductions (CERs) is directed back to local communities (Thomas et al., 2010).</w:t>
            </w:r>
          </w:p>
        </w:tc>
        <w:tc>
          <w:tcPr>
            <w:tcW w:w="885" w:type="dxa"/>
          </w:tcPr>
          <w:p w14:paraId="49CA0535" w14:textId="77777777" w:rsidR="001B7F9A" w:rsidRDefault="001B7F9A" w:rsidP="0056487E">
            <w:pPr>
              <w:pStyle w:val="KeinLeerraum"/>
            </w:pPr>
          </w:p>
          <w:p w14:paraId="6636950C" w14:textId="77777777" w:rsidR="001B7F9A" w:rsidRPr="00DA149F" w:rsidRDefault="001B7F9A" w:rsidP="0056487E">
            <w:r>
              <w:t>11.10.1</w:t>
            </w:r>
          </w:p>
        </w:tc>
      </w:tr>
      <w:tr w:rsidR="001B7F9A" w14:paraId="334F8605" w14:textId="77777777" w:rsidTr="0056487E">
        <w:tc>
          <w:tcPr>
            <w:tcW w:w="529" w:type="dxa"/>
          </w:tcPr>
          <w:p w14:paraId="57FFF1FE" w14:textId="77777777" w:rsidR="001B7F9A" w:rsidRDefault="001B7F9A" w:rsidP="0056487E">
            <w:pPr>
              <w:pStyle w:val="KeinLeerraum"/>
            </w:pPr>
            <w:r>
              <w:t>31</w:t>
            </w:r>
          </w:p>
        </w:tc>
        <w:tc>
          <w:tcPr>
            <w:tcW w:w="8208" w:type="dxa"/>
          </w:tcPr>
          <w:p w14:paraId="10F39503" w14:textId="77777777" w:rsidR="001B7F9A" w:rsidRPr="00DA149F" w:rsidRDefault="001B7F9A" w:rsidP="0056487E">
            <w:r>
              <w:t xml:space="preserve">Improved understanding of the mitigation potential, interplay, and costs as well as environmental and socio-economic consequences of land use-based mitigation options such as improved agricultural management, forest conservation, bioenergy production, and </w:t>
            </w:r>
            <w:r w:rsidRPr="001635C1">
              <w:rPr>
                <w:b/>
                <w:color w:val="0070C0"/>
              </w:rPr>
              <w:t>afforestation</w:t>
            </w:r>
            <w:r w:rsidRPr="001635C1">
              <w:rPr>
                <w:color w:val="0070C0"/>
              </w:rPr>
              <w:t xml:space="preserve"> </w:t>
            </w:r>
            <w:r>
              <w:t>on the national, regional, and global scale.</w:t>
            </w:r>
          </w:p>
        </w:tc>
        <w:tc>
          <w:tcPr>
            <w:tcW w:w="885" w:type="dxa"/>
          </w:tcPr>
          <w:p w14:paraId="6BA8519B" w14:textId="77777777" w:rsidR="001B7F9A" w:rsidRDefault="001B7F9A" w:rsidP="0056487E">
            <w:pPr>
              <w:pStyle w:val="KeinLeerraum"/>
            </w:pPr>
            <w:r>
              <w:t>11.11</w:t>
            </w:r>
          </w:p>
        </w:tc>
      </w:tr>
      <w:tr w:rsidR="001B7F9A" w14:paraId="77C9B7C7" w14:textId="77777777" w:rsidTr="0056487E">
        <w:tc>
          <w:tcPr>
            <w:tcW w:w="529" w:type="dxa"/>
          </w:tcPr>
          <w:p w14:paraId="0CD53813" w14:textId="77777777" w:rsidR="001B7F9A" w:rsidRDefault="001B7F9A" w:rsidP="0056487E">
            <w:pPr>
              <w:pStyle w:val="KeinLeerraum"/>
            </w:pPr>
            <w:r>
              <w:t>32</w:t>
            </w:r>
          </w:p>
        </w:tc>
        <w:tc>
          <w:tcPr>
            <w:tcW w:w="8208" w:type="dxa"/>
          </w:tcPr>
          <w:p w14:paraId="6AD4E49A" w14:textId="77777777" w:rsidR="001B7F9A" w:rsidRPr="00AD7E04" w:rsidRDefault="001B7F9A" w:rsidP="0056487E">
            <w:pPr>
              <w:pStyle w:val="KeinLeerraum"/>
              <w:rPr>
                <w:color w:val="F79646" w:themeColor="accent6"/>
              </w:rPr>
            </w:pPr>
            <w:r w:rsidRPr="00AD7E04">
              <w:t xml:space="preserve">SRREN (IPCC, 2011) provided a comprehensive overview on bioenergy (Chum et  al., 2011). However, a specific bioenergy Appendix in the context of the WGIII AR5 contribution is necessary because (1) many of the more stringent mitigation scenarios (resulting in 450 ppm, but also 550 ppm CO2eq concentration by 2100, see </w:t>
            </w:r>
            <w:r w:rsidRPr="002A630A">
              <w:rPr>
                <w:b/>
                <w:color w:val="FF0000"/>
              </w:rPr>
              <w:t>Section 11.9.1</w:t>
            </w:r>
            <w:r w:rsidRPr="00AD7E04">
              <w:t>) heavily rely on a large-scale deployment of bioenergy with carbon dioxide capture and storage (</w:t>
            </w:r>
            <w:r w:rsidRPr="002A630A">
              <w:rPr>
                <w:b/>
                <w:color w:val="FFC000"/>
              </w:rPr>
              <w:t>BECCS</w:t>
            </w:r>
            <w:r w:rsidRPr="00AD7E04">
              <w:t>);</w:t>
            </w:r>
          </w:p>
        </w:tc>
        <w:tc>
          <w:tcPr>
            <w:tcW w:w="885" w:type="dxa"/>
          </w:tcPr>
          <w:p w14:paraId="0452CE87" w14:textId="77777777" w:rsidR="001B7F9A" w:rsidRDefault="001B7F9A" w:rsidP="0056487E">
            <w:pPr>
              <w:pStyle w:val="KeinLeerraum"/>
            </w:pPr>
            <w:r>
              <w:t>11.13.1</w:t>
            </w:r>
          </w:p>
        </w:tc>
      </w:tr>
      <w:tr w:rsidR="001B7F9A" w14:paraId="7E703D8C" w14:textId="77777777" w:rsidTr="0056487E">
        <w:tc>
          <w:tcPr>
            <w:tcW w:w="529" w:type="dxa"/>
          </w:tcPr>
          <w:p w14:paraId="109C49FA" w14:textId="77777777" w:rsidR="001B7F9A" w:rsidRDefault="001B7F9A" w:rsidP="0056487E">
            <w:pPr>
              <w:pStyle w:val="KeinLeerraum"/>
            </w:pPr>
            <w:r>
              <w:t>33</w:t>
            </w:r>
          </w:p>
        </w:tc>
        <w:tc>
          <w:tcPr>
            <w:tcW w:w="8208" w:type="dxa"/>
          </w:tcPr>
          <w:p w14:paraId="56CEB8E3" w14:textId="77777777" w:rsidR="001B7F9A" w:rsidRPr="00AD7E04" w:rsidRDefault="001B7F9A" w:rsidP="0056487E">
            <w:r>
              <w:t xml:space="preserve">As an update to the SRREN, this report presents (1) a more fine-grained assessment of the technical bioenergy potential reflecting diverse perspectives in the literature; (2) recent potential estimates on technological solutions such as </w:t>
            </w:r>
            <w:r w:rsidRPr="00DE6A38">
              <w:rPr>
                <w:b/>
                <w:color w:val="FFC000"/>
              </w:rPr>
              <w:t>BECCS</w:t>
            </w:r>
            <w:r>
              <w:t>; (3) an in-depth description of different lifecycle emission accounting methods and their results; (4) a small increase in uncertainty on the future economic bioenergy potential; (5) a comprehensive assessment of diverse livelihood and sustainability effects of bioenergy deployment, identifying the need for systematic aggregation.</w:t>
            </w:r>
          </w:p>
        </w:tc>
        <w:tc>
          <w:tcPr>
            <w:tcW w:w="885" w:type="dxa"/>
          </w:tcPr>
          <w:p w14:paraId="5397B7BA" w14:textId="77777777" w:rsidR="001B7F9A" w:rsidRDefault="001B7F9A" w:rsidP="0056487E">
            <w:pPr>
              <w:pStyle w:val="KeinLeerraum"/>
            </w:pPr>
            <w:r>
              <w:t>11.13.1</w:t>
            </w:r>
          </w:p>
        </w:tc>
      </w:tr>
      <w:tr w:rsidR="001B7F9A" w14:paraId="414BFA70" w14:textId="77777777" w:rsidTr="0056487E">
        <w:tc>
          <w:tcPr>
            <w:tcW w:w="529" w:type="dxa"/>
          </w:tcPr>
          <w:p w14:paraId="32F6220A" w14:textId="77777777" w:rsidR="001B7F9A" w:rsidRDefault="001B7F9A" w:rsidP="0056487E">
            <w:pPr>
              <w:pStyle w:val="KeinLeerraum"/>
            </w:pPr>
            <w:r>
              <w:t>34</w:t>
            </w:r>
          </w:p>
        </w:tc>
        <w:tc>
          <w:tcPr>
            <w:tcW w:w="8208" w:type="dxa"/>
          </w:tcPr>
          <w:p w14:paraId="2784AEFA" w14:textId="77777777" w:rsidR="001B7F9A" w:rsidRDefault="001B7F9A" w:rsidP="0056487E">
            <w:pPr>
              <w:pStyle w:val="KeinLeerraum"/>
            </w:pPr>
            <w:r w:rsidRPr="00E416DF">
              <w:rPr>
                <w:b/>
                <w:color w:val="F79646" w:themeColor="accent6"/>
              </w:rPr>
              <w:t>Bioenergy coupled with CCS</w:t>
            </w:r>
            <w:r>
              <w:t xml:space="preserve"> (Spath and Mann, 2004; Liu et al., 2010) is seen as an option to mitigate climate change through negative emissions if CCS can be successfully deployed (Cao and Caldeira 2010; Lenton and Vaughan 2009).</w:t>
            </w:r>
          </w:p>
        </w:tc>
        <w:tc>
          <w:tcPr>
            <w:tcW w:w="885" w:type="dxa"/>
          </w:tcPr>
          <w:p w14:paraId="28398264" w14:textId="77777777" w:rsidR="001B7F9A" w:rsidRDefault="001B7F9A" w:rsidP="0056487E">
            <w:pPr>
              <w:pStyle w:val="KeinLeerraum"/>
            </w:pPr>
            <w:r>
              <w:t>11.13.3</w:t>
            </w:r>
          </w:p>
        </w:tc>
      </w:tr>
      <w:tr w:rsidR="001B7F9A" w14:paraId="2A9AD5CC" w14:textId="77777777" w:rsidTr="0056487E">
        <w:tc>
          <w:tcPr>
            <w:tcW w:w="529" w:type="dxa"/>
          </w:tcPr>
          <w:p w14:paraId="1AD378CD" w14:textId="77777777" w:rsidR="001B7F9A" w:rsidRDefault="001B7F9A" w:rsidP="0056487E">
            <w:pPr>
              <w:pStyle w:val="KeinLeerraum"/>
            </w:pPr>
            <w:r>
              <w:t>35</w:t>
            </w:r>
          </w:p>
        </w:tc>
        <w:tc>
          <w:tcPr>
            <w:tcW w:w="8208" w:type="dxa"/>
          </w:tcPr>
          <w:p w14:paraId="3DCE0958" w14:textId="77777777" w:rsidR="001B7F9A" w:rsidRDefault="001B7F9A" w:rsidP="0056487E">
            <w:pPr>
              <w:pStyle w:val="KeinLeerraum"/>
            </w:pPr>
            <w:r w:rsidRPr="0030392E">
              <w:rPr>
                <w:b/>
                <w:color w:val="F79646" w:themeColor="accent6"/>
              </w:rPr>
              <w:t>BECCS</w:t>
            </w:r>
            <w:r w:rsidRPr="00E416DF">
              <w:rPr>
                <w:color w:val="00B050"/>
              </w:rPr>
              <w:t xml:space="preserve"> </w:t>
            </w:r>
            <w:r>
              <w:t xml:space="preserve">features prominently in long-run mitigation scenarios </w:t>
            </w:r>
            <w:r w:rsidRPr="00E416DF">
              <w:rPr>
                <w:b/>
                <w:color w:val="FF0000"/>
              </w:rPr>
              <w:t>(Sections 6.3.2 and 6.3.5)</w:t>
            </w:r>
            <w:r>
              <w:t xml:space="preserve"> for two reasons: (1) The potential for </w:t>
            </w:r>
            <w:r>
              <w:rPr>
                <w:b/>
                <w:color w:val="7030A0"/>
              </w:rPr>
              <w:t>ne</w:t>
            </w:r>
            <w:r w:rsidRPr="00E416DF">
              <w:rPr>
                <w:b/>
                <w:color w:val="7030A0"/>
              </w:rPr>
              <w:t xml:space="preserve">gative emissions </w:t>
            </w:r>
            <w:r>
              <w:t xml:space="preserve">may allow shifting emissions in time; and (2) in scenarios, </w:t>
            </w:r>
            <w:r w:rsidRPr="00E416DF">
              <w:rPr>
                <w:b/>
                <w:color w:val="7030A0"/>
              </w:rPr>
              <w:t>negative emissions</w:t>
            </w:r>
            <w:r>
              <w:t xml:space="preserve"> from </w:t>
            </w:r>
            <w:r w:rsidRPr="0030392E">
              <w:rPr>
                <w:b/>
                <w:color w:val="F79646" w:themeColor="accent6"/>
              </w:rPr>
              <w:t>BECCS</w:t>
            </w:r>
            <w:r w:rsidRPr="00E416DF">
              <w:rPr>
                <w:color w:val="00B050"/>
              </w:rPr>
              <w:t xml:space="preserve"> </w:t>
            </w:r>
            <w:r>
              <w:t>compensate for residual emissions in other sectors (most importantly transport) in the second half of the 21st century.</w:t>
            </w:r>
          </w:p>
        </w:tc>
        <w:tc>
          <w:tcPr>
            <w:tcW w:w="885" w:type="dxa"/>
          </w:tcPr>
          <w:p w14:paraId="244949A4" w14:textId="77777777" w:rsidR="001B7F9A" w:rsidRDefault="001B7F9A" w:rsidP="0056487E">
            <w:pPr>
              <w:pStyle w:val="KeinLeerraum"/>
            </w:pPr>
            <w:r>
              <w:t>11.13.3</w:t>
            </w:r>
          </w:p>
        </w:tc>
      </w:tr>
      <w:tr w:rsidR="001B7F9A" w14:paraId="673BE618" w14:textId="77777777" w:rsidTr="0056487E">
        <w:tc>
          <w:tcPr>
            <w:tcW w:w="529" w:type="dxa"/>
          </w:tcPr>
          <w:p w14:paraId="1108B5F3" w14:textId="77777777" w:rsidR="001B7F9A" w:rsidRDefault="001B7F9A" w:rsidP="0056487E">
            <w:pPr>
              <w:pStyle w:val="KeinLeerraum"/>
            </w:pPr>
            <w:r>
              <w:t>36</w:t>
            </w:r>
          </w:p>
        </w:tc>
        <w:tc>
          <w:tcPr>
            <w:tcW w:w="8208" w:type="dxa"/>
          </w:tcPr>
          <w:p w14:paraId="1638DFA8" w14:textId="77777777" w:rsidR="001B7F9A" w:rsidRDefault="001B7F9A" w:rsidP="0056487E">
            <w:pPr>
              <w:pStyle w:val="KeinLeerraum"/>
            </w:pPr>
            <w:r>
              <w:t xml:space="preserve">As illustrated in </w:t>
            </w:r>
            <w:r w:rsidRPr="009B5DF2">
              <w:rPr>
                <w:b/>
                <w:color w:val="FF0000"/>
              </w:rPr>
              <w:t>Figure 11.22</w:t>
            </w:r>
            <w:r>
              <w:t xml:space="preserve">, </w:t>
            </w:r>
            <w:r w:rsidRPr="0030392E">
              <w:rPr>
                <w:b/>
                <w:color w:val="F79646" w:themeColor="accent6"/>
              </w:rPr>
              <w:t xml:space="preserve">BECCS </w:t>
            </w:r>
            <w:r>
              <w:t xml:space="preserve">is markedly different than fossil CCS because it not only reduces CO2 emissions by storing C in long-term geological sinks, but it </w:t>
            </w:r>
            <w:r>
              <w:lastRenderedPageBreak/>
              <w:t>continually sequesters CO2 from the air through regeneration of the biomass resource feedstock.</w:t>
            </w:r>
          </w:p>
        </w:tc>
        <w:tc>
          <w:tcPr>
            <w:tcW w:w="885" w:type="dxa"/>
          </w:tcPr>
          <w:p w14:paraId="1EE8E23C" w14:textId="77777777" w:rsidR="001B7F9A" w:rsidRDefault="001B7F9A" w:rsidP="0056487E">
            <w:pPr>
              <w:pStyle w:val="KeinLeerraum"/>
            </w:pPr>
            <w:r>
              <w:lastRenderedPageBreak/>
              <w:t>11.13.3</w:t>
            </w:r>
          </w:p>
        </w:tc>
      </w:tr>
      <w:tr w:rsidR="001B7F9A" w14:paraId="579E7AD1" w14:textId="77777777" w:rsidTr="0056487E">
        <w:tc>
          <w:tcPr>
            <w:tcW w:w="529" w:type="dxa"/>
          </w:tcPr>
          <w:p w14:paraId="7FF71FCD" w14:textId="77777777" w:rsidR="001B7F9A" w:rsidRDefault="001B7F9A" w:rsidP="0056487E">
            <w:pPr>
              <w:pStyle w:val="KeinLeerraum"/>
            </w:pPr>
            <w:r>
              <w:t>37</w:t>
            </w:r>
          </w:p>
        </w:tc>
        <w:tc>
          <w:tcPr>
            <w:tcW w:w="8208" w:type="dxa"/>
          </w:tcPr>
          <w:p w14:paraId="468BE9B1" w14:textId="77777777" w:rsidR="001B7F9A" w:rsidRPr="0030392E" w:rsidRDefault="001B7F9A" w:rsidP="0056487E">
            <w:pPr>
              <w:pStyle w:val="KeinLeerraum"/>
              <w:rPr>
                <w:b/>
                <w:color w:val="FF0000"/>
              </w:rPr>
            </w:pPr>
            <w:r w:rsidRPr="00DE6A38">
              <w:rPr>
                <w:b/>
                <w:color w:val="F79646" w:themeColor="accent6"/>
              </w:rPr>
              <w:t>BECCS</w:t>
            </w:r>
            <w:r>
              <w:t xml:space="preserve"> deployment is in the development and exploration stages.</w:t>
            </w:r>
          </w:p>
        </w:tc>
        <w:tc>
          <w:tcPr>
            <w:tcW w:w="885" w:type="dxa"/>
          </w:tcPr>
          <w:p w14:paraId="00910CA3" w14:textId="77777777" w:rsidR="001B7F9A" w:rsidRDefault="001B7F9A" w:rsidP="0056487E">
            <w:pPr>
              <w:pStyle w:val="KeinLeerraum"/>
            </w:pPr>
            <w:r>
              <w:t>11.13.3</w:t>
            </w:r>
          </w:p>
        </w:tc>
      </w:tr>
      <w:tr w:rsidR="001B7F9A" w14:paraId="35E6731F" w14:textId="77777777" w:rsidTr="0056487E">
        <w:tc>
          <w:tcPr>
            <w:tcW w:w="529" w:type="dxa"/>
          </w:tcPr>
          <w:p w14:paraId="75DA8734" w14:textId="77777777" w:rsidR="001B7F9A" w:rsidRDefault="001B7F9A" w:rsidP="0056487E">
            <w:pPr>
              <w:pStyle w:val="KeinLeerraum"/>
            </w:pPr>
            <w:r>
              <w:t>38</w:t>
            </w:r>
          </w:p>
        </w:tc>
        <w:tc>
          <w:tcPr>
            <w:tcW w:w="8208" w:type="dxa"/>
          </w:tcPr>
          <w:p w14:paraId="5B81D50B" w14:textId="77777777" w:rsidR="001B7F9A" w:rsidRPr="0030392E" w:rsidRDefault="001B7F9A" w:rsidP="0056487E">
            <w:pPr>
              <w:pStyle w:val="KeinLeerraum"/>
              <w:rPr>
                <w:b/>
                <w:color w:val="FF0000"/>
              </w:rPr>
            </w:pPr>
            <w:r>
              <w:t xml:space="preserve">The most relevant </w:t>
            </w:r>
            <w:r w:rsidRPr="00DE6A38">
              <w:rPr>
                <w:b/>
                <w:color w:val="F79646" w:themeColor="accent6"/>
              </w:rPr>
              <w:t>BECCS</w:t>
            </w:r>
            <w:r>
              <w:t xml:space="preserve"> project is the ‘Illinois Basin—Decatur Project’ that is projected to inject 1 MtCO2/yr (Gollakota and McDonald, 2012; Senel and Chugunov, 2013). In the United States, two ethanol fuel production by fermentation facilities are currently integrated commercially with carbon dioxide capture, pipeline transport, and use in enhanced oil recovery in nearby facilities at a rate of about 0.2 MtCO2/yr (DiPietro et  al., 2012).</w:t>
            </w:r>
          </w:p>
        </w:tc>
        <w:tc>
          <w:tcPr>
            <w:tcW w:w="885" w:type="dxa"/>
          </w:tcPr>
          <w:p w14:paraId="1ED6EA47" w14:textId="77777777" w:rsidR="001B7F9A" w:rsidRDefault="001B7F9A" w:rsidP="0056487E">
            <w:pPr>
              <w:pStyle w:val="KeinLeerraum"/>
            </w:pPr>
            <w:r>
              <w:t>11.13.3</w:t>
            </w:r>
          </w:p>
        </w:tc>
      </w:tr>
      <w:tr w:rsidR="001B7F9A" w14:paraId="01303156" w14:textId="77777777" w:rsidTr="0056487E">
        <w:tc>
          <w:tcPr>
            <w:tcW w:w="529" w:type="dxa"/>
          </w:tcPr>
          <w:p w14:paraId="64DB311E" w14:textId="77777777" w:rsidR="001B7F9A" w:rsidRDefault="001B7F9A" w:rsidP="0056487E">
            <w:pPr>
              <w:pStyle w:val="KeinLeerraum"/>
            </w:pPr>
            <w:r>
              <w:t>39</w:t>
            </w:r>
          </w:p>
        </w:tc>
        <w:tc>
          <w:tcPr>
            <w:tcW w:w="8208" w:type="dxa"/>
          </w:tcPr>
          <w:p w14:paraId="47F84954" w14:textId="77777777" w:rsidR="001B7F9A" w:rsidRPr="00AD7E04" w:rsidRDefault="001B7F9A" w:rsidP="0056487E">
            <w:r>
              <w:t xml:space="preserve">Altogether, there are 16 global </w:t>
            </w:r>
            <w:r w:rsidRPr="00DE6A38">
              <w:rPr>
                <w:b/>
                <w:color w:val="F79646" w:themeColor="accent6"/>
              </w:rPr>
              <w:t>BECCS</w:t>
            </w:r>
            <w:r>
              <w:t xml:space="preserve"> projects in exploration stage (Karlsson and Byström, 2011).</w:t>
            </w:r>
          </w:p>
        </w:tc>
        <w:tc>
          <w:tcPr>
            <w:tcW w:w="885" w:type="dxa"/>
          </w:tcPr>
          <w:p w14:paraId="1B21F7E8" w14:textId="77777777" w:rsidR="001B7F9A" w:rsidRDefault="001B7F9A" w:rsidP="0056487E">
            <w:pPr>
              <w:pStyle w:val="KeinLeerraum"/>
            </w:pPr>
            <w:r>
              <w:t>11.13.3</w:t>
            </w:r>
          </w:p>
        </w:tc>
      </w:tr>
      <w:tr w:rsidR="001B7F9A" w14:paraId="386AA654" w14:textId="77777777" w:rsidTr="0056487E">
        <w:tc>
          <w:tcPr>
            <w:tcW w:w="529" w:type="dxa"/>
          </w:tcPr>
          <w:p w14:paraId="30E1709B" w14:textId="77777777" w:rsidR="001B7F9A" w:rsidRDefault="001B7F9A" w:rsidP="0056487E">
            <w:pPr>
              <w:pStyle w:val="KeinLeerraum"/>
            </w:pPr>
            <w:r>
              <w:t>40</w:t>
            </w:r>
          </w:p>
        </w:tc>
        <w:tc>
          <w:tcPr>
            <w:tcW w:w="8208" w:type="dxa"/>
          </w:tcPr>
          <w:p w14:paraId="53A9C546" w14:textId="77777777" w:rsidR="001B7F9A" w:rsidRPr="009C2F25" w:rsidRDefault="001B7F9A" w:rsidP="0056487E">
            <w:pPr>
              <w:rPr>
                <w:b/>
              </w:rPr>
            </w:pPr>
            <w:r>
              <w:t xml:space="preserve">Some climate stabilization scenarios see considerable higher deployment towards the end of the century, even in some 580–650 ppm scenarios, operating under different time scales, socioeconomic assumptions, technology portfolios, CO2 prices, and interpreting </w:t>
            </w:r>
            <w:r w:rsidRPr="00B55FD9">
              <w:rPr>
                <w:b/>
                <w:color w:val="F79646" w:themeColor="accent6"/>
              </w:rPr>
              <w:t>BECCS</w:t>
            </w:r>
            <w:r>
              <w:t xml:space="preserve"> as part of an overall mitigation framework (e.g., Rose et  al., 2012; Kriegler et al., 2013; Tavoni and Socolow, 2013).</w:t>
            </w:r>
          </w:p>
        </w:tc>
        <w:tc>
          <w:tcPr>
            <w:tcW w:w="885" w:type="dxa"/>
          </w:tcPr>
          <w:p w14:paraId="3301E10A" w14:textId="77777777" w:rsidR="001B7F9A" w:rsidRDefault="001B7F9A" w:rsidP="0056487E">
            <w:pPr>
              <w:pStyle w:val="KeinLeerraum"/>
            </w:pPr>
            <w:r>
              <w:t>11.13.3</w:t>
            </w:r>
          </w:p>
          <w:p w14:paraId="6A230D41" w14:textId="77777777" w:rsidR="001B7F9A" w:rsidRDefault="001B7F9A" w:rsidP="0056487E"/>
          <w:p w14:paraId="5DC06189" w14:textId="77777777" w:rsidR="001B7F9A" w:rsidRPr="009C2F25" w:rsidRDefault="001B7F9A" w:rsidP="0056487E"/>
        </w:tc>
      </w:tr>
      <w:tr w:rsidR="001B7F9A" w14:paraId="6FB846CA" w14:textId="77777777" w:rsidTr="0056487E">
        <w:tc>
          <w:tcPr>
            <w:tcW w:w="529" w:type="dxa"/>
          </w:tcPr>
          <w:p w14:paraId="6E7BAB05" w14:textId="77777777" w:rsidR="001B7F9A" w:rsidRDefault="001B7F9A" w:rsidP="0056487E">
            <w:pPr>
              <w:pStyle w:val="KeinLeerraum"/>
            </w:pPr>
            <w:r>
              <w:t>41</w:t>
            </w:r>
          </w:p>
        </w:tc>
        <w:tc>
          <w:tcPr>
            <w:tcW w:w="8208" w:type="dxa"/>
          </w:tcPr>
          <w:p w14:paraId="195CDC19" w14:textId="77777777" w:rsidR="001B7F9A" w:rsidRPr="0030392E" w:rsidRDefault="001B7F9A" w:rsidP="0056487E">
            <w:pPr>
              <w:pStyle w:val="KeinLeerraum"/>
              <w:rPr>
                <w:b/>
                <w:color w:val="FF0000"/>
              </w:rPr>
            </w:pPr>
            <w:r>
              <w:t xml:space="preserve">Possible climate risks of </w:t>
            </w:r>
            <w:r w:rsidRPr="00B55FD9">
              <w:rPr>
                <w:b/>
                <w:color w:val="F79646" w:themeColor="accent6"/>
              </w:rPr>
              <w:t>BECCS</w:t>
            </w:r>
            <w:r>
              <w:t xml:space="preserve"> relate to reduction of land carbon stock, feasible scales of biomass production and increased N2O emissions, and potential leakage of CO2, which has been stored in deep geologic reservoirs (Rhodes and Keith, 2008).</w:t>
            </w:r>
          </w:p>
        </w:tc>
        <w:tc>
          <w:tcPr>
            <w:tcW w:w="885" w:type="dxa"/>
          </w:tcPr>
          <w:p w14:paraId="1A747989" w14:textId="77777777" w:rsidR="001B7F9A" w:rsidRDefault="001B7F9A" w:rsidP="0056487E">
            <w:pPr>
              <w:pStyle w:val="KeinLeerraum"/>
            </w:pPr>
            <w:r>
              <w:t>11.13.3</w:t>
            </w:r>
          </w:p>
          <w:p w14:paraId="01673711" w14:textId="77777777" w:rsidR="001B7F9A" w:rsidRDefault="001B7F9A" w:rsidP="0056487E">
            <w:pPr>
              <w:pStyle w:val="KeinLeerraum"/>
            </w:pPr>
          </w:p>
        </w:tc>
      </w:tr>
      <w:tr w:rsidR="001B7F9A" w14:paraId="271D7BAE" w14:textId="77777777" w:rsidTr="0056487E">
        <w:tc>
          <w:tcPr>
            <w:tcW w:w="529" w:type="dxa"/>
          </w:tcPr>
          <w:p w14:paraId="0B809565" w14:textId="77777777" w:rsidR="001B7F9A" w:rsidRDefault="001B7F9A" w:rsidP="0056487E">
            <w:pPr>
              <w:pStyle w:val="KeinLeerraum"/>
            </w:pPr>
            <w:r>
              <w:t>42</w:t>
            </w:r>
          </w:p>
        </w:tc>
        <w:tc>
          <w:tcPr>
            <w:tcW w:w="8208" w:type="dxa"/>
          </w:tcPr>
          <w:p w14:paraId="5EEFF2D2" w14:textId="77777777" w:rsidR="001B7F9A" w:rsidRPr="009C2F25" w:rsidRDefault="001B7F9A" w:rsidP="0056487E">
            <w:pPr>
              <w:rPr>
                <w:b/>
              </w:rPr>
            </w:pPr>
            <w:r>
              <w:t xml:space="preserve">The literature highlights that </w:t>
            </w:r>
            <w:r w:rsidRPr="00B55FD9">
              <w:rPr>
                <w:b/>
                <w:color w:val="F79646" w:themeColor="accent6"/>
              </w:rPr>
              <w:t>BECCS</w:t>
            </w:r>
            <w:r>
              <w:t xml:space="preserve"> as well as CCS deployment is dependent on strong financial incentives, as they are not cost competitive otherwise (</w:t>
            </w:r>
            <w:r w:rsidRPr="00B55FD9">
              <w:rPr>
                <w:b/>
                <w:color w:val="FF0000"/>
              </w:rPr>
              <w:t>Sections 7.5.5; 7.6.4; 7.9; 7.12</w:t>
            </w:r>
            <w:r>
              <w:t>).</w:t>
            </w:r>
          </w:p>
        </w:tc>
        <w:tc>
          <w:tcPr>
            <w:tcW w:w="885" w:type="dxa"/>
          </w:tcPr>
          <w:p w14:paraId="364345CB" w14:textId="77777777" w:rsidR="001B7F9A" w:rsidRDefault="001B7F9A" w:rsidP="0056487E">
            <w:pPr>
              <w:pStyle w:val="KeinLeerraum"/>
            </w:pPr>
            <w:r>
              <w:t>11.13.3</w:t>
            </w:r>
          </w:p>
          <w:p w14:paraId="4DD95EFA" w14:textId="77777777" w:rsidR="001B7F9A" w:rsidRDefault="001B7F9A" w:rsidP="0056487E">
            <w:pPr>
              <w:pStyle w:val="KeinLeerraum"/>
            </w:pPr>
          </w:p>
        </w:tc>
      </w:tr>
      <w:tr w:rsidR="001B7F9A" w14:paraId="396B4E11" w14:textId="77777777" w:rsidTr="0056487E">
        <w:tc>
          <w:tcPr>
            <w:tcW w:w="529" w:type="dxa"/>
          </w:tcPr>
          <w:p w14:paraId="311E9A67" w14:textId="77777777" w:rsidR="001B7F9A" w:rsidRDefault="001B7F9A" w:rsidP="0056487E">
            <w:pPr>
              <w:pStyle w:val="KeinLeerraum"/>
            </w:pPr>
            <w:r>
              <w:t>43</w:t>
            </w:r>
          </w:p>
        </w:tc>
        <w:tc>
          <w:tcPr>
            <w:tcW w:w="8208" w:type="dxa"/>
          </w:tcPr>
          <w:p w14:paraId="7E16333C" w14:textId="77777777" w:rsidR="001B7F9A" w:rsidRPr="0030392E" w:rsidRDefault="001B7F9A" w:rsidP="0056487E">
            <w:pPr>
              <w:pStyle w:val="KeinLeerraum"/>
              <w:tabs>
                <w:tab w:val="left" w:pos="7186"/>
              </w:tabs>
              <w:rPr>
                <w:b/>
                <w:color w:val="FF0000"/>
              </w:rPr>
            </w:pPr>
            <w:r w:rsidRPr="00B55FD9">
              <w:rPr>
                <w:b/>
                <w:color w:val="FF0000"/>
              </w:rPr>
              <w:t>Figure 11.22</w:t>
            </w:r>
            <w:r w:rsidRPr="00B55FD9">
              <w:rPr>
                <w:color w:val="FF0000"/>
              </w:rPr>
              <w:t xml:space="preserve"> </w:t>
            </w:r>
            <w:r>
              <w:t xml:space="preserve">illustrates some GHG effects associated with </w:t>
            </w:r>
            <w:r w:rsidRPr="00B55FD9">
              <w:rPr>
                <w:b/>
                <w:color w:val="F79646" w:themeColor="accent6"/>
              </w:rPr>
              <w:t>BECCS</w:t>
            </w:r>
            <w:r>
              <w:t xml:space="preserve"> pathways. Tradeoffs between CO2 capture rate and feedstock conversion efficiency are possible. Depicted are pathways with the highest removal rate but not necessarily with the highest feedstock conversion rate.</w:t>
            </w:r>
          </w:p>
        </w:tc>
        <w:tc>
          <w:tcPr>
            <w:tcW w:w="885" w:type="dxa"/>
          </w:tcPr>
          <w:p w14:paraId="34B8927D" w14:textId="77777777" w:rsidR="001B7F9A" w:rsidRDefault="001B7F9A" w:rsidP="0056487E">
            <w:pPr>
              <w:pStyle w:val="KeinLeerraum"/>
            </w:pPr>
            <w:r>
              <w:t>11.13.3</w:t>
            </w:r>
          </w:p>
          <w:p w14:paraId="27D88B78" w14:textId="77777777" w:rsidR="001B7F9A" w:rsidRDefault="001B7F9A" w:rsidP="0056487E">
            <w:pPr>
              <w:pStyle w:val="KeinLeerraum"/>
            </w:pPr>
          </w:p>
        </w:tc>
      </w:tr>
      <w:tr w:rsidR="001B7F9A" w14:paraId="60386CB8" w14:textId="77777777" w:rsidTr="0056487E">
        <w:tc>
          <w:tcPr>
            <w:tcW w:w="529" w:type="dxa"/>
          </w:tcPr>
          <w:p w14:paraId="649EA2FD" w14:textId="77777777" w:rsidR="001B7F9A" w:rsidRDefault="001B7F9A" w:rsidP="0056487E">
            <w:pPr>
              <w:pStyle w:val="KeinLeerraum"/>
            </w:pPr>
            <w:r>
              <w:t>44</w:t>
            </w:r>
          </w:p>
        </w:tc>
        <w:tc>
          <w:tcPr>
            <w:tcW w:w="8208" w:type="dxa"/>
          </w:tcPr>
          <w:p w14:paraId="34DFA252" w14:textId="77777777" w:rsidR="001B7F9A" w:rsidRPr="0030392E" w:rsidRDefault="001B7F9A" w:rsidP="0056487E">
            <w:pPr>
              <w:pStyle w:val="KeinLeerraum"/>
              <w:rPr>
                <w:b/>
                <w:color w:val="FF0000"/>
              </w:rPr>
            </w:pPr>
            <w:r>
              <w:t xml:space="preserve">Among all </w:t>
            </w:r>
            <w:r w:rsidRPr="00B55FD9">
              <w:rPr>
                <w:b/>
                <w:color w:val="F79646" w:themeColor="accent6"/>
              </w:rPr>
              <w:t>BECCS</w:t>
            </w:r>
            <w:r>
              <w:t xml:space="preserve"> pathways, those based on integrated gasification combined cycle produce most significant geologic storage potential from biomass, alone (shown in Figure 11.23, electricity) or coupled with coal.</w:t>
            </w:r>
          </w:p>
        </w:tc>
        <w:tc>
          <w:tcPr>
            <w:tcW w:w="885" w:type="dxa"/>
          </w:tcPr>
          <w:p w14:paraId="0262F889" w14:textId="77777777" w:rsidR="001B7F9A" w:rsidRDefault="001B7F9A" w:rsidP="0056487E">
            <w:pPr>
              <w:pStyle w:val="KeinLeerraum"/>
            </w:pPr>
            <w:r>
              <w:t>11.13.3</w:t>
            </w:r>
          </w:p>
          <w:p w14:paraId="29E563F5" w14:textId="77777777" w:rsidR="001B7F9A" w:rsidRDefault="001B7F9A" w:rsidP="0056487E">
            <w:pPr>
              <w:pStyle w:val="KeinLeerraum"/>
            </w:pPr>
          </w:p>
        </w:tc>
      </w:tr>
      <w:tr w:rsidR="001B7F9A" w14:paraId="1118D5E8" w14:textId="77777777" w:rsidTr="0056487E">
        <w:tc>
          <w:tcPr>
            <w:tcW w:w="529" w:type="dxa"/>
          </w:tcPr>
          <w:p w14:paraId="6FAFC0F5" w14:textId="77777777" w:rsidR="001B7F9A" w:rsidRDefault="001B7F9A" w:rsidP="0056487E">
            <w:pPr>
              <w:pStyle w:val="KeinLeerraum"/>
            </w:pPr>
            <w:r>
              <w:t>45</w:t>
            </w:r>
          </w:p>
        </w:tc>
        <w:tc>
          <w:tcPr>
            <w:tcW w:w="8208" w:type="dxa"/>
          </w:tcPr>
          <w:p w14:paraId="448A6958" w14:textId="77777777" w:rsidR="001B7F9A" w:rsidRPr="0030392E" w:rsidRDefault="001B7F9A" w:rsidP="0056487E">
            <w:pPr>
              <w:pStyle w:val="KeinLeerraum"/>
              <w:rPr>
                <w:b/>
                <w:color w:val="FF0000"/>
              </w:rPr>
            </w:pPr>
            <w:r>
              <w:t xml:space="preserve">Fischer-Tropsch diesel fuel production with biomass as feedstock and CCS attached to plant facilities could enable </w:t>
            </w:r>
            <w:r w:rsidRPr="00B55FD9">
              <w:rPr>
                <w:b/>
                <w:color w:val="F79646" w:themeColor="accent6"/>
              </w:rPr>
              <w:t>BECCS</w:t>
            </w:r>
            <w:r>
              <w:t xml:space="preserve"> for transport; uncertainties in input factors, and output metrics warrant further research (van Vliet et al., 2009).</w:t>
            </w:r>
          </w:p>
        </w:tc>
        <w:tc>
          <w:tcPr>
            <w:tcW w:w="885" w:type="dxa"/>
          </w:tcPr>
          <w:p w14:paraId="0CF83601" w14:textId="77777777" w:rsidR="001B7F9A" w:rsidRDefault="001B7F9A" w:rsidP="0056487E">
            <w:pPr>
              <w:pStyle w:val="KeinLeerraum"/>
            </w:pPr>
            <w:r>
              <w:t>11.13.3</w:t>
            </w:r>
          </w:p>
          <w:p w14:paraId="293C8075" w14:textId="77777777" w:rsidR="001B7F9A" w:rsidRDefault="001B7F9A" w:rsidP="0056487E">
            <w:pPr>
              <w:pStyle w:val="KeinLeerraum"/>
            </w:pPr>
          </w:p>
        </w:tc>
      </w:tr>
      <w:tr w:rsidR="001B7F9A" w14:paraId="36D68A38" w14:textId="77777777" w:rsidTr="0056487E">
        <w:tc>
          <w:tcPr>
            <w:tcW w:w="529" w:type="dxa"/>
          </w:tcPr>
          <w:p w14:paraId="00D2F11D" w14:textId="77777777" w:rsidR="001B7F9A" w:rsidRDefault="001B7F9A" w:rsidP="0056487E">
            <w:pPr>
              <w:pStyle w:val="KeinLeerraum"/>
            </w:pPr>
            <w:r>
              <w:t>46</w:t>
            </w:r>
          </w:p>
        </w:tc>
        <w:tc>
          <w:tcPr>
            <w:tcW w:w="8208" w:type="dxa"/>
          </w:tcPr>
          <w:p w14:paraId="3778921E" w14:textId="77777777" w:rsidR="001B7F9A" w:rsidRPr="00E26FB0" w:rsidRDefault="001B7F9A" w:rsidP="0056487E">
            <w:pPr>
              <w:pStyle w:val="KeinLeerraum"/>
              <w:rPr>
                <w:color w:val="FF0000"/>
              </w:rPr>
            </w:pPr>
            <w:r w:rsidRPr="00E26FB0">
              <w:t xml:space="preserve">Economics of scale in power plant size are crucial to improve economic viability of envisaged </w:t>
            </w:r>
            <w:r w:rsidRPr="00E26FB0">
              <w:rPr>
                <w:b/>
                <w:color w:val="F79646" w:themeColor="accent6"/>
              </w:rPr>
              <w:t>BECCS</w:t>
            </w:r>
            <w:r w:rsidRPr="00E26FB0">
              <w:t xml:space="preserve"> projects.</w:t>
            </w:r>
          </w:p>
        </w:tc>
        <w:tc>
          <w:tcPr>
            <w:tcW w:w="885" w:type="dxa"/>
          </w:tcPr>
          <w:p w14:paraId="278A65AA" w14:textId="77777777" w:rsidR="001B7F9A" w:rsidRDefault="001B7F9A" w:rsidP="0056487E">
            <w:pPr>
              <w:pStyle w:val="KeinLeerraum"/>
            </w:pPr>
            <w:r>
              <w:t>11.13.3</w:t>
            </w:r>
          </w:p>
          <w:p w14:paraId="036AE4C2" w14:textId="77777777" w:rsidR="001B7F9A" w:rsidRDefault="001B7F9A" w:rsidP="0056487E">
            <w:pPr>
              <w:pStyle w:val="KeinLeerraum"/>
            </w:pPr>
          </w:p>
        </w:tc>
      </w:tr>
      <w:tr w:rsidR="001B7F9A" w14:paraId="6F128948" w14:textId="77777777" w:rsidTr="0056487E">
        <w:tc>
          <w:tcPr>
            <w:tcW w:w="529" w:type="dxa"/>
          </w:tcPr>
          <w:p w14:paraId="5F815278" w14:textId="77777777" w:rsidR="001B7F9A" w:rsidRDefault="001B7F9A" w:rsidP="0056487E">
            <w:pPr>
              <w:pStyle w:val="KeinLeerraum"/>
            </w:pPr>
            <w:r>
              <w:t>47</w:t>
            </w:r>
          </w:p>
        </w:tc>
        <w:tc>
          <w:tcPr>
            <w:tcW w:w="8208" w:type="dxa"/>
          </w:tcPr>
          <w:p w14:paraId="7F45B469" w14:textId="77777777" w:rsidR="001B7F9A" w:rsidRPr="0030392E" w:rsidRDefault="001B7F9A" w:rsidP="0056487E">
            <w:pPr>
              <w:pStyle w:val="KeinLeerraum"/>
              <w:rPr>
                <w:b/>
                <w:color w:val="FF0000"/>
              </w:rPr>
            </w:pPr>
            <w:r>
              <w:t xml:space="preserve">In the future, increased operating experience of </w:t>
            </w:r>
            <w:r w:rsidRPr="00A33D33">
              <w:rPr>
                <w:b/>
                <w:color w:val="F79646" w:themeColor="accent6"/>
              </w:rPr>
              <w:t>BECCS</w:t>
            </w:r>
            <w:r>
              <w:t xml:space="preserve"> IGCC-CCS through technological improvements and learning could enable carbon neutral electricity and, in combination with CCS, could result in net removal of CO2 (Figure 11.22).</w:t>
            </w:r>
          </w:p>
        </w:tc>
        <w:tc>
          <w:tcPr>
            <w:tcW w:w="885" w:type="dxa"/>
          </w:tcPr>
          <w:p w14:paraId="302712C9" w14:textId="77777777" w:rsidR="001B7F9A" w:rsidRDefault="001B7F9A" w:rsidP="0056487E">
            <w:pPr>
              <w:pStyle w:val="KeinLeerraum"/>
            </w:pPr>
            <w:r>
              <w:t>11.13.3</w:t>
            </w:r>
          </w:p>
          <w:p w14:paraId="66087F8F" w14:textId="77777777" w:rsidR="001B7F9A" w:rsidRDefault="001B7F9A" w:rsidP="0056487E">
            <w:pPr>
              <w:pStyle w:val="KeinLeerraum"/>
            </w:pPr>
          </w:p>
        </w:tc>
      </w:tr>
      <w:tr w:rsidR="001B7F9A" w14:paraId="3501D923" w14:textId="77777777" w:rsidTr="0056487E">
        <w:tc>
          <w:tcPr>
            <w:tcW w:w="529" w:type="dxa"/>
          </w:tcPr>
          <w:p w14:paraId="3529846C" w14:textId="77777777" w:rsidR="001B7F9A" w:rsidRDefault="001B7F9A" w:rsidP="0056487E">
            <w:pPr>
              <w:pStyle w:val="KeinLeerraum"/>
            </w:pPr>
            <w:r>
              <w:t>48</w:t>
            </w:r>
          </w:p>
        </w:tc>
        <w:tc>
          <w:tcPr>
            <w:tcW w:w="8208" w:type="dxa"/>
          </w:tcPr>
          <w:p w14:paraId="14C9E10E" w14:textId="77777777" w:rsidR="001B7F9A" w:rsidRPr="0030392E" w:rsidRDefault="001B7F9A" w:rsidP="0056487E">
            <w:pPr>
              <w:pStyle w:val="KeinLeerraum"/>
              <w:rPr>
                <w:b/>
                <w:color w:val="FF0000"/>
              </w:rPr>
            </w:pPr>
            <w:r w:rsidRPr="00A33D33">
              <w:rPr>
                <w:b/>
                <w:color w:val="F79646" w:themeColor="accent6"/>
              </w:rPr>
              <w:t>BECCS</w:t>
            </w:r>
            <w:r>
              <w:t xml:space="preserve"> is among the lowest cost CCS options for a number of key industrial sectors (Meerman et al., 2013).</w:t>
            </w:r>
          </w:p>
        </w:tc>
        <w:tc>
          <w:tcPr>
            <w:tcW w:w="885" w:type="dxa"/>
          </w:tcPr>
          <w:p w14:paraId="1FCB83F2" w14:textId="77777777" w:rsidR="001B7F9A" w:rsidRDefault="001B7F9A" w:rsidP="0056487E">
            <w:pPr>
              <w:pStyle w:val="KeinLeerraum"/>
            </w:pPr>
            <w:r>
              <w:t>11.13.3</w:t>
            </w:r>
          </w:p>
          <w:p w14:paraId="5D9194AF" w14:textId="77777777" w:rsidR="001B7F9A" w:rsidRDefault="001B7F9A" w:rsidP="0056487E">
            <w:pPr>
              <w:pStyle w:val="KeinLeerraum"/>
            </w:pPr>
          </w:p>
        </w:tc>
      </w:tr>
      <w:tr w:rsidR="001B7F9A" w14:paraId="1F7E53FE" w14:textId="77777777" w:rsidTr="0056487E">
        <w:tc>
          <w:tcPr>
            <w:tcW w:w="529" w:type="dxa"/>
          </w:tcPr>
          <w:p w14:paraId="22F3EC35" w14:textId="77777777" w:rsidR="001B7F9A" w:rsidRDefault="001B7F9A" w:rsidP="0056487E">
            <w:pPr>
              <w:pStyle w:val="KeinLeerraum"/>
            </w:pPr>
            <w:r>
              <w:t>49</w:t>
            </w:r>
          </w:p>
        </w:tc>
        <w:tc>
          <w:tcPr>
            <w:tcW w:w="8208" w:type="dxa"/>
          </w:tcPr>
          <w:p w14:paraId="02B97497" w14:textId="77777777" w:rsidR="001B7F9A" w:rsidRPr="0030392E" w:rsidRDefault="001B7F9A" w:rsidP="0056487E">
            <w:pPr>
              <w:pStyle w:val="KeinLeerraum"/>
              <w:rPr>
                <w:b/>
                <w:color w:val="FF0000"/>
              </w:rPr>
            </w:pPr>
            <w:r>
              <w:t xml:space="preserve">It should be noted that primary empiric cost and performance data for dedicated bioenergy plants are not yet available and needed for comprehensively assessing </w:t>
            </w:r>
            <w:r w:rsidRPr="00A33D33">
              <w:rPr>
                <w:b/>
                <w:color w:val="F79646" w:themeColor="accent6"/>
              </w:rPr>
              <w:t>BECCS</w:t>
            </w:r>
            <w:r>
              <w:t xml:space="preserve">. The current status of CCS and on-going research issues are discussed in </w:t>
            </w:r>
            <w:r w:rsidRPr="00A33D33">
              <w:rPr>
                <w:b/>
                <w:color w:val="FF0000"/>
              </w:rPr>
              <w:t>Sections 7.5.5 and 7.6.4</w:t>
            </w:r>
            <w:r>
              <w:t>.</w:t>
            </w:r>
          </w:p>
        </w:tc>
        <w:tc>
          <w:tcPr>
            <w:tcW w:w="885" w:type="dxa"/>
          </w:tcPr>
          <w:p w14:paraId="1FBA7556" w14:textId="77777777" w:rsidR="001B7F9A" w:rsidRDefault="001B7F9A" w:rsidP="0056487E">
            <w:pPr>
              <w:pStyle w:val="KeinLeerraum"/>
            </w:pPr>
            <w:r>
              <w:t>11.13.3</w:t>
            </w:r>
          </w:p>
          <w:p w14:paraId="4F342BBA" w14:textId="77777777" w:rsidR="001B7F9A" w:rsidRDefault="001B7F9A" w:rsidP="0056487E">
            <w:pPr>
              <w:pStyle w:val="KeinLeerraum"/>
            </w:pPr>
          </w:p>
        </w:tc>
      </w:tr>
      <w:tr w:rsidR="001B7F9A" w14:paraId="3E9B18BA" w14:textId="77777777" w:rsidTr="0056487E">
        <w:tc>
          <w:tcPr>
            <w:tcW w:w="529" w:type="dxa"/>
          </w:tcPr>
          <w:p w14:paraId="4C68ED72" w14:textId="77777777" w:rsidR="001B7F9A" w:rsidRDefault="001B7F9A" w:rsidP="0056487E">
            <w:pPr>
              <w:pStyle w:val="KeinLeerraum"/>
            </w:pPr>
            <w:r>
              <w:t>50</w:t>
            </w:r>
          </w:p>
        </w:tc>
        <w:tc>
          <w:tcPr>
            <w:tcW w:w="8208" w:type="dxa"/>
          </w:tcPr>
          <w:p w14:paraId="706A14C3" w14:textId="77777777" w:rsidR="001B7F9A" w:rsidRDefault="001B7F9A" w:rsidP="0056487E">
            <w:pPr>
              <w:pStyle w:val="KeinLeerraum"/>
            </w:pPr>
            <w:r w:rsidRPr="0030392E">
              <w:rPr>
                <w:b/>
                <w:color w:val="FF0000"/>
              </w:rPr>
              <w:t>Figure 11.23</w:t>
            </w:r>
            <w:r w:rsidRPr="0030392E">
              <w:rPr>
                <w:color w:val="FF0000"/>
              </w:rPr>
              <w:t xml:space="preserve"> </w:t>
            </w:r>
            <w:r>
              <w:t xml:space="preserve">illustrates the range of lifecycle global direct climate impact (in g CO2 equivalents per MJ, after characterization with GWP time horizon=100 years) </w:t>
            </w:r>
            <w:r>
              <w:lastRenderedPageBreak/>
              <w:t xml:space="preserve">attributed to major global bioenergy products reported in the peer-reviewed literature after 2010. Results are broadly comparable to those of Chapter 2 in SRREN (Figures 2.10 and 2.11 in SRREN; Chum et al., 2011) Those figures displayed </w:t>
            </w:r>
            <w:r w:rsidRPr="0030392E">
              <w:rPr>
                <w:b/>
                <w:color w:val="7030A0"/>
              </w:rPr>
              <w:t>negative emissions</w:t>
            </w:r>
            <w:r>
              <w:t>, resulting from crediting emission reduction due to substitution effects.</w:t>
            </w:r>
          </w:p>
        </w:tc>
        <w:tc>
          <w:tcPr>
            <w:tcW w:w="885" w:type="dxa"/>
          </w:tcPr>
          <w:p w14:paraId="30AB81B0" w14:textId="77777777" w:rsidR="001B7F9A" w:rsidRDefault="001B7F9A" w:rsidP="0056487E">
            <w:pPr>
              <w:pStyle w:val="KeinLeerraum"/>
            </w:pPr>
            <w:r>
              <w:lastRenderedPageBreak/>
              <w:t>11.13.4</w:t>
            </w:r>
          </w:p>
        </w:tc>
      </w:tr>
      <w:tr w:rsidR="001B7F9A" w14:paraId="33D1D7C2" w14:textId="77777777" w:rsidTr="0056487E">
        <w:tc>
          <w:tcPr>
            <w:tcW w:w="529" w:type="dxa"/>
          </w:tcPr>
          <w:p w14:paraId="5F105E9A" w14:textId="77777777" w:rsidR="001B7F9A" w:rsidRDefault="001B7F9A" w:rsidP="0056487E">
            <w:pPr>
              <w:pStyle w:val="KeinLeerraum"/>
            </w:pPr>
            <w:r>
              <w:t>51</w:t>
            </w:r>
          </w:p>
        </w:tc>
        <w:tc>
          <w:tcPr>
            <w:tcW w:w="8208" w:type="dxa"/>
          </w:tcPr>
          <w:p w14:paraId="120A1B48" w14:textId="77777777" w:rsidR="001B7F9A" w:rsidRDefault="001B7F9A" w:rsidP="0056487E">
            <w:pPr>
              <w:pStyle w:val="KeinLeerraum"/>
            </w:pPr>
            <w:r w:rsidRPr="003C56A6">
              <w:rPr>
                <w:b/>
                <w:color w:val="F79646" w:themeColor="accent6"/>
              </w:rPr>
              <w:t>BECCS</w:t>
            </w:r>
            <w:r>
              <w:t xml:space="preserve"> features prominently in many mitigation scenarios.</w:t>
            </w:r>
          </w:p>
        </w:tc>
        <w:tc>
          <w:tcPr>
            <w:tcW w:w="885" w:type="dxa"/>
          </w:tcPr>
          <w:p w14:paraId="28C54AC3" w14:textId="77777777" w:rsidR="001B7F9A" w:rsidRDefault="001B7F9A" w:rsidP="0056487E">
            <w:pPr>
              <w:pStyle w:val="KeinLeerraum"/>
            </w:pPr>
            <w:r>
              <w:t>11.13.5</w:t>
            </w:r>
          </w:p>
        </w:tc>
      </w:tr>
      <w:tr w:rsidR="001B7F9A" w14:paraId="266A5652" w14:textId="77777777" w:rsidTr="0056487E">
        <w:tc>
          <w:tcPr>
            <w:tcW w:w="529" w:type="dxa"/>
          </w:tcPr>
          <w:p w14:paraId="144EFACE" w14:textId="77777777" w:rsidR="001B7F9A" w:rsidRDefault="001B7F9A" w:rsidP="0056487E">
            <w:pPr>
              <w:pStyle w:val="KeinLeerraum"/>
            </w:pPr>
            <w:r>
              <w:t>52</w:t>
            </w:r>
          </w:p>
        </w:tc>
        <w:tc>
          <w:tcPr>
            <w:tcW w:w="8208" w:type="dxa"/>
          </w:tcPr>
          <w:p w14:paraId="34F875B2" w14:textId="77777777" w:rsidR="001B7F9A" w:rsidRDefault="001B7F9A" w:rsidP="0056487E">
            <w:pPr>
              <w:pStyle w:val="KeinLeerraum"/>
            </w:pPr>
            <w:r w:rsidRPr="003C56A6">
              <w:rPr>
                <w:b/>
                <w:color w:val="F79646" w:themeColor="accent6"/>
              </w:rPr>
              <w:t>BECCS</w:t>
            </w:r>
            <w:r>
              <w:t xml:space="preserve"> is deployed in greater quantities and earlier in time the more stringent the climate policy (</w:t>
            </w:r>
            <w:r w:rsidRPr="003C56A6">
              <w:rPr>
                <w:b/>
                <w:color w:val="FF0000"/>
              </w:rPr>
              <w:t>Section 6.3.5</w:t>
            </w:r>
            <w:r>
              <w:t>).</w:t>
            </w:r>
          </w:p>
        </w:tc>
        <w:tc>
          <w:tcPr>
            <w:tcW w:w="885" w:type="dxa"/>
          </w:tcPr>
          <w:p w14:paraId="3AC804BB" w14:textId="77777777" w:rsidR="001B7F9A" w:rsidRDefault="001B7F9A" w:rsidP="0056487E">
            <w:pPr>
              <w:pStyle w:val="KeinLeerraum"/>
            </w:pPr>
            <w:r>
              <w:t>11.13.5</w:t>
            </w:r>
          </w:p>
        </w:tc>
      </w:tr>
      <w:tr w:rsidR="001B7F9A" w14:paraId="11F3F7E6" w14:textId="77777777" w:rsidTr="0056487E">
        <w:tc>
          <w:tcPr>
            <w:tcW w:w="529" w:type="dxa"/>
          </w:tcPr>
          <w:p w14:paraId="587E6034" w14:textId="77777777" w:rsidR="001B7F9A" w:rsidRDefault="001B7F9A" w:rsidP="0056487E">
            <w:pPr>
              <w:pStyle w:val="KeinLeerraum"/>
            </w:pPr>
            <w:r>
              <w:t>53</w:t>
            </w:r>
          </w:p>
        </w:tc>
        <w:tc>
          <w:tcPr>
            <w:tcW w:w="8208" w:type="dxa"/>
          </w:tcPr>
          <w:p w14:paraId="033D919F" w14:textId="77777777" w:rsidR="001B7F9A" w:rsidRDefault="001B7F9A" w:rsidP="0056487E">
            <w:pPr>
              <w:pStyle w:val="KeinLeerraum"/>
            </w:pPr>
            <w:r>
              <w:t xml:space="preserve">Whether </w:t>
            </w:r>
            <w:r w:rsidRPr="003C56A6">
              <w:rPr>
                <w:b/>
                <w:color w:val="F79646" w:themeColor="accent6"/>
              </w:rPr>
              <w:t>BECCS</w:t>
            </w:r>
            <w:r>
              <w:t xml:space="preserve"> is essential for mitigation, or even sufficient, is unclear.</w:t>
            </w:r>
          </w:p>
        </w:tc>
        <w:tc>
          <w:tcPr>
            <w:tcW w:w="885" w:type="dxa"/>
          </w:tcPr>
          <w:p w14:paraId="6C08355C" w14:textId="77777777" w:rsidR="001B7F9A" w:rsidRDefault="001B7F9A" w:rsidP="0056487E">
            <w:pPr>
              <w:pStyle w:val="KeinLeerraum"/>
            </w:pPr>
            <w:r>
              <w:t>11.13.5</w:t>
            </w:r>
          </w:p>
        </w:tc>
      </w:tr>
      <w:tr w:rsidR="001B7F9A" w14:paraId="18493767" w14:textId="77777777" w:rsidTr="0056487E">
        <w:tc>
          <w:tcPr>
            <w:tcW w:w="529" w:type="dxa"/>
          </w:tcPr>
          <w:p w14:paraId="5779E521" w14:textId="77777777" w:rsidR="001B7F9A" w:rsidRDefault="001B7F9A" w:rsidP="0056487E">
            <w:pPr>
              <w:pStyle w:val="KeinLeerraum"/>
            </w:pPr>
            <w:r>
              <w:t>54</w:t>
            </w:r>
          </w:p>
        </w:tc>
        <w:tc>
          <w:tcPr>
            <w:tcW w:w="8208" w:type="dxa"/>
          </w:tcPr>
          <w:p w14:paraId="7A581420" w14:textId="77777777" w:rsidR="001B7F9A" w:rsidRDefault="001B7F9A" w:rsidP="0056487E">
            <w:pPr>
              <w:pStyle w:val="KeinLeerraum"/>
            </w:pPr>
            <w:r>
              <w:t xml:space="preserve">In addition, the likelihood of </w:t>
            </w:r>
            <w:r w:rsidRPr="0098244C">
              <w:rPr>
                <w:b/>
                <w:color w:val="F79646" w:themeColor="accent6"/>
              </w:rPr>
              <w:t>BECCS</w:t>
            </w:r>
            <w:r>
              <w:t xml:space="preserve"> deployment is difficult to evaluate and depends on safety confirmations, affordability and public acceptance (see </w:t>
            </w:r>
            <w:r w:rsidRPr="0098244C">
              <w:rPr>
                <w:b/>
                <w:color w:val="FF0000"/>
              </w:rPr>
              <w:t>Section 11.13.3</w:t>
            </w:r>
            <w:r w:rsidRPr="0098244C">
              <w:rPr>
                <w:color w:val="FF0000"/>
              </w:rPr>
              <w:t xml:space="preserve"> </w:t>
            </w:r>
            <w:r>
              <w:t>for details).</w:t>
            </w:r>
          </w:p>
        </w:tc>
        <w:tc>
          <w:tcPr>
            <w:tcW w:w="885" w:type="dxa"/>
          </w:tcPr>
          <w:p w14:paraId="20091A78" w14:textId="77777777" w:rsidR="001B7F9A" w:rsidRDefault="001B7F9A" w:rsidP="0056487E">
            <w:pPr>
              <w:pStyle w:val="KeinLeerraum"/>
            </w:pPr>
            <w:r>
              <w:t>11.13.5</w:t>
            </w:r>
          </w:p>
        </w:tc>
      </w:tr>
      <w:tr w:rsidR="001B7F9A" w14:paraId="72D1405A" w14:textId="77777777" w:rsidTr="0056487E">
        <w:tc>
          <w:tcPr>
            <w:tcW w:w="529" w:type="dxa"/>
          </w:tcPr>
          <w:p w14:paraId="4BDF1AAC" w14:textId="77777777" w:rsidR="001B7F9A" w:rsidRDefault="001B7F9A" w:rsidP="0056487E">
            <w:pPr>
              <w:pStyle w:val="KeinLeerraum"/>
            </w:pPr>
            <w:r>
              <w:t>55</w:t>
            </w:r>
          </w:p>
        </w:tc>
        <w:tc>
          <w:tcPr>
            <w:tcW w:w="8208" w:type="dxa"/>
          </w:tcPr>
          <w:p w14:paraId="490F116D" w14:textId="77777777" w:rsidR="001B7F9A" w:rsidRDefault="001B7F9A" w:rsidP="0056487E">
            <w:pPr>
              <w:pStyle w:val="KeinLeerraum"/>
            </w:pPr>
            <w:r w:rsidRPr="003C56A6">
              <w:rPr>
                <w:b/>
                <w:color w:val="F79646" w:themeColor="accent6"/>
              </w:rPr>
              <w:t>BECCS</w:t>
            </w:r>
            <w:r>
              <w:t xml:space="preserve"> may also affect the cost-effective emissions trajectory (Richels et al., In Review; Rose et al., 2013).</w:t>
            </w:r>
          </w:p>
        </w:tc>
        <w:tc>
          <w:tcPr>
            <w:tcW w:w="885" w:type="dxa"/>
          </w:tcPr>
          <w:p w14:paraId="621C4D60" w14:textId="77777777" w:rsidR="001B7F9A" w:rsidRDefault="001B7F9A" w:rsidP="0056487E">
            <w:pPr>
              <w:pStyle w:val="KeinLeerraum"/>
            </w:pPr>
            <w:r>
              <w:t>11.13.5</w:t>
            </w:r>
          </w:p>
        </w:tc>
      </w:tr>
      <w:tr w:rsidR="001B7F9A" w14:paraId="7155407F" w14:textId="77777777" w:rsidTr="0056487E">
        <w:tc>
          <w:tcPr>
            <w:tcW w:w="529" w:type="dxa"/>
          </w:tcPr>
          <w:p w14:paraId="609EACC9" w14:textId="77777777" w:rsidR="001B7F9A" w:rsidRDefault="001B7F9A" w:rsidP="0056487E">
            <w:pPr>
              <w:pStyle w:val="KeinLeerraum"/>
            </w:pPr>
            <w:r>
              <w:t>56</w:t>
            </w:r>
          </w:p>
        </w:tc>
        <w:tc>
          <w:tcPr>
            <w:tcW w:w="8208" w:type="dxa"/>
          </w:tcPr>
          <w:p w14:paraId="42579108" w14:textId="77777777" w:rsidR="001B7F9A" w:rsidRDefault="001B7F9A" w:rsidP="0056487E">
            <w:pPr>
              <w:pStyle w:val="KeinLeerraum"/>
            </w:pPr>
            <w:r>
              <w:t xml:space="preserve">There are many mitigation options in the AFOLU sector that are already being implemented, e.g., </w:t>
            </w:r>
            <w:r w:rsidRPr="000A490D">
              <w:rPr>
                <w:b/>
                <w:color w:val="0070C0"/>
              </w:rPr>
              <w:t>afforestation</w:t>
            </w:r>
            <w:r>
              <w:t>, reducing deforestation, cropland and grazing land management, fire management, and improved livestock breeds and diets.</w:t>
            </w:r>
          </w:p>
        </w:tc>
        <w:tc>
          <w:tcPr>
            <w:tcW w:w="885" w:type="dxa"/>
          </w:tcPr>
          <w:p w14:paraId="3463BCF8" w14:textId="77777777" w:rsidR="001B7F9A" w:rsidRDefault="001B7F9A" w:rsidP="0056487E">
            <w:pPr>
              <w:pStyle w:val="KeinLeerraum"/>
            </w:pPr>
            <w:r>
              <w:t>FAQ 11.2</w:t>
            </w:r>
          </w:p>
        </w:tc>
      </w:tr>
      <w:tr w:rsidR="001B7F9A" w14:paraId="02194BAE" w14:textId="77777777" w:rsidTr="0056487E">
        <w:tc>
          <w:tcPr>
            <w:tcW w:w="529" w:type="dxa"/>
          </w:tcPr>
          <w:p w14:paraId="6E983022" w14:textId="77777777" w:rsidR="001B7F9A" w:rsidRDefault="001B7F9A" w:rsidP="0056487E">
            <w:pPr>
              <w:pStyle w:val="KeinLeerraum"/>
            </w:pPr>
            <w:r>
              <w:t>57</w:t>
            </w:r>
          </w:p>
        </w:tc>
        <w:tc>
          <w:tcPr>
            <w:tcW w:w="8208" w:type="dxa"/>
          </w:tcPr>
          <w:p w14:paraId="5F7B8D0C" w14:textId="77777777" w:rsidR="001B7F9A" w:rsidRDefault="001B7F9A" w:rsidP="0056487E">
            <w:pPr>
              <w:pStyle w:val="KeinLeerraum"/>
            </w:pPr>
            <w:r>
              <w:t xml:space="preserve">Especially, forestry mitigation options—including reduced deforestation, forest management, </w:t>
            </w:r>
            <w:r w:rsidRPr="000A490D">
              <w:rPr>
                <w:b/>
                <w:color w:val="0070C0"/>
              </w:rPr>
              <w:t>afforestation</w:t>
            </w:r>
            <w:r>
              <w:t>, and agro-forestry—are estimated to contribute 0.2–13.8 GtCO2/yr of economically viable abatement in 2030 at carbon prices up to 100 USD/tCO2eq.</w:t>
            </w:r>
          </w:p>
        </w:tc>
        <w:tc>
          <w:tcPr>
            <w:tcW w:w="885" w:type="dxa"/>
          </w:tcPr>
          <w:p w14:paraId="21DEF993" w14:textId="77777777" w:rsidR="001B7F9A" w:rsidRDefault="001B7F9A" w:rsidP="0056487E">
            <w:pPr>
              <w:pStyle w:val="KeinLeerraum"/>
            </w:pPr>
            <w:r>
              <w:t>FAQ 11.3</w:t>
            </w:r>
          </w:p>
        </w:tc>
      </w:tr>
      <w:tr w:rsidR="001B7F9A" w14:paraId="1C528297" w14:textId="77777777" w:rsidTr="0056487E">
        <w:tc>
          <w:tcPr>
            <w:tcW w:w="529" w:type="dxa"/>
          </w:tcPr>
          <w:p w14:paraId="1F790C6F" w14:textId="77777777" w:rsidR="001B7F9A" w:rsidRDefault="001B7F9A" w:rsidP="0056487E">
            <w:pPr>
              <w:pStyle w:val="KeinLeerraum"/>
            </w:pPr>
            <w:r>
              <w:t>58</w:t>
            </w:r>
          </w:p>
        </w:tc>
        <w:tc>
          <w:tcPr>
            <w:tcW w:w="8208" w:type="dxa"/>
          </w:tcPr>
          <w:p w14:paraId="01DEB6FA" w14:textId="77777777" w:rsidR="001B7F9A" w:rsidRDefault="001B7F9A" w:rsidP="0056487E">
            <w:pPr>
              <w:pStyle w:val="KeinLeerraum"/>
            </w:pPr>
            <w:r>
              <w:t xml:space="preserve">In several cases, the implementation of AFOLU mitigation measures may result in an improvement in land management and therefore have socio-economic, health, and environmental benefits: For example, reducing deforestation, reforestation, and </w:t>
            </w:r>
            <w:r w:rsidRPr="000A490D">
              <w:rPr>
                <w:b/>
                <w:color w:val="0070C0"/>
              </w:rPr>
              <w:t>afforestation</w:t>
            </w:r>
            <w:r w:rsidRPr="000A490D">
              <w:rPr>
                <w:color w:val="0070C0"/>
              </w:rPr>
              <w:t xml:space="preserve"> </w:t>
            </w:r>
            <w:r>
              <w:t>can improve local climatic conditions, water quality, biodiversity conservation, and help to restore degraded or abandoned land.</w:t>
            </w:r>
          </w:p>
        </w:tc>
        <w:tc>
          <w:tcPr>
            <w:tcW w:w="885" w:type="dxa"/>
          </w:tcPr>
          <w:p w14:paraId="581E4539" w14:textId="77777777" w:rsidR="001B7F9A" w:rsidRDefault="001B7F9A" w:rsidP="0056487E">
            <w:pPr>
              <w:pStyle w:val="KeinLeerraum"/>
            </w:pPr>
            <w:r>
              <w:t>FAQ 11.4</w:t>
            </w:r>
          </w:p>
        </w:tc>
      </w:tr>
      <w:tr w:rsidR="001B7F9A" w14:paraId="3D91579E" w14:textId="77777777" w:rsidTr="0056487E">
        <w:tc>
          <w:tcPr>
            <w:tcW w:w="529" w:type="dxa"/>
          </w:tcPr>
          <w:p w14:paraId="24688E09" w14:textId="77777777" w:rsidR="001B7F9A" w:rsidRDefault="001B7F9A" w:rsidP="0056487E">
            <w:pPr>
              <w:pStyle w:val="KeinLeerraum"/>
            </w:pPr>
            <w:r>
              <w:t>59</w:t>
            </w:r>
          </w:p>
        </w:tc>
        <w:tc>
          <w:tcPr>
            <w:tcW w:w="8208" w:type="dxa"/>
          </w:tcPr>
          <w:p w14:paraId="5A1DA511" w14:textId="77777777" w:rsidR="001B7F9A" w:rsidRDefault="001B7F9A" w:rsidP="0056487E">
            <w:r>
              <w:t xml:space="preserve">Further considerations on economic co-benefits are related to the access to carbon payments either within or outside the UNFCCC agreements and new income opportunities especially in developing countries (particularly for labour-intensive mitigation options such as </w:t>
            </w:r>
            <w:r w:rsidRPr="000A490D">
              <w:rPr>
                <w:b/>
                <w:color w:val="0070C0"/>
              </w:rPr>
              <w:t>afforestation</w:t>
            </w:r>
            <w:r>
              <w:t>).</w:t>
            </w:r>
          </w:p>
          <w:p w14:paraId="3E52670D" w14:textId="77777777" w:rsidR="001B7F9A" w:rsidRDefault="001B7F9A" w:rsidP="0056487E">
            <w:pPr>
              <w:pStyle w:val="KeinLeerraum"/>
            </w:pPr>
          </w:p>
        </w:tc>
        <w:tc>
          <w:tcPr>
            <w:tcW w:w="885" w:type="dxa"/>
          </w:tcPr>
          <w:p w14:paraId="7A482A72" w14:textId="77777777" w:rsidR="001B7F9A" w:rsidRDefault="001B7F9A" w:rsidP="0056487E">
            <w:pPr>
              <w:pStyle w:val="KeinLeerraum"/>
            </w:pPr>
            <w:r>
              <w:t>FAQ 11.4</w:t>
            </w:r>
          </w:p>
        </w:tc>
      </w:tr>
    </w:tbl>
    <w:p w14:paraId="0BDB1A26" w14:textId="77777777" w:rsidR="00CB73D4" w:rsidRDefault="00CB73D4" w:rsidP="002F68A1">
      <w:pPr>
        <w:rPr>
          <w:rStyle w:val="berschrift1Zchn"/>
        </w:rPr>
      </w:pPr>
    </w:p>
    <w:p w14:paraId="6F86DDCC" w14:textId="77777777" w:rsidR="0030392E" w:rsidRPr="0030392E" w:rsidRDefault="0030392E" w:rsidP="00E416DF">
      <w:pPr>
        <w:pStyle w:val="berschrift2"/>
        <w:rPr>
          <w:rStyle w:val="berschrift1Zchn"/>
          <w:b/>
          <w:color w:val="4F81BD" w:themeColor="accent1"/>
          <w:sz w:val="26"/>
          <w:szCs w:val="26"/>
        </w:rPr>
      </w:pPr>
      <w:bookmarkStart w:id="55" w:name="_Toc525298488"/>
      <w:r w:rsidRPr="0030392E">
        <w:rPr>
          <w:rStyle w:val="berschrift1Zchn"/>
          <w:b/>
          <w:color w:val="4F81BD" w:themeColor="accent1"/>
          <w:sz w:val="26"/>
          <w:szCs w:val="26"/>
        </w:rPr>
        <w:t>Executive Summary</w:t>
      </w:r>
      <w:bookmarkEnd w:id="55"/>
    </w:p>
    <w:p w14:paraId="23F7CB94" w14:textId="77777777" w:rsidR="0030392E" w:rsidRPr="00DE2584" w:rsidRDefault="0030392E" w:rsidP="0030392E">
      <w:r>
        <w:t xml:space="preserve">The AFOLU sector is responsible for just under a quarter (~10–12 GtCO2eq/yr) of anthropogenic GHG emissions mainly from deforestation and agricultural emissions from livestock, soil and nutrient management (robust evidence; high agreement) </w:t>
      </w:r>
      <w:r w:rsidRPr="00126167">
        <w:rPr>
          <w:b/>
          <w:color w:val="FF0000"/>
        </w:rPr>
        <w:t>[11.2]</w:t>
      </w:r>
      <w:r>
        <w:t xml:space="preserve">. Anthropogenic forest degradation and biomass burning (forest fires and agricultural burning) also represent relevant contributions. Annual GHG emissions from agricultural production in 2000–2010 were estimated at 5.0–5.8 GtCO2eq/yr while annual GHG flux from land use and land-use change activities accounted for approximately 4.3–5.5 GtCO2eq/yr. Leveraging the mitigation potential in the sector is extremely important in meeting emission reduction targets (robust evidence; high agreement) </w:t>
      </w:r>
      <w:r w:rsidRPr="00126167">
        <w:rPr>
          <w:b/>
          <w:color w:val="FF0000"/>
        </w:rPr>
        <w:t>[11.9]</w:t>
      </w:r>
      <w:r>
        <w:t>. Since publication of the IPCC Fourth Assessment Report (AR4), emissions from the AFOLU sector have remained similar but the share of anthropogenic emissions has decreased to 24% (in 2010), largely due to increases in emissions in the energy sector (robust evidence, high agreement</w:t>
      </w:r>
      <w:r w:rsidRPr="00CC3028">
        <w:rPr>
          <w:b/>
        </w:rPr>
        <w:t xml:space="preserve">). In spite of a large range across global Forestry and Other Land Use (FOLU) flux estimates, most approaches indicate a decline in FOLU carbon dioxide </w:t>
      </w:r>
      <w:r w:rsidRPr="00CC3028">
        <w:rPr>
          <w:b/>
        </w:rPr>
        <w:lastRenderedPageBreak/>
        <w:t xml:space="preserve">(CO2) emissions over the most recent years, largely due to decreasing deforestation rates and increased </w:t>
      </w:r>
      <w:r w:rsidRPr="00CC3028">
        <w:rPr>
          <w:b/>
          <w:color w:val="0070C0"/>
        </w:rPr>
        <w:t xml:space="preserve">afforestation </w:t>
      </w:r>
      <w:r w:rsidRPr="00CC3028">
        <w:rPr>
          <w:b/>
        </w:rPr>
        <w:t xml:space="preserve">(limited evidence, medium agreement). </w:t>
      </w:r>
      <w:r>
        <w:t xml:space="preserve">As in AR4, most projections suggest declining annual net CO2 emissions in the long run. In part, this is driven by technological change, as well as projected declining rates of agriculture area expansion, which, in turn, is related to the expected slowing in population growth. However, unlike AR4, none of the more recent scenarios projects growth in the near-term </w:t>
      </w:r>
      <w:r w:rsidRPr="00DE2584">
        <w:t>[11.9].</w:t>
      </w:r>
    </w:p>
    <w:p w14:paraId="7449B8F7" w14:textId="77777777" w:rsidR="00126167" w:rsidRDefault="00126167" w:rsidP="0030392E">
      <w:r>
        <w:t xml:space="preserve">Economic mitigation potential of supply-side measures in the AFOLU sector is estimated to be 7.18 to 10.60 (full range: 0.49–10.60) GtCO2eq/yr in 2030 for mitigation efforts consistent with carbon prices up to 100 USD/tCO2eq, about a third of which can be achieved at 20 USD/tCO2eq (medium evidence; medium agreement) </w:t>
      </w:r>
      <w:r w:rsidRPr="00DE2584">
        <w:t>[11.6]</w:t>
      </w:r>
      <w:r>
        <w:t xml:space="preserve">. These estimates are based on studies that cover both forestry and agriculture and that include agricultural soil carbon sequestration. Estimates from agricultural sector-only studies range from 0.3 to 4.6 GtCO2eq/yr at prices up to 100 USD/tCO2eq, and estimates from forestry sector-only studies from 0.2 to 13.8 GtCO2eq/yr at prices up to 100 USD/tCO2eq (medium evidence; medium agreement) </w:t>
      </w:r>
      <w:r w:rsidRPr="00DE2584">
        <w:t>[11.6]</w:t>
      </w:r>
      <w:r>
        <w:t xml:space="preserve">. The large range in the estimates arises due to widely different collections of options considered in each study, and because not all GHGs are considered in all of the studies. The composition of the agricultural mitigation portfolio varies with the carbon price, with the restoration of organic soils having the greatest potential at higher carbon prices (100 USD/tCO2eq) and cropland and grazing land management at lower (20 USD/tCO2eq). In forestry there is less difference between measures at different carbon prices, but there are significant differences between regions, with reduced deforestation dominating the forestry mitigation potential in Latin America and Caribbean (LAM) and Middle East and Africa (MAF), but very little potential in the member countries of the Organisation for Economic Co-operation and Development (OECD-1990) and Economies in Transition (EIT). </w:t>
      </w:r>
      <w:r w:rsidRPr="00CC3028">
        <w:rPr>
          <w:b/>
        </w:rPr>
        <w:t xml:space="preserve">Forest management, followed by </w:t>
      </w:r>
      <w:r w:rsidRPr="00CC3028">
        <w:rPr>
          <w:b/>
          <w:color w:val="0070C0"/>
        </w:rPr>
        <w:t>afforestation</w:t>
      </w:r>
      <w:r w:rsidRPr="00CC3028">
        <w:rPr>
          <w:b/>
        </w:rPr>
        <w:t xml:space="preserve">, dominate in OECD-1990, EIT, and Asia (medium evidence, strong agreement) </w:t>
      </w:r>
      <w:r w:rsidRPr="00CC3028">
        <w:rPr>
          <w:b/>
          <w:color w:val="FF0000"/>
        </w:rPr>
        <w:t>[11.6]</w:t>
      </w:r>
      <w:r w:rsidRPr="00CC3028">
        <w:rPr>
          <w:b/>
        </w:rPr>
        <w:t>.</w:t>
      </w:r>
      <w:r>
        <w:t xml:space="preserve"> Among demand-side measures, which are under-researched compared to supply-side measures, changes in diet and reductions of losses in the food supply chain can have a significant, but uncertain, potential to reduce GHG emissions from food production (0.76–8.55 GtCO2eq/yr by 2050), with the range being determined by assumptions about how the freed land is used (limited evidence; medium agreement) </w:t>
      </w:r>
      <w:r w:rsidRPr="00227A97">
        <w:t>[11.4]</w:t>
      </w:r>
      <w:r>
        <w:t xml:space="preserve">. More research into demand-side mitigation options is merited. There are significant regional differences in terms of mitigation potential, costs, and applicability, due to differing local biophysical, socioeconomic, and cultural circumstances, for instance between developed and developing regions, and among developing regions (medium evidence; high agreement) </w:t>
      </w:r>
      <w:r w:rsidRPr="00227A97">
        <w:t>[11.6]</w:t>
      </w:r>
      <w:r>
        <w:t>.</w:t>
      </w:r>
    </w:p>
    <w:p w14:paraId="4B49D184" w14:textId="77777777" w:rsidR="009B5DF2" w:rsidRPr="009B5DF2" w:rsidRDefault="009B5DF2" w:rsidP="009B5DF2">
      <w:pPr>
        <w:pStyle w:val="berschrift2"/>
        <w:rPr>
          <w:rStyle w:val="berschrift1Zchn"/>
          <w:b/>
          <w:color w:val="4F81BD" w:themeColor="accent1"/>
          <w:sz w:val="26"/>
          <w:szCs w:val="26"/>
        </w:rPr>
      </w:pPr>
      <w:bookmarkStart w:id="56" w:name="_Toc525298489"/>
      <w:r w:rsidRPr="009B5DF2">
        <w:rPr>
          <w:rStyle w:val="berschrift1Zchn"/>
          <w:b/>
          <w:color w:val="4F81BD" w:themeColor="accent1"/>
          <w:sz w:val="26"/>
          <w:szCs w:val="26"/>
        </w:rPr>
        <w:t>11.1 Introduction</w:t>
      </w:r>
      <w:bookmarkEnd w:id="56"/>
    </w:p>
    <w:p w14:paraId="69F7A378" w14:textId="77777777" w:rsidR="0030392E" w:rsidRDefault="009B5DF2" w:rsidP="0030392E">
      <w:r>
        <w:t xml:space="preserve">Agriculture, Forestry, and Other Land Use (AFOLU1 ) plays a central role for food security and sustainable development </w:t>
      </w:r>
      <w:r w:rsidRPr="00CC3028">
        <w:t>(Section 11.9)</w:t>
      </w:r>
      <w:r>
        <w:t xml:space="preserve">. Plants take up carbon dioxide (CO2) from the atmosphere and nitrogen (N) from the soil when they grow, re-distributing it among different pools, including above and below-ground living biomass, dead residues, and soil organic matter. The CO2 and other non-CO2 greenhouse gases (GHG), largely methane (CH4) and nitrous oxide (N2O), are in turn released to the atmosphere by plant respiration, by decomposition of dead plant biomass and soil organic matter, and by combustion </w:t>
      </w:r>
      <w:r w:rsidRPr="00CC3028">
        <w:t>(Section 11.2)</w:t>
      </w:r>
      <w:r>
        <w:t xml:space="preserve">. </w:t>
      </w:r>
      <w:r w:rsidRPr="00CC3028">
        <w:rPr>
          <w:b/>
        </w:rPr>
        <w:t xml:space="preserve">Anthropogenic land-use activities (e.g., management of croplands, forests, grasslands, wetlands), and changes in land use/cover (e.g., conversion of forest lands and grasslands to cropland </w:t>
      </w:r>
      <w:r w:rsidRPr="00CC3028">
        <w:rPr>
          <w:b/>
        </w:rPr>
        <w:lastRenderedPageBreak/>
        <w:t xml:space="preserve">and pasture, </w:t>
      </w:r>
      <w:r w:rsidRPr="00CC3028">
        <w:rPr>
          <w:b/>
          <w:color w:val="0070C0"/>
        </w:rPr>
        <w:t>afforestation</w:t>
      </w:r>
      <w:r w:rsidRPr="00CC3028">
        <w:rPr>
          <w:b/>
        </w:rPr>
        <w:t xml:space="preserve">) cause changes superimposed on these natural fluxes. AFOLU activities lead to both sources of CO2 (e.g., deforestation, peatland drainage) and sinks of CO2 (e.g., </w:t>
      </w:r>
      <w:r w:rsidRPr="00CC3028">
        <w:rPr>
          <w:b/>
          <w:color w:val="0070C0"/>
        </w:rPr>
        <w:t>afforestation</w:t>
      </w:r>
      <w:r w:rsidRPr="00CC3028">
        <w:rPr>
          <w:b/>
        </w:rPr>
        <w:t xml:space="preserve">, management for soil carbon sequestration), and to non-CO2 emissions primarily from agriculture (e.g., CH4 from livestock and rice cultivation, N2O from manure storage and agricultural soils and biomass burning </w:t>
      </w:r>
      <w:r w:rsidRPr="00CC3028">
        <w:rPr>
          <w:b/>
          <w:color w:val="FF0000"/>
        </w:rPr>
        <w:t>(Section 11.2)</w:t>
      </w:r>
      <w:r w:rsidRPr="00CC3028">
        <w:rPr>
          <w:b/>
        </w:rPr>
        <w:t>.</w:t>
      </w:r>
    </w:p>
    <w:p w14:paraId="5C472FB9" w14:textId="77777777" w:rsidR="009B5DF2" w:rsidRPr="007318C7" w:rsidRDefault="009B5DF2" w:rsidP="007318C7">
      <w:pPr>
        <w:pStyle w:val="berschrift4"/>
        <w:rPr>
          <w:rStyle w:val="berschrift1Zchn"/>
          <w:b/>
          <w:bCs/>
          <w:color w:val="4F81BD" w:themeColor="accent1"/>
          <w:sz w:val="22"/>
          <w:szCs w:val="22"/>
        </w:rPr>
      </w:pPr>
      <w:r w:rsidRPr="007318C7">
        <w:rPr>
          <w:rStyle w:val="berschrift1Zchn"/>
          <w:b/>
          <w:bCs/>
          <w:color w:val="4F81BD" w:themeColor="accent1"/>
          <w:sz w:val="22"/>
          <w:szCs w:val="22"/>
        </w:rPr>
        <w:t>Figure 11.8</w:t>
      </w:r>
    </w:p>
    <w:p w14:paraId="31FEB316" w14:textId="77777777" w:rsidR="00A10F51" w:rsidRPr="00A10F51" w:rsidRDefault="00A10F51" w:rsidP="00A10F51">
      <w:pPr>
        <w:pStyle w:val="berschrift2"/>
        <w:rPr>
          <w:rStyle w:val="berschrift1Zchn"/>
          <w:b/>
          <w:color w:val="4F81BD" w:themeColor="accent1"/>
          <w:sz w:val="26"/>
          <w:szCs w:val="26"/>
        </w:rPr>
      </w:pPr>
      <w:bookmarkStart w:id="57" w:name="_Toc525298490"/>
      <w:r w:rsidRPr="00A10F51">
        <w:rPr>
          <w:rStyle w:val="berschrift1Zchn"/>
          <w:b/>
          <w:color w:val="4F81BD" w:themeColor="accent1"/>
          <w:sz w:val="26"/>
          <w:szCs w:val="26"/>
        </w:rPr>
        <w:t>11.3 Mitigation technology options and practices, and behavioural aspects</w:t>
      </w:r>
      <w:bookmarkEnd w:id="57"/>
    </w:p>
    <w:p w14:paraId="13291588" w14:textId="77777777" w:rsidR="00A10F51" w:rsidRDefault="00A10F51" w:rsidP="00E416DF">
      <w:pPr>
        <w:pStyle w:val="berschrift2"/>
        <w:rPr>
          <w:rFonts w:asciiTheme="minorHAnsi" w:eastAsiaTheme="minorHAnsi" w:hAnsiTheme="minorHAnsi" w:cstheme="minorBidi"/>
          <w:b w:val="0"/>
          <w:bCs w:val="0"/>
          <w:color w:val="auto"/>
          <w:sz w:val="22"/>
          <w:szCs w:val="22"/>
        </w:rPr>
      </w:pPr>
      <w:bookmarkStart w:id="58" w:name="_Toc525298491"/>
      <w:r w:rsidRPr="00A10F51">
        <w:rPr>
          <w:rFonts w:asciiTheme="minorHAnsi" w:eastAsiaTheme="minorHAnsi" w:hAnsiTheme="minorHAnsi" w:cstheme="minorBidi"/>
          <w:b w:val="0"/>
          <w:bCs w:val="0"/>
          <w:color w:val="auto"/>
          <w:sz w:val="22"/>
          <w:szCs w:val="22"/>
        </w:rPr>
        <w:t xml:space="preserve">Mitigation activities in the AFOLU sector can reduce climate forcing in different ways: • Reductions in CH4 or N2O emissions from croplands, grazing lands, and livestock. • Conservation of existing carbon stocks, e.g., conservation of forest biomass, peatlands, and soil carbon that would otherwise be lost. • Reductions of carbon losses from biota and soils, e.g., through management changes within the same land-use type (e.g., reducing soil carbon loss by switching from tillage to no-till cropping) or by reducing losses of carbon-rich ecosystems, e.g., reduced deforestation, rewetting of drained peatlands. • </w:t>
      </w:r>
      <w:r w:rsidRPr="00CC3028">
        <w:rPr>
          <w:rFonts w:asciiTheme="minorHAnsi" w:eastAsiaTheme="minorHAnsi" w:hAnsiTheme="minorHAnsi" w:cstheme="minorBidi"/>
          <w:bCs w:val="0"/>
          <w:color w:val="auto"/>
          <w:sz w:val="22"/>
          <w:szCs w:val="22"/>
        </w:rPr>
        <w:t>Enhancement of carbon sequestration in soils, biota, and longlived products through increases in the area of carbon-rich ecosystems such as forests (</w:t>
      </w:r>
      <w:r w:rsidRPr="00CC3028">
        <w:rPr>
          <w:rFonts w:asciiTheme="minorHAnsi" w:eastAsiaTheme="minorHAnsi" w:hAnsiTheme="minorHAnsi" w:cstheme="minorBidi"/>
          <w:bCs w:val="0"/>
          <w:color w:val="0070C0"/>
          <w:sz w:val="22"/>
          <w:szCs w:val="22"/>
        </w:rPr>
        <w:t>afforestation</w:t>
      </w:r>
      <w:r w:rsidRPr="00CC3028">
        <w:rPr>
          <w:rFonts w:asciiTheme="minorHAnsi" w:eastAsiaTheme="minorHAnsi" w:hAnsiTheme="minorHAnsi" w:cstheme="minorBidi"/>
          <w:bCs w:val="0"/>
          <w:color w:val="auto"/>
          <w:sz w:val="22"/>
          <w:szCs w:val="22"/>
        </w:rPr>
        <w:t>, reforestation), increased carbon storage per unit area, e.g., increased stocking density in forests, carbon sequestration in soils, and wood use in construction activities.</w:t>
      </w:r>
      <w:r w:rsidRPr="00A10F51">
        <w:rPr>
          <w:rFonts w:asciiTheme="minorHAnsi" w:eastAsiaTheme="minorHAnsi" w:hAnsiTheme="minorHAnsi" w:cstheme="minorBidi"/>
          <w:b w:val="0"/>
          <w:bCs w:val="0"/>
          <w:color w:val="auto"/>
          <w:sz w:val="22"/>
          <w:szCs w:val="22"/>
        </w:rPr>
        <w:t xml:space="preserve"> • Changes in albedo resulting from land-use and land-cover change that increase reflection of visible light. • Provision of products with low GHG emissions that can replace products with higher GHG emissions for delivering the same service (e.g., replacement of concrete and steel in buildings with wood, some bioenergy options; see Section 11.13). • Reductions of direct (e.g., agricultural machinery, pumps, fishing craft) or indirect (e.g., production of fertilizers, emissions resulting from fossil energy use in agriculture, fisheries, aquaculture, and forestry or from production of inputs); though indirect emission reductions are accounted for in the energy end-use sectors (buildings, industry, energy generation, transport) so are not discussed further in detail in this chapter.</w:t>
      </w:r>
      <w:bookmarkEnd w:id="58"/>
    </w:p>
    <w:p w14:paraId="2A2BC146" w14:textId="77777777" w:rsidR="00A10F51" w:rsidRPr="007318C7" w:rsidRDefault="00A10F51" w:rsidP="007318C7">
      <w:pPr>
        <w:pStyle w:val="berschrift4"/>
        <w:rPr>
          <w:rStyle w:val="berschrift1Zchn"/>
          <w:b/>
          <w:bCs/>
          <w:color w:val="4F81BD" w:themeColor="accent1"/>
          <w:sz w:val="22"/>
          <w:szCs w:val="22"/>
        </w:rPr>
      </w:pPr>
      <w:r w:rsidRPr="007318C7">
        <w:rPr>
          <w:rStyle w:val="berschrift1Zchn"/>
          <w:b/>
          <w:bCs/>
          <w:color w:val="4F81BD" w:themeColor="accent1"/>
          <w:sz w:val="22"/>
          <w:szCs w:val="22"/>
        </w:rPr>
        <w:t>Table 11.2</w:t>
      </w:r>
    </w:p>
    <w:p w14:paraId="6BA25D1D" w14:textId="77777777" w:rsidR="00A10F51" w:rsidRDefault="00A10F51" w:rsidP="00A10F51">
      <w:pPr>
        <w:pStyle w:val="berschrift2"/>
        <w:rPr>
          <w:rStyle w:val="berschrift1Zchn"/>
          <w:b/>
          <w:color w:val="4F81BD" w:themeColor="accent1"/>
          <w:sz w:val="26"/>
          <w:szCs w:val="26"/>
        </w:rPr>
      </w:pPr>
      <w:bookmarkStart w:id="59" w:name="_Toc525298492"/>
      <w:r w:rsidRPr="00A10F51">
        <w:rPr>
          <w:rStyle w:val="berschrift1Zchn"/>
          <w:b/>
          <w:color w:val="4F81BD" w:themeColor="accent1"/>
          <w:sz w:val="26"/>
          <w:szCs w:val="26"/>
        </w:rPr>
        <w:t>11.3.2 Mitigation effectiveness (non-permanence: saturation, human and natural impacts, displacement)</w:t>
      </w:r>
      <w:bookmarkEnd w:id="59"/>
    </w:p>
    <w:p w14:paraId="4EDB14B3" w14:textId="77777777" w:rsidR="00A10F51" w:rsidRDefault="00A10F51" w:rsidP="00A10F51">
      <w:pPr>
        <w:rPr>
          <w:b/>
        </w:rPr>
      </w:pPr>
      <w:r>
        <w:t xml:space="preserve">Non-permanence/reversibility. Reversals are the release of previously sequestered carbon, which negates some or all of the benefits from sequestration that has occurred in previous years. This issue is sometimes referred to as ‘non-permanence’ (Smith, 2005). </w:t>
      </w:r>
      <w:r w:rsidRPr="00CC3028">
        <w:rPr>
          <w:b/>
        </w:rPr>
        <w:t xml:space="preserve">Various types of carbon sinks (e.g., </w:t>
      </w:r>
      <w:r w:rsidRPr="00CC3028">
        <w:rPr>
          <w:b/>
          <w:color w:val="0070C0"/>
        </w:rPr>
        <w:t>afforestation</w:t>
      </w:r>
      <w:r w:rsidRPr="00CC3028">
        <w:rPr>
          <w:b/>
        </w:rPr>
        <w:t>/reforestation, agricultural soil C) have an inherent risk of future reversals.</w:t>
      </w:r>
    </w:p>
    <w:p w14:paraId="45B5F7E9" w14:textId="77777777" w:rsidR="00AB5DF4" w:rsidRPr="00AB5DF4" w:rsidRDefault="00AB5DF4" w:rsidP="00A10F51">
      <w:pPr>
        <w:rPr>
          <w:rStyle w:val="berschrift1Zchn"/>
          <w:b w:val="0"/>
          <w:color w:val="4F81BD" w:themeColor="accent1"/>
          <w:sz w:val="26"/>
          <w:szCs w:val="26"/>
        </w:rPr>
      </w:pPr>
      <w:r w:rsidRPr="00AB5DF4">
        <w:rPr>
          <w:rStyle w:val="berschrift1Zchn"/>
          <w:color w:val="4F81BD" w:themeColor="accent1"/>
          <w:sz w:val="26"/>
          <w:szCs w:val="26"/>
        </w:rPr>
        <w:t>Box 11.5 | Bioenergy</w:t>
      </w:r>
    </w:p>
    <w:p w14:paraId="70F47A29" w14:textId="77777777" w:rsidR="00AB5DF4" w:rsidRDefault="00477662" w:rsidP="00A10F51">
      <w:r w:rsidRPr="005B52D4">
        <w:rPr>
          <w:b/>
          <w:color w:val="FFC000"/>
        </w:rPr>
        <w:t xml:space="preserve">Coupling bioenergy and CCS (BECCS) </w:t>
      </w:r>
      <w:r w:rsidRPr="005B52D4">
        <w:rPr>
          <w:b/>
        </w:rPr>
        <w:t>has attracted particular attention since AR4 because it offers the prospect of negative emissions.</w:t>
      </w:r>
      <w:r w:rsidRPr="00477662">
        <w:rPr>
          <w:b/>
        </w:rPr>
        <w:t xml:space="preserve"> Until 2050, the economic potential is estimated to be between 2–10 GtCO2 per year. Some climate stabilization scenarios see considerable higher deployment towards the end of the century, even in some 580–650 ppm scenarios, operating under different time scales, socioeconomic assumptions, technology portfolios, CO2 prices, and interpreting </w:t>
      </w:r>
      <w:r w:rsidRPr="00477662">
        <w:rPr>
          <w:b/>
          <w:color w:val="FFC000"/>
        </w:rPr>
        <w:t>BECCS</w:t>
      </w:r>
      <w:r w:rsidRPr="00477662">
        <w:rPr>
          <w:b/>
        </w:rPr>
        <w:t xml:space="preserve"> as part of an overall mitigation framework</w:t>
      </w:r>
      <w:r w:rsidRPr="005B52D4">
        <w:rPr>
          <w:b/>
        </w:rPr>
        <w:t xml:space="preserve">. Technological challenges and potential risks of </w:t>
      </w:r>
      <w:r w:rsidRPr="005B52D4">
        <w:rPr>
          <w:b/>
          <w:color w:val="FFC000"/>
        </w:rPr>
        <w:t>BECCS</w:t>
      </w:r>
      <w:r w:rsidRPr="005B52D4">
        <w:rPr>
          <w:b/>
        </w:rPr>
        <w:t xml:space="preserve"> include those </w:t>
      </w:r>
      <w:r w:rsidRPr="005B52D4">
        <w:rPr>
          <w:b/>
        </w:rPr>
        <w:lastRenderedPageBreak/>
        <w:t>associated with the provision of the biomass feedstock as well as with the capture, transport and longterm underground storage of CO2.</w:t>
      </w:r>
      <w:r>
        <w:t xml:space="preserve"> </w:t>
      </w:r>
      <w:r w:rsidRPr="005B52D4">
        <w:rPr>
          <w:b/>
          <w:color w:val="FFC000"/>
        </w:rPr>
        <w:t>BECCS</w:t>
      </w:r>
      <w:r w:rsidRPr="005B52D4">
        <w:rPr>
          <w:b/>
        </w:rPr>
        <w:t xml:space="preserve"> faces large challenges in financing and currently no such plants have been built and tested at scale (</w:t>
      </w:r>
      <w:r w:rsidRPr="005B52D4">
        <w:rPr>
          <w:b/>
          <w:color w:val="FF0000"/>
        </w:rPr>
        <w:t>Sections 7.5.5, 7.9, 11.13.3</w:t>
      </w:r>
      <w:r w:rsidRPr="005B52D4">
        <w:rPr>
          <w:b/>
        </w:rPr>
        <w:t>).</w:t>
      </w:r>
    </w:p>
    <w:p w14:paraId="6DFF72E6" w14:textId="77777777" w:rsidR="005B119A" w:rsidRPr="005B119A" w:rsidRDefault="005B119A" w:rsidP="00A10F51">
      <w:pPr>
        <w:rPr>
          <w:rStyle w:val="berschrift1Zchn"/>
          <w:color w:val="4F81BD" w:themeColor="accent1"/>
          <w:sz w:val="26"/>
          <w:szCs w:val="26"/>
        </w:rPr>
      </w:pPr>
      <w:r w:rsidRPr="005B119A">
        <w:rPr>
          <w:rStyle w:val="berschrift1Zchn"/>
          <w:color w:val="4F81BD" w:themeColor="accent1"/>
          <w:sz w:val="26"/>
          <w:szCs w:val="26"/>
        </w:rPr>
        <w:t>11.4.3 Demand-side options for reducing GHG emissions from AFOLU</w:t>
      </w:r>
    </w:p>
    <w:p w14:paraId="7BE7D311" w14:textId="77777777" w:rsidR="00A10F51" w:rsidRDefault="005B119A" w:rsidP="00A10F51">
      <w:r w:rsidRPr="00CC3028">
        <w:rPr>
          <w:b/>
        </w:rPr>
        <w:t xml:space="preserve">Some changes in demand for food and fibre can reduce GHG emissions in the production chain (Table 11.3) through (i) a switch to the consumption of products with higher GHG emissions in the process chain to products with lower GHG emissions and (ii) by making land available for other GHG reduction activities e.g., </w:t>
      </w:r>
      <w:r w:rsidRPr="00CC3028">
        <w:rPr>
          <w:b/>
          <w:color w:val="0070C0"/>
        </w:rPr>
        <w:t xml:space="preserve">afforestation </w:t>
      </w:r>
      <w:r w:rsidRPr="00CC3028">
        <w:rPr>
          <w:b/>
        </w:rPr>
        <w:t>or bioenergy (</w:t>
      </w:r>
      <w:r w:rsidRPr="00CC3028">
        <w:rPr>
          <w:b/>
          <w:color w:val="FF0000"/>
        </w:rPr>
        <w:t>Section 11.4.4</w:t>
      </w:r>
      <w:r w:rsidRPr="00CC3028">
        <w:rPr>
          <w:b/>
        </w:rPr>
        <w:t>).</w:t>
      </w:r>
      <w:r>
        <w:t xml:space="preserve"> Food demand change is a sensitive issue due to the prevalence of hunger, malnutrition, and the lack of food security in many regions (Godfray et al., 2010). Sufficient production of, and equitable access to, food are both critical for food security (Misselhorn et al., 2012). GHG emissions may be reduced through changes in food demand without jeopardizing health and well-being by (1) reducing losses and wastes of food in the supply chain as well as during final consumption; (2) changing diets towards less GHG-intensive food, e.g., substitution of animal products with plant-based food, while quantitatively and qualitatively maintaining adequate protein content, in regions with high animal product consumption; and (3) reduction of overconsumption in regions where this is prevalent. Substituting plant-based diets for animal-based diets is complex since, in many circumstances, livestock can be fed on plants not suitable for human consumption or growing on land with high soil carbon stocks not suitable for cropping; hence, food production by grazing animals contributes to food security in many regions of the world (Wirsenius, 2003; Gill et al., 2010).</w:t>
      </w:r>
    </w:p>
    <w:p w14:paraId="07993A93" w14:textId="77777777" w:rsidR="00AB30D7" w:rsidRPr="007318C7" w:rsidRDefault="00AB30D7" w:rsidP="007318C7">
      <w:pPr>
        <w:pStyle w:val="berschrift4"/>
        <w:rPr>
          <w:rStyle w:val="berschrift1Zchn"/>
          <w:b/>
          <w:bCs/>
          <w:color w:val="4F81BD" w:themeColor="accent1"/>
          <w:sz w:val="22"/>
          <w:szCs w:val="22"/>
        </w:rPr>
      </w:pPr>
      <w:r w:rsidRPr="007318C7">
        <w:rPr>
          <w:rStyle w:val="berschrift1Zchn"/>
          <w:b/>
          <w:bCs/>
          <w:color w:val="4F81BD" w:themeColor="accent1"/>
          <w:sz w:val="22"/>
          <w:szCs w:val="22"/>
        </w:rPr>
        <w:t>Table 11.4</w:t>
      </w:r>
    </w:p>
    <w:p w14:paraId="1C68D592" w14:textId="77777777" w:rsidR="00AB30D7" w:rsidRPr="00AB30D7" w:rsidRDefault="00AB30D7" w:rsidP="00AB30D7">
      <w:pPr>
        <w:pStyle w:val="berschrift2"/>
        <w:rPr>
          <w:rStyle w:val="berschrift1Zchn"/>
          <w:b/>
          <w:color w:val="4F81BD" w:themeColor="accent1"/>
          <w:sz w:val="26"/>
          <w:szCs w:val="26"/>
        </w:rPr>
      </w:pPr>
      <w:bookmarkStart w:id="60" w:name="_Toc525298493"/>
      <w:r w:rsidRPr="00AB30D7">
        <w:rPr>
          <w:rStyle w:val="berschrift1Zchn"/>
          <w:b/>
          <w:color w:val="4F81BD" w:themeColor="accent1"/>
          <w:sz w:val="26"/>
          <w:szCs w:val="26"/>
        </w:rPr>
        <w:t>11.4.4 Feedbacks of changes in land demand</w:t>
      </w:r>
      <w:bookmarkEnd w:id="60"/>
    </w:p>
    <w:p w14:paraId="7CD61668" w14:textId="77777777" w:rsidR="00AB30D7" w:rsidRPr="00AB30D7" w:rsidRDefault="00AB30D7" w:rsidP="00AB30D7">
      <w:r w:rsidRPr="00CC3028">
        <w:rPr>
          <w:b/>
          <w:color w:val="FF0000"/>
        </w:rPr>
        <w:t>Table 11.4</w:t>
      </w:r>
      <w:r w:rsidRPr="00CC3028">
        <w:rPr>
          <w:b/>
        </w:rPr>
        <w:t xml:space="preserve"> shows that demand-side options save GHG by freeing up land for bioenergy or </w:t>
      </w:r>
      <w:r w:rsidRPr="00CC3028">
        <w:rPr>
          <w:b/>
          <w:color w:val="0070C0"/>
        </w:rPr>
        <w:t>afforestation</w:t>
      </w:r>
      <w:r w:rsidRPr="00CC3028">
        <w:rPr>
          <w:b/>
        </w:rPr>
        <w:t xml:space="preserve"> and related carbon sequestration.</w:t>
      </w:r>
      <w:r>
        <w:t xml:space="preserve"> The effect is strong and non-linear, and more than cancels out reduced C sequestration potentials on farmland. Demand-side potentials are substantial compared to supply-side mitigation potentials (Section 11.3), but implementation may be difficult (Sections 11.7; 11.8). Estimates of GHG savings from bioenergy are subject to large uncertainties related to the assumptions regarding power plants, utilization pathway, energy crop yields, and effectiveness of sustainability criteria (Sections 11.4.5; 11.7; 11.13).</w:t>
      </w:r>
    </w:p>
    <w:p w14:paraId="3C2681DA" w14:textId="77777777" w:rsidR="00A10F51" w:rsidRPr="00CC3028" w:rsidRDefault="00AB30D7" w:rsidP="00A10F51">
      <w:pPr>
        <w:rPr>
          <w:b/>
        </w:rPr>
      </w:pPr>
      <w:r w:rsidRPr="00CC3028">
        <w:rPr>
          <w:b/>
        </w:rPr>
        <w:t xml:space="preserve">The systemic effects of land-demanding mitigation options such as bioenergy or </w:t>
      </w:r>
      <w:r w:rsidRPr="00CC3028">
        <w:rPr>
          <w:b/>
          <w:color w:val="0070C0"/>
        </w:rPr>
        <w:t xml:space="preserve">afforestation </w:t>
      </w:r>
      <w:r w:rsidRPr="00CC3028">
        <w:rPr>
          <w:b/>
        </w:rPr>
        <w:t>depend not only on their own area demand, but also on land demand for food and fibre supply (Chum et al., 2011; Coelho et al., 2012; Erb et al., 2012b).</w:t>
      </w:r>
      <w:r>
        <w:t xml:space="preserve"> In 2007, energy crops for transport fuels covered about 26.6 Mha or 1.7% of global cropland (UNEP, 2009). Assumptions on energy crop yields (Section 11.13) are the main reason for the large differences in estimates of future area demand of energy crops in the next decades, which vary from  1000 Mha, i.e., 7–70% of current cropland (Sims et al., 2006; Smeets et al., 2007; Pacca and Moreira, 2011; Coelho et al., 2012). </w:t>
      </w:r>
      <w:r w:rsidRPr="00CC3028">
        <w:rPr>
          <w:b/>
        </w:rPr>
        <w:t xml:space="preserve">Increased pressure on land systems may also emerge when </w:t>
      </w:r>
      <w:r w:rsidRPr="00CC3028">
        <w:rPr>
          <w:b/>
          <w:color w:val="0070C0"/>
        </w:rPr>
        <w:t xml:space="preserve">afforestation </w:t>
      </w:r>
      <w:r w:rsidRPr="00CC3028">
        <w:rPr>
          <w:b/>
        </w:rPr>
        <w:t>claims land, or forest conservation restricts farmland expansion (Murtaugh and Schlax, 2009; Popp et al., 2011).</w:t>
      </w:r>
    </w:p>
    <w:p w14:paraId="2C505B98" w14:textId="77777777" w:rsidR="00AB30D7" w:rsidRDefault="00AB30D7" w:rsidP="00A10F51">
      <w:r w:rsidRPr="00CC3028">
        <w:rPr>
          <w:b/>
        </w:rPr>
        <w:lastRenderedPageBreak/>
        <w:t xml:space="preserve">Restrictions to agricultural expansion due to forest conservation, increased energy crop area, </w:t>
      </w:r>
      <w:r w:rsidRPr="00CC3028">
        <w:rPr>
          <w:b/>
          <w:color w:val="0070C0"/>
        </w:rPr>
        <w:t xml:space="preserve">afforestation </w:t>
      </w:r>
      <w:r w:rsidRPr="00CC3028">
        <w:rPr>
          <w:b/>
        </w:rPr>
        <w:t>and reforestation may increase costs of agricultural production and food prices.</w:t>
      </w:r>
      <w:r>
        <w:t xml:space="preserve"> In a modelling study, conserving C-rich natural vegetation such as tropical forests was found to increase food prices by a factor of 1.75 until 2100, due to restrictions of cropland expansion, even if no growth of energy crop area was assumed (Wise et  al., 2009). Food price indices (weighted average of crop and livestock products) are estimated to increase until 2100 by 82% in Africa, 73% in Latin America, and 52% in Pacific Asia if large-scale bioenergy deployment is combined with strict forest conservation, compared to a reference scenario without forest conservation and bioenergy (Popp et al., 2011). Further trade liberalization can lead to lower costs of food, but also increases the pressure on land, especially on tropical forests (Schmitz et al., 2011).</w:t>
      </w:r>
    </w:p>
    <w:p w14:paraId="21D69011" w14:textId="77777777" w:rsidR="00AB30D7" w:rsidRPr="00AB30D7" w:rsidRDefault="00AB30D7" w:rsidP="00AB30D7">
      <w:pPr>
        <w:pStyle w:val="berschrift2"/>
        <w:rPr>
          <w:rStyle w:val="berschrift1Zchn"/>
          <w:b/>
          <w:color w:val="4F81BD" w:themeColor="accent1"/>
          <w:sz w:val="26"/>
          <w:szCs w:val="26"/>
        </w:rPr>
      </w:pPr>
      <w:bookmarkStart w:id="61" w:name="_Toc525298494"/>
      <w:r w:rsidRPr="00AB30D7">
        <w:rPr>
          <w:rStyle w:val="berschrift1Zchn"/>
          <w:b/>
          <w:color w:val="4F81BD" w:themeColor="accent1"/>
          <w:sz w:val="26"/>
          <w:szCs w:val="26"/>
        </w:rPr>
        <w:t>11.5.5 Mitigation and adaptation synergies and tradeoffs</w:t>
      </w:r>
      <w:bookmarkEnd w:id="61"/>
    </w:p>
    <w:p w14:paraId="3F619858" w14:textId="77777777" w:rsidR="00AB30D7" w:rsidRDefault="00AB30D7" w:rsidP="00AB30D7">
      <w:r>
        <w:t>Mitigation choices taken in a particular land-use sector may further enhance or reduce resilience to climate variability and change within or across sectors, in light of the multiple, and often competing, pressures on land (Section 11.4), and shifting demographics and consumption patterns (e.g., (O’Brien et al., 2004; Sperling et al., 2008; Hunsberger and Evans, 2012</w:t>
      </w:r>
      <w:r w:rsidRPr="00CC3028">
        <w:t>).</w:t>
      </w:r>
      <w:r w:rsidRPr="00CC3028">
        <w:rPr>
          <w:b/>
        </w:rPr>
        <w:t xml:space="preserve"> Land-use choices driven by mitigation concerns (e.g., forest conservation, </w:t>
      </w:r>
      <w:r w:rsidRPr="00CC3028">
        <w:rPr>
          <w:b/>
          <w:color w:val="0070C0"/>
        </w:rPr>
        <w:t>afforestation</w:t>
      </w:r>
      <w:r w:rsidRPr="00CC3028">
        <w:rPr>
          <w:b/>
        </w:rPr>
        <w:t>) may have consequences for adaptive responses and/or development objectives of other sectors (e.g., expansion of agricultural land).</w:t>
      </w:r>
      <w:r>
        <w:t xml:space="preserve"> For example, reducing emissions from deforestation and degradation may also yield co-benefits for adaptation by maintaining biodiversity and other ecosystem goods and services, while plantations, if they reduce biological diversity may diminish adaptive capacity to climate change (e.g., Chum et al., 2011). Primary forests tend to be more resilient to climate change and other human-induced environmental changes than secondary forests and plantations (Thompson et al., 2009). The impact of plantations on the carbon balance is dependent on the land-use system they replace. While plantation forests are often monospecies stands, they may be more vulnerable to climatic change (see IPCC WGII Chapter 4). Smith and Olesen (2010) identified a number of synergies between options that deliver mitigation in agriculture while also enhancing resilience to future climate change, the most prominent of which was enhancement of soil carbon stocks.</w:t>
      </w:r>
    </w:p>
    <w:p w14:paraId="1E1E3C57" w14:textId="77777777" w:rsidR="00341134" w:rsidRDefault="00341134" w:rsidP="00AB30D7">
      <w:r>
        <w:t>Adaptation measures in return may help maintain the mitigation potential of land-use systems. For example, projects that prevent fires and restore degraded forest ecosystems also prevent release of GHGs and enhance carbon stocks (CBD and GiZ, 2011). Mitigation and adaptation benefits can also be achieved within broader-level objectives of AFOLU measures, which are linked to sustainable development considerations. Given the exposure of many livelihoods and communities to multiple stressors, recommendations from case stud</w:t>
      </w:r>
      <w:r w:rsidRPr="00341134">
        <w:t xml:space="preserve"> </w:t>
      </w:r>
      <w:r>
        <w:t xml:space="preserve">ies suggest that climate risk-management strategies need to appreciate the full hazard risk envelope, as well as the compounding socioeconomic stressors (O’Brien et al., 2004; Sperling et al., 2008). Within this broad context, the potential tradeoffs and synergies between mitigation, adaptation, and development strategies and measures need to be considered. </w:t>
      </w:r>
      <w:r w:rsidRPr="00CC3028">
        <w:rPr>
          <w:b/>
        </w:rPr>
        <w:t xml:space="preserve">Forest and biodiversity conservation, protected area formation, and mixed-species forestry-based </w:t>
      </w:r>
      <w:r w:rsidRPr="00CC3028">
        <w:rPr>
          <w:b/>
          <w:color w:val="0070C0"/>
        </w:rPr>
        <w:t xml:space="preserve">afforestation </w:t>
      </w:r>
      <w:r w:rsidRPr="00CC3028">
        <w:rPr>
          <w:b/>
        </w:rPr>
        <w:t>are practices that can help to maintain or enhance carbon stocks, while also providing adaptation options to enhance resilience of forest ecosystems to climate change (Ravindranath, 2007).</w:t>
      </w:r>
      <w:r>
        <w:t xml:space="preserve"> Use of organic soil amendments as a source of fertility could potentially increase soil carbon (Gattinger et  al., 2012). Most categories of adaptation options for climate change have positive impacts on </w:t>
      </w:r>
      <w:r>
        <w:lastRenderedPageBreak/>
        <w:t>mitigation. In the agriculture sector, cropland adaptation options that also contribute to mitigation are ‘soil management practices that reduce fertilizer use and increase crop diversification; promotion of legumes in crop rotations; increasing biodiversity, the availability of quality seeds and integrated crop/livestock systems; promotion of low energy production systems; improving the control of wildfires and avoiding burning of crop residues; and promoting efficient energy use by commercial agriculture and agro-industries’ (FAO, 2008, 2009a). Agroforestry is an example of mitigation-adaptation synergy in the agriculture sector, since trees planted sequester carbon and tree products provide livelihood to communities, especially during drought years (Verchot et al., 2007).</w:t>
      </w:r>
    </w:p>
    <w:p w14:paraId="08FD9D51" w14:textId="77777777" w:rsidR="00341134" w:rsidRPr="006C22A5" w:rsidRDefault="006C22A5" w:rsidP="006C22A5">
      <w:pPr>
        <w:pStyle w:val="berschrift2"/>
        <w:rPr>
          <w:rStyle w:val="berschrift1Zchn"/>
          <w:b/>
          <w:color w:val="4F81BD" w:themeColor="accent1"/>
          <w:sz w:val="26"/>
          <w:szCs w:val="26"/>
        </w:rPr>
      </w:pPr>
      <w:bookmarkStart w:id="62" w:name="_Toc525298495"/>
      <w:r w:rsidRPr="006C22A5">
        <w:rPr>
          <w:rStyle w:val="berschrift1Zchn"/>
          <w:b/>
          <w:color w:val="4F81BD" w:themeColor="accent1"/>
          <w:sz w:val="26"/>
          <w:szCs w:val="26"/>
        </w:rPr>
        <w:t>11.6.2 Global estimates of costs and potentials in the AFOLU sector</w:t>
      </w:r>
      <w:bookmarkEnd w:id="62"/>
    </w:p>
    <w:p w14:paraId="0488D963" w14:textId="77777777" w:rsidR="006C22A5" w:rsidRDefault="006C22A5" w:rsidP="00AB30D7">
      <w:r>
        <w:t xml:space="preserve">Agriculture and forestry-related mitigation could cost-effectively contribute to transformation pathways associated with long-run climate change management (Sections 11.9 and 6.3.5). Transformation pathway modelling includes LUC, as well as land-management options that reduce emissions intensities and increase sequestration intensities. However, the resulting transformation pathway emissions (sequestration) intensities are not comparable to those discussed here. Transformation pathways are the result of integrated modelling and the resulting intensities are the net result of many effects. The intensities capture mitigation technology adoption, but also changes in levels of production, land-cover change, mitigation technology competition, and model-specific definitions for sectors/regions/and assigned emissions inventories. </w:t>
      </w:r>
      <w:r w:rsidRPr="00CC3028">
        <w:rPr>
          <w:b/>
        </w:rPr>
        <w:t xml:space="preserve">Mitigation technology competition, in particular, can lead to intensification (and increases in agricultural emissions intensities) that support cost-effective adoption of other mitigation strategies, such as </w:t>
      </w:r>
      <w:r w:rsidRPr="00CC3028">
        <w:rPr>
          <w:b/>
          <w:color w:val="0070C0"/>
        </w:rPr>
        <w:t xml:space="preserve">afforestation </w:t>
      </w:r>
      <w:r w:rsidRPr="00CC3028">
        <w:rPr>
          <w:b/>
        </w:rPr>
        <w:t>or bioenergy (</w:t>
      </w:r>
      <w:r w:rsidRPr="00CC3028">
        <w:rPr>
          <w:b/>
          <w:color w:val="FF0000"/>
        </w:rPr>
        <w:t>Sections 11.9 and 6.3.5</w:t>
      </w:r>
      <w:r w:rsidRPr="00CC3028">
        <w:rPr>
          <w:b/>
        </w:rPr>
        <w:t>).</w:t>
      </w:r>
    </w:p>
    <w:p w14:paraId="11085DD8" w14:textId="77777777" w:rsidR="00341134" w:rsidRDefault="007318C7" w:rsidP="007318C7">
      <w:pPr>
        <w:pStyle w:val="berschrift4"/>
      </w:pPr>
      <w:r>
        <w:t>Figure 11.16</w:t>
      </w:r>
    </w:p>
    <w:p w14:paraId="0904E7C3" w14:textId="77777777" w:rsidR="007318C7" w:rsidRPr="007318C7" w:rsidRDefault="007318C7" w:rsidP="007318C7">
      <w:pPr>
        <w:pStyle w:val="berschrift2"/>
        <w:rPr>
          <w:rStyle w:val="berschrift1Zchn"/>
          <w:b/>
          <w:color w:val="4F81BD" w:themeColor="accent1"/>
          <w:sz w:val="26"/>
          <w:szCs w:val="26"/>
        </w:rPr>
      </w:pPr>
      <w:bookmarkStart w:id="63" w:name="_Toc525298496"/>
      <w:r w:rsidRPr="007318C7">
        <w:rPr>
          <w:rStyle w:val="berschrift1Zchn"/>
          <w:b/>
          <w:color w:val="4F81BD" w:themeColor="accent1"/>
          <w:sz w:val="26"/>
          <w:szCs w:val="26"/>
        </w:rPr>
        <w:t>11.6.3 Regional disaggregation of global costs and potentials in the AFOLU sector</w:t>
      </w:r>
      <w:bookmarkEnd w:id="63"/>
    </w:p>
    <w:p w14:paraId="1C3BD179" w14:textId="77777777" w:rsidR="00341134" w:rsidRDefault="007318C7" w:rsidP="00AB30D7">
      <w:r>
        <w:t xml:space="preserve">Differences between the most effective forestry options in each region (Figure 11.18) are particularly striking, with reduced deforestation dominating the forestry mitigation potential LAM and MAF, but very little potential in OECD-1990 and EIT. </w:t>
      </w:r>
      <w:r w:rsidRPr="007318C7">
        <w:rPr>
          <w:b/>
        </w:rPr>
        <w:t xml:space="preserve">Forest management, followed by </w:t>
      </w:r>
      <w:r w:rsidRPr="007318C7">
        <w:rPr>
          <w:b/>
          <w:color w:val="0070C0"/>
        </w:rPr>
        <w:t>afforestation</w:t>
      </w:r>
      <w:r w:rsidRPr="007318C7">
        <w:rPr>
          <w:b/>
        </w:rPr>
        <w:t>, dominate in OECD-1990, EIT, and Asia (</w:t>
      </w:r>
      <w:r w:rsidRPr="007318C7">
        <w:rPr>
          <w:b/>
          <w:color w:val="FF0000"/>
        </w:rPr>
        <w:t>Figure 11.18</w:t>
      </w:r>
      <w:r w:rsidRPr="007318C7">
        <w:rPr>
          <w:b/>
        </w:rPr>
        <w:t>).</w:t>
      </w:r>
      <w:r>
        <w:t xml:space="preserve"> Among agricultural options, among the most striking of regional differences are the rice management practices for which almost all of the global potential is in Asia, and the large potential for restoration of organic soils also in Asia (due to cultivated Southeast Asian peats), and OECD-1990 (due to cultivated northern peatlands; Figure 11.18).</w:t>
      </w:r>
    </w:p>
    <w:p w14:paraId="3DDFDA2F" w14:textId="77777777" w:rsidR="007318C7" w:rsidRDefault="007318C7" w:rsidP="007318C7">
      <w:pPr>
        <w:pStyle w:val="berschrift4"/>
      </w:pPr>
      <w:r>
        <w:t>Figure 11.18</w:t>
      </w:r>
    </w:p>
    <w:p w14:paraId="4FC22500" w14:textId="77777777" w:rsidR="007318C7" w:rsidRPr="007318C7" w:rsidRDefault="007318C7" w:rsidP="007318C7">
      <w:pPr>
        <w:pStyle w:val="berschrift2"/>
        <w:rPr>
          <w:rStyle w:val="berschrift1Zchn"/>
          <w:b/>
          <w:color w:val="4F81BD" w:themeColor="accent1"/>
          <w:sz w:val="26"/>
          <w:szCs w:val="26"/>
        </w:rPr>
      </w:pPr>
      <w:bookmarkStart w:id="64" w:name="_Toc525298497"/>
      <w:r w:rsidRPr="007318C7">
        <w:rPr>
          <w:rStyle w:val="berschrift1Zchn"/>
          <w:b/>
          <w:color w:val="4F81BD" w:themeColor="accent1"/>
          <w:sz w:val="26"/>
          <w:szCs w:val="26"/>
        </w:rPr>
        <w:t>11.7.1 Socio-economic effects</w:t>
      </w:r>
      <w:bookmarkEnd w:id="64"/>
    </w:p>
    <w:p w14:paraId="6612485D" w14:textId="77777777" w:rsidR="007318C7" w:rsidRPr="00227A97" w:rsidRDefault="007318C7" w:rsidP="00AB30D7">
      <w:pPr>
        <w:rPr>
          <w:b/>
        </w:rPr>
      </w:pPr>
      <w:r>
        <w:t>A major area of concern is related to the potential impacts of AFOLU mitigation measures on equity (Sections 3.3; 4.2; 4.7;</w:t>
      </w:r>
      <w:r w:rsidRPr="007318C7">
        <w:t xml:space="preserve"> </w:t>
      </w:r>
      <w:r>
        <w:t xml:space="preserve">4.8). Depending on the actual and perceived distribution of socioeconomic benefits, responsibilities (burden sharing), as well the access to decision making, financing mechanisms, and technology, AFOLU mitigation measures can promote inter- and intra-generational equity (Di Gregorio et al., 2013). Conversely, depending on the policy instruments and the implementation schemes of these mitigation measures, they can increase inequity and land conflicts, or marginalize small-scale farm/forest owners or users (Robinson et al., 2011; Kiptot and Franzel, 2012; Huettner, 2012; </w:t>
      </w:r>
      <w:r>
        <w:lastRenderedPageBreak/>
        <w:t xml:space="preserve">Mattoo and Subramanian, 2012). </w:t>
      </w:r>
      <w:r w:rsidRPr="00227A97">
        <w:rPr>
          <w:b/>
        </w:rPr>
        <w:t xml:space="preserve">Potential impacts on equity and benefit-sharing mechanisms arise for AFOLU activities using forestry measures in developing countries including conservation, restoration, reduced deforestation and degradation, as well as sustainable management and </w:t>
      </w:r>
      <w:r w:rsidRPr="00227A97">
        <w:rPr>
          <w:b/>
          <w:color w:val="0070C0"/>
        </w:rPr>
        <w:t>afforestation</w:t>
      </w:r>
      <w:r w:rsidRPr="00227A97">
        <w:rPr>
          <w:b/>
        </w:rPr>
        <w:t>/reforestation (Combes Motel et al., 2009; Cattaneo et al., 2010; Rosemary, 2011).</w:t>
      </w:r>
    </w:p>
    <w:p w14:paraId="666F100B" w14:textId="77777777" w:rsidR="007318C7" w:rsidRPr="00227A97" w:rsidRDefault="00227A97" w:rsidP="00227A97">
      <w:pPr>
        <w:pStyle w:val="berschrift2"/>
        <w:rPr>
          <w:rStyle w:val="berschrift1Zchn"/>
          <w:b/>
          <w:color w:val="4F81BD" w:themeColor="accent1"/>
          <w:sz w:val="26"/>
          <w:szCs w:val="26"/>
        </w:rPr>
      </w:pPr>
      <w:bookmarkStart w:id="65" w:name="_Toc525298498"/>
      <w:r w:rsidRPr="00227A97">
        <w:rPr>
          <w:rStyle w:val="berschrift1Zchn"/>
          <w:b/>
          <w:color w:val="4F81BD" w:themeColor="accent1"/>
          <w:sz w:val="26"/>
          <w:szCs w:val="26"/>
        </w:rPr>
        <w:t>11.7.2 Environmental effects</w:t>
      </w:r>
      <w:bookmarkEnd w:id="65"/>
    </w:p>
    <w:p w14:paraId="4DC7644A" w14:textId="77777777" w:rsidR="00227A97" w:rsidRDefault="00227A97" w:rsidP="00AB30D7">
      <w:r w:rsidRPr="00227A97">
        <w:rPr>
          <w:b/>
        </w:rPr>
        <w:t>AFOLU mitigation options can promote conservation of biological diversity (Smith et al., 2013a) both by reducing deforestation (Chhatre et al., 2012; Murdiyarso et al., 2012; Putz and Romero, 2012; VisserenHamakers et  al., 2012), and by using reforestation/</w:t>
      </w:r>
      <w:r w:rsidRPr="00227A97">
        <w:rPr>
          <w:b/>
          <w:color w:val="0070C0"/>
        </w:rPr>
        <w:t xml:space="preserve">afforestation </w:t>
      </w:r>
      <w:r w:rsidRPr="00227A97">
        <w:rPr>
          <w:b/>
        </w:rPr>
        <w:t>to restore biodiverse communities on previously developed farmland (Harper et  al., 2007).</w:t>
      </w:r>
      <w:r>
        <w:t xml:space="preserve"> However, promoting land-use changes (e.g., through planting monocultures on biodiversity hot spots) can have adverse side-effects, reducing biodiversity (Koh and Wilcove, 2008; Beringer et al., 2011; Pandit and Grumbine, 2012; Ziv et al., 2012; Hertwich, 2012; Gardner et al., 2012).</w:t>
      </w:r>
    </w:p>
    <w:p w14:paraId="755F531B" w14:textId="77777777" w:rsidR="00227A97" w:rsidRDefault="00227A97" w:rsidP="00AB30D7">
      <w:r>
        <w:t xml:space="preserve">AFOLU mitigation measures can have either positive or negative impacts on water resources, with responses dependant on the mitigation measure used, site conditions (e.g., soil thickness and slope, hydrological setting, climate; Yu et al., 2013) and how the particular mitigation measure is managed. There are two main components: water yield and water quality. </w:t>
      </w:r>
      <w:r w:rsidRPr="00227A97">
        <w:rPr>
          <w:b/>
        </w:rPr>
        <w:t xml:space="preserve">Water yields can be manipulated with forest management, through </w:t>
      </w:r>
      <w:r w:rsidRPr="00227A97">
        <w:rPr>
          <w:b/>
          <w:color w:val="0070C0"/>
        </w:rPr>
        <w:t>afforestation</w:t>
      </w:r>
      <w:r w:rsidRPr="00227A97">
        <w:rPr>
          <w:b/>
        </w:rPr>
        <w:t xml:space="preserve">, reforestation, forest thinning, or deforestation. In general, reduction in water yields in </w:t>
      </w:r>
      <w:r w:rsidRPr="00227A97">
        <w:rPr>
          <w:b/>
          <w:color w:val="0070C0"/>
        </w:rPr>
        <w:t>afforestation</w:t>
      </w:r>
      <w:r w:rsidRPr="00227A97">
        <w:rPr>
          <w:b/>
        </w:rPr>
        <w:t>/reforestation projects has been reported in both groundwater or surface catchments (Jackson et al., 2005), or where irrigation water is used to produce bioenergy crops.</w:t>
      </w:r>
      <w:r>
        <w:t xml:space="preserve"> For water supply security, it is important to consider the relative yield reduction and this can have severe consequences in dry regions with inherent water shortages (Wang et al., 2011c). Where there is a water imbalance, however, this additional water use can be beneficial by reducing the efflux of salts (Jackson et al., 2005). Another aspect of water yield is the reduction of flood peaks, and also prolonged periods of water flow, because discharge is stabilized (Jackson et  al., 2005), however low flows can be reduced because of increased forest water use. Water quality can be affected by AFOLU in several ways. For example, minimum tillage systems have been reported to reduce water erosion and thus sedimentation of water courses (Lal, 2011). Deforestation is well known to increase erosion and thus efflux of silt; avoiding deforestation will prevent this. In other situations, watershed scale reforestation can result in the restoration of water quality (e.g., Townsend et  al., 2012). Furthermore, strategic placement of tree belts in lands affected by dryland salinity can remediate the affected lands by lowering the water table (Robinson et al., 2004) . Various types of AFOLU mitigation can result in degradation of water sources through the losses of pesticides and nutrients to water (Smith et al., 2013a).</w:t>
      </w:r>
    </w:p>
    <w:p w14:paraId="6504260C" w14:textId="77777777" w:rsidR="007318C7" w:rsidRPr="00227A97" w:rsidRDefault="00227A97" w:rsidP="00227A97">
      <w:pPr>
        <w:pStyle w:val="berschrift2"/>
        <w:rPr>
          <w:rStyle w:val="berschrift1Zchn"/>
          <w:b/>
          <w:color w:val="4F81BD" w:themeColor="accent1"/>
          <w:sz w:val="26"/>
          <w:szCs w:val="26"/>
        </w:rPr>
      </w:pPr>
      <w:bookmarkStart w:id="66" w:name="_Toc525298499"/>
      <w:r w:rsidRPr="00227A97">
        <w:rPr>
          <w:rStyle w:val="berschrift1Zchn"/>
          <w:b/>
          <w:color w:val="4F81BD" w:themeColor="accent1"/>
          <w:sz w:val="26"/>
          <w:szCs w:val="26"/>
        </w:rPr>
        <w:t>11.7.3 Public perception</w:t>
      </w:r>
      <w:bookmarkEnd w:id="66"/>
    </w:p>
    <w:p w14:paraId="6B348248" w14:textId="77777777" w:rsidR="007318C7" w:rsidRDefault="00227A97" w:rsidP="00AB30D7">
      <w:pPr>
        <w:rPr>
          <w:b/>
        </w:rPr>
      </w:pPr>
      <w:r>
        <w:t>Mitigation measures that support sustainable development are likely to be viewed positively in terms of public perception, but a large-scale drive towards mitigation without inclusion of key stakeholder communities involved would likely not be greeted favourably (Smith and Wollenberg, 2012</w:t>
      </w:r>
      <w:r w:rsidRPr="00227A97">
        <w:rPr>
          <w:b/>
        </w:rPr>
        <w:t xml:space="preserve">). However, there are concerns about competition between food and AFOLU outcomes, either because of an increasing use of land for biofuel plantations (Fargione et  al., 2008; Alves Finco and Doppler, 2010), or </w:t>
      </w:r>
      <w:r w:rsidRPr="00227A97">
        <w:rPr>
          <w:b/>
          <w:color w:val="0070C0"/>
        </w:rPr>
        <w:lastRenderedPageBreak/>
        <w:t>afforestation</w:t>
      </w:r>
      <w:r w:rsidRPr="00227A97">
        <w:rPr>
          <w:b/>
        </w:rPr>
        <w:t>/reforestation (Mitchell et al., 2012), or by blocking the transformation of forest land into agricultural land (Harvey and Pilgrim, 2011).</w:t>
      </w:r>
    </w:p>
    <w:p w14:paraId="587701E3" w14:textId="77777777" w:rsidR="00227A97" w:rsidRDefault="00227A97" w:rsidP="00AB30D7">
      <w:r w:rsidRPr="00227A97">
        <w:rPr>
          <w:rFonts w:asciiTheme="majorHAnsi" w:eastAsiaTheme="majorEastAsia" w:hAnsiTheme="majorHAnsi" w:cstheme="majorBidi"/>
          <w:b/>
          <w:color w:val="4F81BD" w:themeColor="accent1"/>
          <w:sz w:val="26"/>
          <w:szCs w:val="26"/>
        </w:rPr>
        <w:t>11.8.1 Socio-economic barriers and opportunities</w:t>
      </w:r>
    </w:p>
    <w:p w14:paraId="68903382" w14:textId="77777777" w:rsidR="00227A97" w:rsidRDefault="00227A97" w:rsidP="00AB30D7">
      <w:pPr>
        <w:rPr>
          <w:b/>
        </w:rPr>
      </w:pPr>
      <w:r>
        <w:t xml:space="preserve">Scale of financing sources can become either a barrier (if a relevant financial volume is not secured) or create an opportunity (if financial sources for AFOLU suffice) for using AFOLU mitigation potential (Streck, 2012; Chapter 16). Another element is the accessibility to AFOLU financing for farmers and forest stakeholders (Tubiello et  al., 2009, p.  200; Havemann, 2011; Colfer, 2011). </w:t>
      </w:r>
      <w:r w:rsidRPr="00227A97">
        <w:rPr>
          <w:b/>
        </w:rPr>
        <w:t xml:space="preserve">Financial concerns, including reduced access to loan and credits, high transaction costs or reduced income due to price changes of carbon credits over the project duration, are potential risks for AFOLU measures, especially in developing countries, and when land holders use market mechanisms (e.g., </w:t>
      </w:r>
      <w:r w:rsidRPr="00227A97">
        <w:rPr>
          <w:b/>
          <w:color w:val="0070C0"/>
        </w:rPr>
        <w:t xml:space="preserve">Afforestation </w:t>
      </w:r>
      <w:r w:rsidRPr="00227A97">
        <w:rPr>
          <w:b/>
        </w:rPr>
        <w:t>and Reforestation (A/R) Clean Development Mechanism (CDM); Madlener et al., 2006).</w:t>
      </w:r>
    </w:p>
    <w:p w14:paraId="7F14FE74" w14:textId="77777777" w:rsidR="00227A97" w:rsidRPr="00227A97" w:rsidRDefault="00227A97" w:rsidP="00227A97">
      <w:pPr>
        <w:pStyle w:val="berschrift2"/>
        <w:rPr>
          <w:rStyle w:val="berschrift1Zchn"/>
          <w:color w:val="4F81BD" w:themeColor="accent1"/>
          <w:sz w:val="26"/>
          <w:szCs w:val="26"/>
        </w:rPr>
      </w:pPr>
      <w:bookmarkStart w:id="67" w:name="_Toc525298500"/>
      <w:r w:rsidRPr="00227A97">
        <w:rPr>
          <w:rStyle w:val="berschrift1Zchn"/>
          <w:color w:val="4F81BD" w:themeColor="accent1"/>
          <w:sz w:val="26"/>
          <w:szCs w:val="26"/>
        </w:rPr>
        <w:t>11.8.4 Technological barriers and opportunities</w:t>
      </w:r>
      <w:bookmarkEnd w:id="67"/>
    </w:p>
    <w:p w14:paraId="6372AE7C" w14:textId="77777777" w:rsidR="00227A97" w:rsidRDefault="00227A97" w:rsidP="00AB30D7">
      <w:r>
        <w:t xml:space="preserve">Technological barriers refer to the limitations in generating, procuring, and applying science and technology to identify and solve an environmental problem. </w:t>
      </w:r>
      <w:r w:rsidRPr="008E793C">
        <w:rPr>
          <w:b/>
        </w:rPr>
        <w:t xml:space="preserve">Some mitigation technologies are already applied now (e.g., </w:t>
      </w:r>
      <w:r w:rsidRPr="008E793C">
        <w:rPr>
          <w:b/>
          <w:color w:val="0070C0"/>
        </w:rPr>
        <w:t>afforestation</w:t>
      </w:r>
      <w:r w:rsidRPr="008E793C">
        <w:rPr>
          <w:b/>
        </w:rPr>
        <w:t xml:space="preserve">, cropland, and grazing land management, improved livestock breeds and diets) so there are no technological barriers for these options, but others (e.g., some livestock dietary additives, crop trait manipulation) are still at the development stage (see </w:t>
      </w:r>
      <w:r w:rsidRPr="008E793C">
        <w:rPr>
          <w:b/>
          <w:color w:val="FF0000"/>
        </w:rPr>
        <w:t>Table 11.2</w:t>
      </w:r>
      <w:r w:rsidRPr="008E793C">
        <w:rPr>
          <w:b/>
        </w:rPr>
        <w:t>).</w:t>
      </w:r>
    </w:p>
    <w:p w14:paraId="419CBF1C" w14:textId="77777777" w:rsidR="00227A97" w:rsidRPr="008E793C" w:rsidRDefault="008E793C" w:rsidP="008E793C">
      <w:pPr>
        <w:pStyle w:val="berschrift2"/>
        <w:rPr>
          <w:rStyle w:val="berschrift1Zchn"/>
          <w:b/>
          <w:color w:val="4F81BD" w:themeColor="accent1"/>
          <w:sz w:val="26"/>
          <w:szCs w:val="26"/>
        </w:rPr>
      </w:pPr>
      <w:bookmarkStart w:id="68" w:name="_Toc525298501"/>
      <w:r w:rsidRPr="008E793C">
        <w:rPr>
          <w:rStyle w:val="berschrift1Zchn"/>
          <w:b/>
          <w:color w:val="4F81BD" w:themeColor="accent1"/>
          <w:sz w:val="26"/>
          <w:szCs w:val="26"/>
        </w:rPr>
        <w:t>11.9.1 Characterization of transformation pathways</w:t>
      </w:r>
      <w:bookmarkEnd w:id="68"/>
    </w:p>
    <w:p w14:paraId="355C7CE0" w14:textId="77777777" w:rsidR="008E793C" w:rsidRDefault="008E793C" w:rsidP="00AB30D7">
      <w:r>
        <w:t>More recently, the literature has begun analyzing more realistic policy contexts. This work has identified a number of policy coordination and implementation issues. There are many dimensions to policy coordination: technologies, sectors, regions, climate and non-climate policies, and timing. There are three prominent issues. First, there is coordination between mitigation activities. For instance, increased bioenergy incentives without global terrestrial carbon stock incentives or global forest protection policy, could result in substantial land conversion and emissions with large-scale deployment of energy crops. The projected emissions come primarily from the displacement of pasture, grassland, and natural forest (Sections 6.3.5 and 11.4.3). Energy cropland expansion also results in non-energy cropland conversion. These studies find that ignoring land conversion emissions with energy crop expansion, results in the need for deeper emissions reductions in the fossil and industrial sectors, and increased total mitigation costs. However, illustrative scenarios by (Calvin et al., 2013a) suggest that extensive forest protection policies may be needed for managing bioenergy driven deforestation. Note that providing energy crops, especially while protecting terrestrial carbon stocks, could result in a significant increase in food prices, potentially further exacerbated if also expanding forests (Wise et al., 2009; Popp et al., 2011; Reilly et al., 2012; Calvin et  al., 2013a; see also Sections 11.4.3 and 11.13.7</w:t>
      </w:r>
      <w:r w:rsidRPr="008E793C">
        <w:rPr>
          <w:b/>
        </w:rPr>
        <w:t xml:space="preserve">). In addition to competition between energy crops and forest carbon strategies, there is also competition between avoided deforestation and </w:t>
      </w:r>
      <w:r w:rsidRPr="008E793C">
        <w:rPr>
          <w:b/>
          <w:color w:val="0070C0"/>
        </w:rPr>
        <w:t xml:space="preserve">afforestation </w:t>
      </w:r>
      <w:r w:rsidRPr="008E793C">
        <w:rPr>
          <w:b/>
        </w:rPr>
        <w:t xml:space="preserve">mitigation strategies, but synergies between forest management and </w:t>
      </w:r>
      <w:r w:rsidRPr="008E793C">
        <w:rPr>
          <w:b/>
          <w:color w:val="0070C0"/>
        </w:rPr>
        <w:t xml:space="preserve">afforestation </w:t>
      </w:r>
      <w:r w:rsidRPr="008E793C">
        <w:rPr>
          <w:b/>
        </w:rPr>
        <w:t>(Rose and Sohngen, 2011).</w:t>
      </w:r>
      <w:r>
        <w:t xml:space="preserve"> Bioenergy sustainability policies across sectors also need to be coordinated (Frank et al., 2013).</w:t>
      </w:r>
    </w:p>
    <w:p w14:paraId="382F5FD6" w14:textId="77777777" w:rsidR="008E793C" w:rsidRPr="008E793C" w:rsidRDefault="008E793C" w:rsidP="008E793C">
      <w:pPr>
        <w:pStyle w:val="berschrift2"/>
        <w:rPr>
          <w:rStyle w:val="berschrift1Zchn"/>
          <w:b/>
          <w:color w:val="4F81BD" w:themeColor="accent1"/>
          <w:sz w:val="26"/>
          <w:szCs w:val="26"/>
        </w:rPr>
      </w:pPr>
      <w:bookmarkStart w:id="69" w:name="_Toc525298502"/>
      <w:r w:rsidRPr="008E793C">
        <w:rPr>
          <w:rStyle w:val="berschrift1Zchn"/>
          <w:b/>
          <w:color w:val="4F81BD" w:themeColor="accent1"/>
          <w:sz w:val="26"/>
          <w:szCs w:val="26"/>
        </w:rPr>
        <w:lastRenderedPageBreak/>
        <w:t>11.9.2 Implications of transformation pathways for the AFOLU sector</w:t>
      </w:r>
      <w:bookmarkEnd w:id="69"/>
    </w:p>
    <w:p w14:paraId="0C7C7301" w14:textId="77777777" w:rsidR="008E793C" w:rsidRDefault="008E793C" w:rsidP="00AB30D7">
      <w:r w:rsidRPr="008E793C">
        <w:rPr>
          <w:b/>
        </w:rPr>
        <w:t xml:space="preserve">The implications of transformation pathway scenarios with large regional expansion of forest cover for carbon sequestration, depends in part on how the forest area increases (Figure 11.19; Popp et  al., 2013). If forest areas increase through the expansion of natural vegetation, biodiversity and a range of other ecosystem services provided by forests could be enhanced. If </w:t>
      </w:r>
      <w:r w:rsidRPr="008E793C">
        <w:rPr>
          <w:b/>
          <w:color w:val="0070C0"/>
        </w:rPr>
        <w:t xml:space="preserve">afforestation </w:t>
      </w:r>
      <w:r w:rsidRPr="008E793C">
        <w:rPr>
          <w:b/>
        </w:rPr>
        <w:t>occurs through large-scale plantation, however, some negative impacts on biodiversity, water, and other ecosystem services could arise, depending on what land cover the plantation replaces and the rotation time (</w:t>
      </w:r>
      <w:r w:rsidRPr="008E793C">
        <w:rPr>
          <w:b/>
          <w:color w:val="FF0000"/>
        </w:rPr>
        <w:t>Section 11.7</w:t>
      </w:r>
      <w:r w:rsidRPr="008E793C">
        <w:rPr>
          <w:b/>
        </w:rPr>
        <w:t>).</w:t>
      </w:r>
      <w:r>
        <w:t xml:space="preserve"> Similar issues arise with large-scale bioenergy, and environmental impacts of energy crop plantations, which largely depend upon where, how, and at what scale they are implemented, and how they are managed (Davis et al., 2013; see Section 11.13.6). Not surprisingly, the realistic policy coordination and implementation issues discussed in Section 11.9.1 could have significant land-use consequences, and additional policy design research is essential to better characterize mitigation costs, net emissions, and other social implications.</w:t>
      </w:r>
    </w:p>
    <w:p w14:paraId="1D54B42C" w14:textId="77777777" w:rsidR="008E793C" w:rsidRPr="00CB67A1" w:rsidRDefault="00CB67A1" w:rsidP="00AB30D7">
      <w:pPr>
        <w:rPr>
          <w:rStyle w:val="berschrift1Zchn"/>
          <w:color w:val="4F81BD" w:themeColor="accent1"/>
          <w:sz w:val="26"/>
          <w:szCs w:val="26"/>
        </w:rPr>
      </w:pPr>
      <w:r w:rsidRPr="00CB67A1">
        <w:rPr>
          <w:rStyle w:val="berschrift1Zchn"/>
          <w:color w:val="4F81BD" w:themeColor="accent1"/>
          <w:sz w:val="26"/>
          <w:szCs w:val="26"/>
        </w:rPr>
        <w:t>11.10.1 Economic incentives</w:t>
      </w:r>
    </w:p>
    <w:p w14:paraId="5590C869" w14:textId="77777777" w:rsidR="00CB67A1" w:rsidRDefault="00CB67A1" w:rsidP="00AB30D7">
      <w:r>
        <w:t xml:space="preserve">Emissions trading: Carbon markets occur under both compliance schemes and as voluntary programmes. A review of existing offset programmes was provided by Kollmuss et al. (2010). More details are also presented in Section 15.5.3. Compliance markets (Kyoto offset mechanisms, mandatory cap-and-trade systems, and other mandatory GHG systems) are created and regulated by mandatory national, regional, or international carbon reduction regimes (Kollmuss et al., 2010). The three Kyoto Protocol mechanisms are very important for the regulatory market: CDM, Joint Implementation (JI) and the Emissions Trading System (ETS). </w:t>
      </w:r>
      <w:r w:rsidRPr="00CB67A1">
        <w:rPr>
          <w:b/>
        </w:rPr>
        <w:t xml:space="preserve">Currently, AFOLU projects in CDM only include specific types of projects: for agriculture—methane avoidance (manure management), biogas projects, agricultural residues for biomass energy; for forestry—reforestation and </w:t>
      </w:r>
      <w:r w:rsidRPr="00CB67A1">
        <w:rPr>
          <w:b/>
          <w:color w:val="0070C0"/>
        </w:rPr>
        <w:t>afforestation</w:t>
      </w:r>
      <w:r w:rsidRPr="00CB67A1">
        <w:rPr>
          <w:b/>
        </w:rPr>
        <w:t xml:space="preserve">. </w:t>
      </w:r>
      <w:r w:rsidRPr="001635C1">
        <w:rPr>
          <w:b/>
        </w:rPr>
        <w:t xml:space="preserve">By June 2013, the total number of registered CDM projects was 6989, 0.6 and 2.5 % of this total being related to </w:t>
      </w:r>
      <w:r w:rsidRPr="001635C1">
        <w:rPr>
          <w:b/>
          <w:color w:val="0070C0"/>
        </w:rPr>
        <w:t>afforestation</w:t>
      </w:r>
      <w:r w:rsidRPr="001635C1">
        <w:rPr>
          <w:b/>
        </w:rPr>
        <w:t xml:space="preserve">/reforestation and agriculture, respectively (UNFCCC—CDM); therefore, finance streams coming from </w:t>
      </w:r>
      <w:r w:rsidRPr="001635C1">
        <w:rPr>
          <w:b/>
          <w:color w:val="0070C0"/>
        </w:rPr>
        <w:t xml:space="preserve">A/R </w:t>
      </w:r>
      <w:r w:rsidRPr="001635C1">
        <w:rPr>
          <w:b/>
        </w:rPr>
        <w:t xml:space="preserve">CDM Projects are marginal from the global perspective. An analysis of </w:t>
      </w:r>
      <w:r w:rsidRPr="001635C1">
        <w:rPr>
          <w:b/>
          <w:color w:val="0070C0"/>
        </w:rPr>
        <w:t xml:space="preserve">A/R </w:t>
      </w:r>
      <w:r w:rsidRPr="001635C1">
        <w:rPr>
          <w:b/>
        </w:rPr>
        <w:t>CDM projects suggests crucial factors for the performance of these projects are initial funding support, design, and implementation guided by large organizations with technical expertise, occurrence on private land (land with secured property rights attached), and that most revenue from Certified Emission Reductions (CERs) is directed back to local communities (Thomas et al., 2010).</w:t>
      </w:r>
    </w:p>
    <w:p w14:paraId="2E65487A" w14:textId="77777777" w:rsidR="00CB67A1" w:rsidRPr="001635C1" w:rsidRDefault="001635C1" w:rsidP="00AB30D7">
      <w:pPr>
        <w:rPr>
          <w:rStyle w:val="berschrift1Zchn"/>
          <w:bCs w:val="0"/>
          <w:color w:val="4F81BD" w:themeColor="accent1"/>
          <w:sz w:val="26"/>
          <w:szCs w:val="26"/>
        </w:rPr>
      </w:pPr>
      <w:r w:rsidRPr="001635C1">
        <w:rPr>
          <w:rStyle w:val="berschrift1Zchn"/>
          <w:bCs w:val="0"/>
          <w:color w:val="4F81BD" w:themeColor="accent1"/>
          <w:sz w:val="26"/>
          <w:szCs w:val="26"/>
        </w:rPr>
        <w:t>11.11 Gaps in knowledge and data</w:t>
      </w:r>
    </w:p>
    <w:p w14:paraId="7E9A2C1C" w14:textId="77777777" w:rsidR="001635C1" w:rsidRPr="000A490D" w:rsidRDefault="001635C1" w:rsidP="00AB30D7">
      <w:pPr>
        <w:rPr>
          <w:b/>
        </w:rPr>
      </w:pPr>
      <w:r w:rsidRPr="001635C1">
        <w:rPr>
          <w:b/>
        </w:rPr>
        <w:t xml:space="preserve">Improved understanding of the mitigation potential, interplay, and costs as well as environmental and socio-economic consequences of land use-based mitigation options such as improved agricultural management, forest conservation, bioenergy production, and </w:t>
      </w:r>
      <w:r w:rsidRPr="001635C1">
        <w:rPr>
          <w:b/>
          <w:color w:val="0070C0"/>
        </w:rPr>
        <w:t xml:space="preserve">afforestation </w:t>
      </w:r>
      <w:r w:rsidRPr="001635C1">
        <w:rPr>
          <w:b/>
        </w:rPr>
        <w:t>on the national, regional, and global scale.</w:t>
      </w:r>
    </w:p>
    <w:p w14:paraId="7B9B2C6C" w14:textId="77777777" w:rsidR="001635C1" w:rsidRDefault="00DE6A38" w:rsidP="00DE6A38">
      <w:pPr>
        <w:pStyle w:val="berschrift2"/>
        <w:rPr>
          <w:rStyle w:val="berschrift1Zchn"/>
          <w:b/>
          <w:color w:val="4F81BD" w:themeColor="accent1"/>
          <w:sz w:val="26"/>
          <w:szCs w:val="26"/>
        </w:rPr>
      </w:pPr>
      <w:bookmarkStart w:id="70" w:name="_Toc525298503"/>
      <w:r w:rsidRPr="00DE6A38">
        <w:rPr>
          <w:rStyle w:val="berschrift1Zchn"/>
          <w:b/>
          <w:color w:val="4F81BD" w:themeColor="accent1"/>
          <w:sz w:val="26"/>
          <w:szCs w:val="26"/>
        </w:rPr>
        <w:t>11.13 Appendix Bioenergy: Climate effects, mitigation options, potential and sustain- ability implications 11.13.1 Introduction</w:t>
      </w:r>
      <w:bookmarkEnd w:id="70"/>
    </w:p>
    <w:p w14:paraId="0B042DFD" w14:textId="77777777" w:rsidR="00DE6A38" w:rsidRDefault="00DE6A38" w:rsidP="00DE6A38">
      <w:r w:rsidRPr="00DE6A38">
        <w:rPr>
          <w:b/>
        </w:rPr>
        <w:t xml:space="preserve">SRREN (IPCC, 2011) provided a comprehensive overview on bioenergy (Chum et  al., 2011). However, a specific bioenergy Appendix in the context of the WGIII AR5 contribution is necessary because (1) </w:t>
      </w:r>
      <w:r w:rsidRPr="00DE6A38">
        <w:rPr>
          <w:b/>
        </w:rPr>
        <w:lastRenderedPageBreak/>
        <w:t xml:space="preserve">many of the more stringent mitigation scenarios (resulting in 450 ppm, but also 550 ppm CO2eq concentration by 2100, see </w:t>
      </w:r>
      <w:r w:rsidRPr="00DE6A38">
        <w:rPr>
          <w:b/>
          <w:color w:val="FF0000"/>
        </w:rPr>
        <w:t>Section 11.9.1</w:t>
      </w:r>
      <w:r w:rsidRPr="00DE6A38">
        <w:rPr>
          <w:b/>
        </w:rPr>
        <w:t>) heavily rely on a large-scale deployment of bioenergy with carbon dioxide capture and storage (</w:t>
      </w:r>
      <w:r w:rsidRPr="00DE6A38">
        <w:rPr>
          <w:b/>
          <w:color w:val="FFC000"/>
        </w:rPr>
        <w:t>BECCS</w:t>
      </w:r>
      <w:r w:rsidRPr="00DE6A38">
        <w:rPr>
          <w:b/>
        </w:rPr>
        <w:t>);</w:t>
      </w:r>
      <w:r>
        <w:t xml:space="preserve"> (2) there has been a large body of literature published since SRREN, which complements and updates the analysis presented in this last report; (3) bioenergy is important for many chapters (Chapters 6; 7; 8; 10; 11), which makes it more useful to treat it in a single section instead of in many scattered chapter sections throughout the report. Chapter 11 is the appropriate location for the Appendix, as bioenergy analysis relies crucially on land-use assessments.</w:t>
      </w:r>
    </w:p>
    <w:p w14:paraId="3A64F50A" w14:textId="77777777" w:rsidR="00DE6A38" w:rsidRPr="00DE6A38" w:rsidRDefault="00DE6A38" w:rsidP="00DE6A38">
      <w:r w:rsidRPr="00DE6A38">
        <w:rPr>
          <w:b/>
        </w:rPr>
        <w:t xml:space="preserve">As an update to the SRREN, this report presents (1) a more fine-grained assessment of the technical bioenergy potential reflecting diverse perspectives in the literature; (2) recent potential estimates on technological solutions such as </w:t>
      </w:r>
      <w:r w:rsidRPr="00DE6A38">
        <w:rPr>
          <w:b/>
          <w:color w:val="FFC000"/>
        </w:rPr>
        <w:t>BECCS</w:t>
      </w:r>
      <w:r w:rsidRPr="00DE6A38">
        <w:rPr>
          <w:b/>
        </w:rPr>
        <w:t>; (3) an in-depth description of different lifecycle emission accounting methods and their results; (4) a small increase in uncertainty on the future economic bioenergy potential; (5) a comprehensive assessment of diverse livelihood and sustainability effects of bioenergy deployment, identifying the need for systematic aggregation.</w:t>
      </w:r>
    </w:p>
    <w:p w14:paraId="4E1947F7" w14:textId="77777777" w:rsidR="00E416DF" w:rsidRPr="0030392E" w:rsidRDefault="00E416DF" w:rsidP="00E416DF">
      <w:pPr>
        <w:pStyle w:val="berschrift2"/>
        <w:rPr>
          <w:rStyle w:val="berschrift1Zchn"/>
          <w:b/>
          <w:bCs/>
          <w:color w:val="4F81BD" w:themeColor="accent1"/>
          <w:sz w:val="26"/>
          <w:szCs w:val="26"/>
        </w:rPr>
      </w:pPr>
      <w:bookmarkStart w:id="71" w:name="_Toc525298504"/>
      <w:r w:rsidRPr="0030392E">
        <w:rPr>
          <w:rStyle w:val="berschrift1Zchn"/>
          <w:b/>
          <w:color w:val="4F81BD" w:themeColor="accent1"/>
          <w:sz w:val="26"/>
          <w:szCs w:val="26"/>
        </w:rPr>
        <w:t>11.13.3 Bioenergy conversion: technologies and management practices</w:t>
      </w:r>
      <w:bookmarkEnd w:id="71"/>
    </w:p>
    <w:p w14:paraId="3AEAA593" w14:textId="77777777" w:rsidR="002411BA" w:rsidRPr="00DE6A38" w:rsidRDefault="00E416DF" w:rsidP="002F68A1">
      <w:pPr>
        <w:rPr>
          <w:b/>
        </w:rPr>
      </w:pPr>
      <w:r w:rsidRPr="00DE6A38">
        <w:rPr>
          <w:b/>
          <w:color w:val="F79646" w:themeColor="accent6"/>
        </w:rPr>
        <w:t>Bioenergy coupled with CCS</w:t>
      </w:r>
      <w:r w:rsidRPr="00DE6A38">
        <w:rPr>
          <w:b/>
        </w:rPr>
        <w:t xml:space="preserve"> (Spath and Mann, 2004; Liu et al., 2010) is seen as an option to mitigate climate change through negative emissions if CCS can be successfully deployed (Cao and Caldeira 2010; Lenton and Vaughan 2009). </w:t>
      </w:r>
      <w:r w:rsidRPr="00DE6A38">
        <w:rPr>
          <w:b/>
          <w:color w:val="F79646" w:themeColor="accent6"/>
        </w:rPr>
        <w:t>BECCS</w:t>
      </w:r>
      <w:r w:rsidRPr="00DE6A38">
        <w:rPr>
          <w:b/>
          <w:color w:val="00B050"/>
        </w:rPr>
        <w:t xml:space="preserve"> </w:t>
      </w:r>
      <w:r w:rsidRPr="00DE6A38">
        <w:rPr>
          <w:b/>
        </w:rPr>
        <w:t xml:space="preserve">features prominently in long-run mitigation scenarios </w:t>
      </w:r>
      <w:r w:rsidRPr="00DE6A38">
        <w:rPr>
          <w:b/>
          <w:color w:val="FF0000"/>
        </w:rPr>
        <w:t>(Sections 6.3.2 and 6.3.5)</w:t>
      </w:r>
      <w:r w:rsidRPr="00DE6A38">
        <w:rPr>
          <w:b/>
        </w:rPr>
        <w:t xml:space="preserve"> for two reasons: (1) The potential for </w:t>
      </w:r>
      <w:r w:rsidRPr="00DE6A38">
        <w:rPr>
          <w:b/>
          <w:color w:val="7030A0"/>
        </w:rPr>
        <w:t xml:space="preserve">negative emissions </w:t>
      </w:r>
      <w:r w:rsidRPr="00DE6A38">
        <w:rPr>
          <w:b/>
        </w:rPr>
        <w:t xml:space="preserve">may allow shifting emissions in time; and (2) in scenarios, </w:t>
      </w:r>
      <w:r w:rsidRPr="00DE6A38">
        <w:rPr>
          <w:b/>
          <w:color w:val="7030A0"/>
        </w:rPr>
        <w:t>negative emissions</w:t>
      </w:r>
      <w:r w:rsidRPr="00DE6A38">
        <w:rPr>
          <w:b/>
        </w:rPr>
        <w:t xml:space="preserve"> from </w:t>
      </w:r>
      <w:r w:rsidRPr="00DE6A38">
        <w:rPr>
          <w:b/>
          <w:color w:val="F79646" w:themeColor="accent6"/>
        </w:rPr>
        <w:t>BECCS</w:t>
      </w:r>
      <w:r w:rsidRPr="00DE6A38">
        <w:rPr>
          <w:b/>
          <w:color w:val="00B050"/>
        </w:rPr>
        <w:t xml:space="preserve"> </w:t>
      </w:r>
      <w:r w:rsidRPr="00DE6A38">
        <w:rPr>
          <w:b/>
        </w:rPr>
        <w:t xml:space="preserve">compensate for residual emissions in other sectors (most importantly transport) in the second half of the 21st century. As illustrated in </w:t>
      </w:r>
      <w:r w:rsidRPr="00DE6A38">
        <w:rPr>
          <w:b/>
          <w:color w:val="FF0000"/>
        </w:rPr>
        <w:t>Figure 11.22</w:t>
      </w:r>
      <w:r w:rsidRPr="00DE6A38">
        <w:rPr>
          <w:b/>
        </w:rPr>
        <w:t xml:space="preserve">, </w:t>
      </w:r>
      <w:r w:rsidRPr="00DE6A38">
        <w:rPr>
          <w:b/>
          <w:color w:val="F79646" w:themeColor="accent6"/>
        </w:rPr>
        <w:t xml:space="preserve">BECCS </w:t>
      </w:r>
      <w:r w:rsidRPr="00DE6A38">
        <w:rPr>
          <w:b/>
        </w:rPr>
        <w:t>is markedly different than fossil CCS because it not only reduces CO2 emissions by storing C in long-term geological sinks, but it continually sequesters CO2 from the air through regeneration of the biomass resource feedstock.</w:t>
      </w:r>
    </w:p>
    <w:p w14:paraId="56DEBFE2" w14:textId="77777777" w:rsidR="00DE6A38" w:rsidRDefault="00DE6A38" w:rsidP="002F68A1">
      <w:pPr>
        <w:rPr>
          <w:b/>
        </w:rPr>
      </w:pPr>
      <w:r w:rsidRPr="00DE6A38">
        <w:rPr>
          <w:b/>
          <w:color w:val="F79646" w:themeColor="accent6"/>
        </w:rPr>
        <w:t>BECCS</w:t>
      </w:r>
      <w:r w:rsidRPr="00DE6A38">
        <w:rPr>
          <w:b/>
        </w:rPr>
        <w:t xml:space="preserve"> deployment is in the development and exploration stages. The most relevant </w:t>
      </w:r>
      <w:r w:rsidRPr="00DE6A38">
        <w:rPr>
          <w:b/>
          <w:color w:val="F79646" w:themeColor="accent6"/>
        </w:rPr>
        <w:t>BECCS</w:t>
      </w:r>
      <w:r w:rsidRPr="00DE6A38">
        <w:rPr>
          <w:b/>
        </w:rPr>
        <w:t xml:space="preserve"> project is the ‘Illinois Basin—Decatur Project’ that is projected to inject 1 MtCO2/yr (Gollakota and McDonald, 2012; Senel and Chugunov, 2013). In the United States, two ethanol fuel production by fermentation facilities are currently integrated commercially with carbon dioxide capture, pipeline transport, and use in enhanced oil recovery in nearby facilities at a rate of about 0.2 MtCO2/yr (DiPietro et  al., 2012). Altogether, there are 16 global </w:t>
      </w:r>
      <w:r w:rsidRPr="00DE6A38">
        <w:rPr>
          <w:b/>
          <w:color w:val="F79646" w:themeColor="accent6"/>
        </w:rPr>
        <w:t>BECCS</w:t>
      </w:r>
      <w:r w:rsidRPr="00DE6A38">
        <w:rPr>
          <w:b/>
        </w:rPr>
        <w:t xml:space="preserve"> projects in exploration stage (Karlsson and Byström, 2011).</w:t>
      </w:r>
    </w:p>
    <w:p w14:paraId="3A7425E1" w14:textId="77777777" w:rsidR="00B55FD9" w:rsidRDefault="00A806E9" w:rsidP="002F68A1">
      <w:pPr>
        <w:rPr>
          <w:b/>
        </w:rPr>
      </w:pPr>
      <w:r>
        <w:t xml:space="preserve">The overall technical potential is estimated to be around 10 GtCO2 storage per year for both Integrated Gasification Combined Cycle (IGCC)-CCS co-firing (IGCC with co-gasification of biomass), and Biomass Integrated Gasification Combined Cycle (BIGCC)-CCS dedicated, and around 6 GtCO2 storage for biodiesel based on gasification and Fischer-Tropsch synthesis (FT diesel), and 2.7 GtCO2 for biomethane production (Koornneef et al., 2012, 2013). Another study estimates the potential capacity (similar to technical potential) to be between 2.4 and 10 GtCO2 per year for 2030–2050 (McLaren, 2012). The economic potential, at a CO2 price of around 70 USD/t is estimated to be around 3.3 GtCO2, 3.5 GtCO2, 3.1 GtCO2 and 0.8 GtCO2 in the corresponding four cases, judged to be those with highest economic potential (Koornneef et al., 2012, 2013). Potentials are assessed on a route-by-route basis and cannot simply be added, as they may compete and substitute each other. Practical figures might be not much higher than 2.4 GtCO2 per year at 70–250 USD/tCO2 (McLaren, 2012). Altogether, until 2050, the </w:t>
      </w:r>
      <w:r>
        <w:lastRenderedPageBreak/>
        <w:t xml:space="preserve">economic potential is anywhere between 2–10 GtCO2 per year. </w:t>
      </w:r>
      <w:r w:rsidRPr="00B55FD9">
        <w:rPr>
          <w:b/>
        </w:rPr>
        <w:t xml:space="preserve">Some climate stabilization scenarios see considerable higher deployment towards the end of the century, even in some 580–650 ppm scenarios, operating under different time scales, socioeconomic assumptions, technology portfolios, CO2 prices, and interpreting </w:t>
      </w:r>
      <w:r w:rsidRPr="00B55FD9">
        <w:rPr>
          <w:b/>
          <w:color w:val="F79646" w:themeColor="accent6"/>
        </w:rPr>
        <w:t>BECCS</w:t>
      </w:r>
      <w:r w:rsidRPr="00B55FD9">
        <w:rPr>
          <w:b/>
        </w:rPr>
        <w:t xml:space="preserve"> as part of an overall mitigation framework (e.g., Rose et  al., 2012; Kriegler et al., 2013; Tavoni and Socolow, 2013).</w:t>
      </w:r>
    </w:p>
    <w:p w14:paraId="14DE0E58" w14:textId="77777777" w:rsidR="00B55FD9" w:rsidRDefault="00B55FD9" w:rsidP="002F68A1">
      <w:pPr>
        <w:rPr>
          <w:b/>
        </w:rPr>
      </w:pPr>
      <w:r w:rsidRPr="00B55FD9">
        <w:rPr>
          <w:b/>
        </w:rPr>
        <w:t xml:space="preserve">Possible climate risks of </w:t>
      </w:r>
      <w:r w:rsidRPr="00B55FD9">
        <w:rPr>
          <w:b/>
          <w:color w:val="F79646" w:themeColor="accent6"/>
        </w:rPr>
        <w:t>BECCS</w:t>
      </w:r>
      <w:r w:rsidRPr="00B55FD9">
        <w:rPr>
          <w:b/>
        </w:rPr>
        <w:t xml:space="preserve"> relate to reduction of land carbon stock, feasible scales of biomass production and increased N2O emissions, and potential leakage of CO2, which has been stored in deep geologic reservoirs (Rhodes and Keith, 2008).</w:t>
      </w:r>
      <w:r>
        <w:t xml:space="preserve"> The assumptions of sufficient spatially appropriate CCS capture, pipeline, and storage infrastructure are uncertain. </w:t>
      </w:r>
      <w:r w:rsidRPr="00B55FD9">
        <w:rPr>
          <w:b/>
        </w:rPr>
        <w:t xml:space="preserve">The literature highlights that </w:t>
      </w:r>
      <w:r w:rsidRPr="00B55FD9">
        <w:rPr>
          <w:b/>
          <w:color w:val="F79646" w:themeColor="accent6"/>
        </w:rPr>
        <w:t>BECCS</w:t>
      </w:r>
      <w:r w:rsidRPr="00B55FD9">
        <w:rPr>
          <w:b/>
        </w:rPr>
        <w:t xml:space="preserve"> as well as CCS deployment is dependent on strong financial incentives, as they are not cost competitive otherwise (</w:t>
      </w:r>
      <w:r w:rsidRPr="00B55FD9">
        <w:rPr>
          <w:b/>
          <w:color w:val="FF0000"/>
        </w:rPr>
        <w:t>Sections 7.5.5; 7.6.4; 7.9; 7.12</w:t>
      </w:r>
      <w:r w:rsidRPr="00B55FD9">
        <w:rPr>
          <w:b/>
        </w:rPr>
        <w:t>).</w:t>
      </w:r>
    </w:p>
    <w:p w14:paraId="25D90523" w14:textId="77777777" w:rsidR="00B55FD9" w:rsidRDefault="00B55FD9" w:rsidP="002F68A1">
      <w:r w:rsidRPr="00A33D33">
        <w:rPr>
          <w:b/>
          <w:color w:val="FF0000"/>
        </w:rPr>
        <w:t xml:space="preserve">Figure 11.22 </w:t>
      </w:r>
      <w:r w:rsidRPr="00A33D33">
        <w:rPr>
          <w:b/>
        </w:rPr>
        <w:t xml:space="preserve">illustrates some GHG effects associated with </w:t>
      </w:r>
      <w:r w:rsidRPr="00A33D33">
        <w:rPr>
          <w:b/>
          <w:color w:val="F79646" w:themeColor="accent6"/>
        </w:rPr>
        <w:t>BECCS</w:t>
      </w:r>
      <w:r w:rsidRPr="00A33D33">
        <w:rPr>
          <w:b/>
        </w:rPr>
        <w:t xml:space="preserve"> pathways. Tradeoffs between CO2 capture rate and feedstock conversion efficiency are possible. Depicted are pathways with the highest removal rate but not necessarily with the highest feedstock conversion rate. Among all </w:t>
      </w:r>
      <w:r w:rsidRPr="00A33D33">
        <w:rPr>
          <w:b/>
          <w:color w:val="F79646" w:themeColor="accent6"/>
        </w:rPr>
        <w:t>BECCS</w:t>
      </w:r>
      <w:r w:rsidRPr="00A33D33">
        <w:rPr>
          <w:b/>
        </w:rPr>
        <w:t xml:space="preserve"> pathways, those based on integrated gasification combined cycle produce most significant geologic storage potential from biomass, alone (shown in Figure 11.23, electricity) or coupled with coal.</w:t>
      </w:r>
      <w:r>
        <w:t xml:space="preserve"> </w:t>
      </w:r>
      <w:r w:rsidRPr="00A33D33">
        <w:rPr>
          <w:b/>
        </w:rPr>
        <w:t xml:space="preserve">Fischer-Tropsch diesel fuel production with biomass as feedstock and CCS attached to plant facilities could enable </w:t>
      </w:r>
      <w:r w:rsidRPr="00A33D33">
        <w:rPr>
          <w:b/>
          <w:color w:val="F79646" w:themeColor="accent6"/>
        </w:rPr>
        <w:t>BECCS</w:t>
      </w:r>
      <w:r w:rsidRPr="00A33D33">
        <w:rPr>
          <w:b/>
        </w:rPr>
        <w:t xml:space="preserve"> for transport; uncertainties in input factors, and output metrics warrant further research (van Vliet et al., 2009).</w:t>
      </w:r>
      <w:r>
        <w:t xml:space="preserve"> Fischer-Tropsch diesel would also allow net removal but at lower rates than BIGCC.</w:t>
      </w:r>
    </w:p>
    <w:p w14:paraId="11A6C7EA" w14:textId="77777777" w:rsidR="00A33D33" w:rsidRDefault="00A33D33" w:rsidP="002F68A1">
      <w:r w:rsidRPr="00A33D33">
        <w:rPr>
          <w:b/>
        </w:rPr>
        <w:t xml:space="preserve">Economics of scale in power plant size are crucial to improve economic viability of envisaged </w:t>
      </w:r>
      <w:r w:rsidRPr="00A33D33">
        <w:rPr>
          <w:b/>
          <w:color w:val="F79646" w:themeColor="accent6"/>
        </w:rPr>
        <w:t>BECCS</w:t>
      </w:r>
      <w:r w:rsidRPr="00A33D33">
        <w:rPr>
          <w:b/>
        </w:rPr>
        <w:t xml:space="preserve"> projects.</w:t>
      </w:r>
      <w:r>
        <w:t xml:space="preserve"> Increasing power plant size requires higher logistic challenges in delivering biomass.</w:t>
      </w:r>
    </w:p>
    <w:p w14:paraId="46501853" w14:textId="77777777" w:rsidR="00DE6A38" w:rsidRDefault="00A33D33" w:rsidP="002F68A1">
      <w:r>
        <w:t>Scales of 4,000 to 10,000 Mg/day needed for &gt; 600 MW power plants could become feasible as the biomass feedstock supply logistic development with manageable logistic costs if biomass is derived from high-yield monocrops; logistical costs are more challenging when biomass is derived from residues (e.g., Argo et al., 2013; Junginger et al., 2014). Large-scale biomass production with flexible integrated polygeneration facilities for fuels and/or power can improve the technoeconomic performance, currently above market prices to become more economically competitive over time (Meerman et  al., 2011</w:t>
      </w:r>
      <w:r w:rsidRPr="00A33D33">
        <w:t>).</w:t>
      </w:r>
      <w:r w:rsidRPr="00A33D33">
        <w:rPr>
          <w:b/>
        </w:rPr>
        <w:t xml:space="preserve"> In the future, increased operating experience of </w:t>
      </w:r>
      <w:r w:rsidRPr="00A33D33">
        <w:rPr>
          <w:b/>
          <w:color w:val="F79646" w:themeColor="accent6"/>
        </w:rPr>
        <w:t>BECCS</w:t>
      </w:r>
      <w:r w:rsidRPr="00A33D33">
        <w:rPr>
          <w:b/>
        </w:rPr>
        <w:t xml:space="preserve"> IGCC-CCS through technological improvements and learning could enable carbon neutral electricity and, in combination with CCS, could result in net removal of CO2 (Figure 11.22). </w:t>
      </w:r>
      <w:r w:rsidRPr="00A33D33">
        <w:rPr>
          <w:b/>
          <w:color w:val="F79646" w:themeColor="accent6"/>
        </w:rPr>
        <w:t>BECCS</w:t>
      </w:r>
      <w:r w:rsidRPr="00A33D33">
        <w:rPr>
          <w:b/>
        </w:rPr>
        <w:t xml:space="preserve"> is among the lowest cost CCS options for a number of key industrial sectors (Meerman et al., 2013).</w:t>
      </w:r>
      <w:r>
        <w:t xml:space="preserve"> </w:t>
      </w:r>
      <w:r w:rsidRPr="00A33D33">
        <w:rPr>
          <w:b/>
        </w:rPr>
        <w:t xml:space="preserve">It should be noted that primary empiric cost and performance data for dedicated bioenergy plants are not yet available and needed for comprehensively assessing </w:t>
      </w:r>
      <w:r w:rsidRPr="00A33D33">
        <w:rPr>
          <w:b/>
          <w:color w:val="F79646" w:themeColor="accent6"/>
        </w:rPr>
        <w:t>BECCS</w:t>
      </w:r>
      <w:r w:rsidRPr="00A33D33">
        <w:rPr>
          <w:b/>
        </w:rPr>
        <w:t xml:space="preserve">. The current status of CCS and on-going research issues are discussed in </w:t>
      </w:r>
      <w:r w:rsidRPr="00A33D33">
        <w:rPr>
          <w:b/>
          <w:color w:val="FF0000"/>
        </w:rPr>
        <w:t>Sections 7.5.5 and 7.6.4</w:t>
      </w:r>
      <w:r w:rsidRPr="00A33D33">
        <w:rPr>
          <w:b/>
        </w:rPr>
        <w:t xml:space="preserve">. </w:t>
      </w:r>
      <w:r>
        <w:t>Social concerns constitute a major barrier for implement demonstration and deployment projects.</w:t>
      </w:r>
    </w:p>
    <w:p w14:paraId="09C20A76" w14:textId="77777777" w:rsidR="0030392E" w:rsidRPr="0030392E" w:rsidRDefault="0030392E" w:rsidP="0030392E">
      <w:pPr>
        <w:pStyle w:val="berschrift2"/>
        <w:rPr>
          <w:rStyle w:val="berschrift1Zchn"/>
          <w:b/>
          <w:color w:val="4F81BD" w:themeColor="accent1"/>
          <w:sz w:val="26"/>
          <w:szCs w:val="26"/>
        </w:rPr>
      </w:pPr>
      <w:bookmarkStart w:id="72" w:name="_Toc525298505"/>
      <w:r w:rsidRPr="0030392E">
        <w:rPr>
          <w:rStyle w:val="berschrift1Zchn"/>
          <w:b/>
          <w:color w:val="4F81BD" w:themeColor="accent1"/>
          <w:sz w:val="26"/>
          <w:szCs w:val="26"/>
        </w:rPr>
        <w:t>11.13.4 GHG emission estimates of bioenergy production systems</w:t>
      </w:r>
      <w:bookmarkEnd w:id="72"/>
    </w:p>
    <w:p w14:paraId="74181054" w14:textId="77777777" w:rsidR="0030392E" w:rsidRDefault="0030392E" w:rsidP="0030392E">
      <w:r w:rsidRPr="0030392E">
        <w:rPr>
          <w:b/>
          <w:color w:val="FF0000"/>
        </w:rPr>
        <w:t>Figure 11.23</w:t>
      </w:r>
      <w:r w:rsidRPr="0030392E">
        <w:rPr>
          <w:color w:val="FF0000"/>
        </w:rPr>
        <w:t xml:space="preserve"> </w:t>
      </w:r>
      <w:r>
        <w:t xml:space="preserve">illustrates the range of lifecycle global direct climate impact (in g CO2 equivalents per MJ, after characterization with GWP time horizon=100 years) attributed to major global bioenergy products </w:t>
      </w:r>
      <w:r>
        <w:lastRenderedPageBreak/>
        <w:t xml:space="preserve">reported in the peer-reviewed literature after 2010. Results are broadly comparable to those of Chapter 2 in SRREN (Figures 2.10 and 2.11 in SRREN; Chum et al., 2011) Those figures displayed </w:t>
      </w:r>
      <w:r w:rsidRPr="0030392E">
        <w:rPr>
          <w:b/>
          <w:color w:val="7030A0"/>
        </w:rPr>
        <w:t>negative emissions</w:t>
      </w:r>
      <w:r>
        <w:t>, resulting from crediting emission reduction due to substitution effects. This appendix refrains from allocating credits to feedstocks to avoid double accounting.</w:t>
      </w:r>
    </w:p>
    <w:p w14:paraId="5A3760F2" w14:textId="77777777" w:rsidR="003C56A6" w:rsidRPr="003C56A6" w:rsidRDefault="003C56A6" w:rsidP="003C56A6">
      <w:pPr>
        <w:pStyle w:val="berschrift2"/>
        <w:rPr>
          <w:rStyle w:val="berschrift1Zchn"/>
          <w:b/>
          <w:color w:val="4F81BD" w:themeColor="accent1"/>
          <w:sz w:val="26"/>
          <w:szCs w:val="26"/>
        </w:rPr>
      </w:pPr>
      <w:bookmarkStart w:id="73" w:name="_Toc525298506"/>
      <w:r w:rsidRPr="003C56A6">
        <w:rPr>
          <w:rStyle w:val="berschrift1Zchn"/>
          <w:b/>
          <w:color w:val="4F81BD" w:themeColor="accent1"/>
          <w:sz w:val="26"/>
          <w:szCs w:val="26"/>
        </w:rPr>
        <w:t>11.13.5 Aggregate future potential deployment in integrated models</w:t>
      </w:r>
      <w:bookmarkEnd w:id="73"/>
    </w:p>
    <w:p w14:paraId="198F1CA0" w14:textId="77777777" w:rsidR="003C56A6" w:rsidRDefault="003C56A6" w:rsidP="0030392E">
      <w:r w:rsidRPr="003C56A6">
        <w:rPr>
          <w:b/>
          <w:color w:val="F79646" w:themeColor="accent6"/>
        </w:rPr>
        <w:t>BECCS</w:t>
      </w:r>
      <w:r>
        <w:t xml:space="preserve"> features prominently in many mitigation scenarios. </w:t>
      </w:r>
      <w:r w:rsidRPr="003C56A6">
        <w:rPr>
          <w:b/>
          <w:color w:val="F79646" w:themeColor="accent6"/>
        </w:rPr>
        <w:t>BECCS</w:t>
      </w:r>
      <w:r>
        <w:t xml:space="preserve"> is deployed in greater quantities and earlier in time the more stringent the climate policy (</w:t>
      </w:r>
      <w:r w:rsidRPr="003C56A6">
        <w:rPr>
          <w:b/>
          <w:color w:val="FF0000"/>
        </w:rPr>
        <w:t>Section 6.3.5</w:t>
      </w:r>
      <w:r>
        <w:t xml:space="preserve">). Whether </w:t>
      </w:r>
      <w:r w:rsidRPr="003C56A6">
        <w:rPr>
          <w:b/>
          <w:color w:val="F79646" w:themeColor="accent6"/>
        </w:rPr>
        <w:t>BECCS</w:t>
      </w:r>
      <w:r>
        <w:t xml:space="preserve"> is essential for mitigation, or even sufficient, is unclear. In addition, the likelihood of </w:t>
      </w:r>
      <w:r w:rsidRPr="0098244C">
        <w:rPr>
          <w:b/>
          <w:color w:val="F79646" w:themeColor="accent6"/>
        </w:rPr>
        <w:t>BECCS</w:t>
      </w:r>
      <w:r>
        <w:t xml:space="preserve"> deployment is difficult to evaluate and depends on safety confirmations, affordability and public acceptance (see </w:t>
      </w:r>
      <w:r w:rsidRPr="0098244C">
        <w:rPr>
          <w:b/>
          <w:color w:val="FF0000"/>
        </w:rPr>
        <w:t>Section 11.13.3</w:t>
      </w:r>
      <w:r w:rsidRPr="0098244C">
        <w:rPr>
          <w:color w:val="FF0000"/>
        </w:rPr>
        <w:t xml:space="preserve"> </w:t>
      </w:r>
      <w:r>
        <w:t xml:space="preserve">for details). </w:t>
      </w:r>
      <w:r w:rsidRPr="003C56A6">
        <w:rPr>
          <w:b/>
          <w:color w:val="F79646" w:themeColor="accent6"/>
        </w:rPr>
        <w:t>BECCS</w:t>
      </w:r>
      <w:r>
        <w:t xml:space="preserve"> may also affect the cost-effective emissions trajectory (Richels et al., In Review; Rose et al., 2013).</w:t>
      </w:r>
    </w:p>
    <w:p w14:paraId="2249F181" w14:textId="77777777" w:rsidR="003C56A6" w:rsidRDefault="003C56A6" w:rsidP="0030392E"/>
    <w:p w14:paraId="09C2B15E" w14:textId="77777777" w:rsidR="000A490D" w:rsidRPr="000A490D" w:rsidRDefault="000A490D" w:rsidP="000A490D">
      <w:pPr>
        <w:pStyle w:val="berschrift2"/>
        <w:rPr>
          <w:rStyle w:val="berschrift1Zchn"/>
          <w:b/>
          <w:color w:val="4F81BD" w:themeColor="accent1"/>
          <w:sz w:val="26"/>
          <w:szCs w:val="26"/>
        </w:rPr>
      </w:pPr>
      <w:bookmarkStart w:id="74" w:name="_Toc525298507"/>
      <w:r w:rsidRPr="000A490D">
        <w:rPr>
          <w:rStyle w:val="berschrift1Zchn"/>
          <w:b/>
          <w:color w:val="4F81BD" w:themeColor="accent1"/>
          <w:sz w:val="26"/>
          <w:szCs w:val="26"/>
        </w:rPr>
        <w:t>FAQ 11.2 How will mitigation actions in AFOLU affect GHG emissions over different timescales?</w:t>
      </w:r>
      <w:bookmarkEnd w:id="74"/>
    </w:p>
    <w:p w14:paraId="0D1B0BEA" w14:textId="77777777" w:rsidR="000A490D" w:rsidRDefault="000A490D" w:rsidP="0030392E">
      <w:r w:rsidRPr="000A490D">
        <w:rPr>
          <w:b/>
        </w:rPr>
        <w:t xml:space="preserve">There are many mitigation options in the AFOLU sector that are already being implemented, e.g., </w:t>
      </w:r>
      <w:r w:rsidRPr="000A490D">
        <w:rPr>
          <w:b/>
          <w:color w:val="0070C0"/>
        </w:rPr>
        <w:t>afforestation</w:t>
      </w:r>
      <w:r w:rsidRPr="000A490D">
        <w:rPr>
          <w:b/>
        </w:rPr>
        <w:t>, reducing deforestation, cropland and grazing land management, fire management, and improved livestock breeds and diets.</w:t>
      </w:r>
      <w:r>
        <w:t xml:space="preserve"> These can be implemented now. Others (such as some forms of biotechnology and livestock dietary additives) are still in development and may not be applicable for a number of years. In terms of the mode of action of the options, in common with other sectors, non-CO2 greenhouse gas emission reduction is immediate and permanent. However, a large portion of the mitigation potential in the AFOLU sector is carbon sequestration in soils and vegetation. This mitigation potential differs, in that the options are time-limited (the potential saturates), and the enhanced carbon stocks created are reversible and non-permanent. There is, therefore, a significant time component in the realization and the duration of much of the mitigation potential available in the AFOLU sector.</w:t>
      </w:r>
    </w:p>
    <w:p w14:paraId="61A4BC4A" w14:textId="77777777" w:rsidR="000A490D" w:rsidRPr="000A490D" w:rsidRDefault="000A490D" w:rsidP="000A490D">
      <w:pPr>
        <w:pStyle w:val="berschrift2"/>
        <w:rPr>
          <w:rStyle w:val="berschrift1Zchn"/>
          <w:b/>
          <w:color w:val="4F81BD" w:themeColor="accent1"/>
          <w:sz w:val="26"/>
          <w:szCs w:val="26"/>
        </w:rPr>
      </w:pPr>
      <w:bookmarkStart w:id="75" w:name="_Toc525298508"/>
      <w:r w:rsidRPr="000A490D">
        <w:rPr>
          <w:rStyle w:val="berschrift1Zchn"/>
          <w:b/>
          <w:color w:val="4F81BD" w:themeColor="accent1"/>
          <w:sz w:val="26"/>
          <w:szCs w:val="26"/>
        </w:rPr>
        <w:t>FAQ 11.3 What is the potential of the main mitigation options in AFOLU for reducing GHG emissions?</w:t>
      </w:r>
      <w:bookmarkEnd w:id="75"/>
    </w:p>
    <w:p w14:paraId="07D84A23" w14:textId="77777777" w:rsidR="000A490D" w:rsidRDefault="000A490D" w:rsidP="0030392E">
      <w:r>
        <w:t xml:space="preserve">In general, available top-down estimates of costs and potentials suggest that AFOLU mitigation will be an important part of a global costeffective abatement strategy. However, potentials and costs of these mitigation options differ greatly by activity, regions, system boundaries, and the time horizon. </w:t>
      </w:r>
      <w:r w:rsidRPr="000A490D">
        <w:rPr>
          <w:b/>
        </w:rPr>
        <w:t xml:space="preserve">Especially, forestry mitigation options—including reduced deforestation, forest management, </w:t>
      </w:r>
      <w:r w:rsidRPr="000A490D">
        <w:rPr>
          <w:b/>
          <w:color w:val="0070C0"/>
        </w:rPr>
        <w:t>afforestation</w:t>
      </w:r>
      <w:r w:rsidRPr="000A490D">
        <w:rPr>
          <w:b/>
        </w:rPr>
        <w:t>, and agro-forestry—are estimated to contribute 0.2–13.8 GtCO2/yr of economically viable abatement in 2030 at carbon prices up to 100 USD/tCO2eq.</w:t>
      </w:r>
      <w:r>
        <w:t xml:space="preserve"> Global economic mitigation potentials in agriculture in 2030 are estimated to be up to 0.5–10.6 GtCO2eq/yr. Besides supplyside-based mitigation, demand-side mitigation options can have a significant impact on GHG emissions from food production. Changes in diet towards plant-based and hence less GHG-intensive food can result in GHG emission savings of 0.7–7.3 GtCO2eq/yr in 2050, depending on which GHGs and diets are considered. Reducing food losses and waste in the supply chain from harvest to consumption can reduce GHG emissions by 0.6–6.0 GtCO2eq/yr.</w:t>
      </w:r>
    </w:p>
    <w:p w14:paraId="0FA0DFBC" w14:textId="77777777" w:rsidR="000A490D" w:rsidRPr="000A490D" w:rsidRDefault="000A490D" w:rsidP="000A490D">
      <w:pPr>
        <w:pStyle w:val="berschrift2"/>
        <w:rPr>
          <w:rStyle w:val="berschrift1Zchn"/>
          <w:b/>
          <w:color w:val="4F81BD" w:themeColor="accent1"/>
          <w:sz w:val="26"/>
          <w:szCs w:val="26"/>
        </w:rPr>
      </w:pPr>
      <w:bookmarkStart w:id="76" w:name="_Toc525298509"/>
      <w:r w:rsidRPr="000A490D">
        <w:rPr>
          <w:rStyle w:val="berschrift1Zchn"/>
          <w:b/>
          <w:color w:val="4F81BD" w:themeColor="accent1"/>
          <w:sz w:val="26"/>
          <w:szCs w:val="26"/>
        </w:rPr>
        <w:lastRenderedPageBreak/>
        <w:t>FAQ 11.4 Are there any co-benefits associated with mitigation actions in AFOLU?</w:t>
      </w:r>
      <w:bookmarkEnd w:id="76"/>
    </w:p>
    <w:p w14:paraId="29B3D98F" w14:textId="77777777" w:rsidR="000A490D" w:rsidRPr="000A490D" w:rsidRDefault="000A490D" w:rsidP="0030392E">
      <w:pPr>
        <w:rPr>
          <w:b/>
        </w:rPr>
      </w:pPr>
      <w:r w:rsidRPr="000A490D">
        <w:rPr>
          <w:b/>
        </w:rPr>
        <w:t xml:space="preserve">In several cases, the implementation of AFOLU mitigation measures may result in an improvement in land management and therefore have socio-economic, health, and environmental benefits: For example, reducing deforestation, reforestation, and </w:t>
      </w:r>
      <w:r w:rsidRPr="000A490D">
        <w:rPr>
          <w:b/>
          <w:color w:val="0070C0"/>
        </w:rPr>
        <w:t xml:space="preserve">afforestation </w:t>
      </w:r>
      <w:r w:rsidRPr="000A490D">
        <w:rPr>
          <w:b/>
        </w:rPr>
        <w:t>can improve local climatic conditions, water quality, biodiversity conservation, and help to restore degraded or abandoned land.</w:t>
      </w:r>
      <w:r>
        <w:t xml:space="preserve"> Soil management to increase soil carbon sequestration may also reduce the amount of wind and water erosion due to an increase in surface cover. </w:t>
      </w:r>
      <w:r w:rsidRPr="000A490D">
        <w:rPr>
          <w:b/>
        </w:rPr>
        <w:t xml:space="preserve">Further considerations on economic co-benefits are related to the access to carbon payments either within or outside the UNFCCC agreements and new income opportunities especially in developing countries (particularly for labour-intensive mitigation options such as </w:t>
      </w:r>
      <w:r w:rsidRPr="000A490D">
        <w:rPr>
          <w:b/>
          <w:color w:val="0070C0"/>
        </w:rPr>
        <w:t>afforestation</w:t>
      </w:r>
      <w:r w:rsidRPr="000A490D">
        <w:rPr>
          <w:b/>
        </w:rPr>
        <w:t>).</w:t>
      </w:r>
    </w:p>
    <w:p w14:paraId="73AE0781" w14:textId="77777777" w:rsidR="000A490D" w:rsidRPr="0030392E" w:rsidRDefault="000A490D" w:rsidP="0030392E"/>
    <w:p w14:paraId="573980E4" w14:textId="77777777" w:rsidR="00FA6932" w:rsidRDefault="00FA6932">
      <w:pPr>
        <w:spacing w:after="0" w:line="240" w:lineRule="auto"/>
        <w:rPr>
          <w:rFonts w:asciiTheme="majorHAnsi" w:eastAsiaTheme="majorEastAsia" w:hAnsiTheme="majorHAnsi" w:cstheme="majorBidi"/>
          <w:b/>
          <w:bCs/>
          <w:color w:val="365F91" w:themeColor="accent1" w:themeShade="BF"/>
          <w:sz w:val="28"/>
          <w:szCs w:val="28"/>
        </w:rPr>
      </w:pPr>
      <w:r>
        <w:br w:type="page"/>
      </w:r>
    </w:p>
    <w:p w14:paraId="7662E7C8" w14:textId="31E271EE" w:rsidR="0091311E" w:rsidRDefault="0091311E" w:rsidP="0091311E">
      <w:pPr>
        <w:pStyle w:val="berschrift1"/>
      </w:pPr>
      <w:bookmarkStart w:id="77" w:name="_Toc525298510"/>
      <w:r w:rsidRPr="008E2000">
        <w:lastRenderedPageBreak/>
        <w:t xml:space="preserve">IPCC AR5 WGIII </w:t>
      </w:r>
      <w:r>
        <w:t>– Chapter 13: International Cooperation: Agreements &amp; Instruments</w:t>
      </w:r>
      <w:bookmarkEnd w:id="77"/>
    </w:p>
    <w:p w14:paraId="4B62D0AD" w14:textId="77777777" w:rsidR="0091311E" w:rsidRPr="008E2000" w:rsidRDefault="0091311E" w:rsidP="0091311E">
      <w:pPr>
        <w:pStyle w:val="berschrift1"/>
      </w:pPr>
    </w:p>
    <w:p w14:paraId="28EC61C7" w14:textId="77777777" w:rsidR="0091311E" w:rsidRPr="00101EA0" w:rsidRDefault="0091311E" w:rsidP="0091311E">
      <w:pPr>
        <w:pStyle w:val="KeinLeerraum"/>
        <w:rPr>
          <w:rStyle w:val="berschrift1Zchn"/>
        </w:rPr>
      </w:pPr>
      <w:r w:rsidRPr="00101EA0">
        <w:rPr>
          <w:rStyle w:val="berschrift1Zchn"/>
        </w:rPr>
        <w:t>Statistics</w:t>
      </w:r>
    </w:p>
    <w:tbl>
      <w:tblPr>
        <w:tblStyle w:val="Tabellenraster"/>
        <w:tblW w:w="0" w:type="auto"/>
        <w:tblLook w:val="04A0" w:firstRow="1" w:lastRow="0" w:firstColumn="1" w:lastColumn="0" w:noHBand="0" w:noVBand="1"/>
      </w:tblPr>
      <w:tblGrid>
        <w:gridCol w:w="7571"/>
        <w:gridCol w:w="1825"/>
      </w:tblGrid>
      <w:tr w:rsidR="0091311E" w14:paraId="61B2CB0C" w14:textId="77777777" w:rsidTr="000C6565">
        <w:tc>
          <w:tcPr>
            <w:tcW w:w="7763" w:type="dxa"/>
          </w:tcPr>
          <w:p w14:paraId="0F6FDC79" w14:textId="77777777" w:rsidR="0091311E" w:rsidRPr="00FE4BC7" w:rsidRDefault="0091311E" w:rsidP="000C6565">
            <w:pPr>
              <w:pStyle w:val="KeinLeerraum"/>
              <w:rPr>
                <w:b/>
              </w:rPr>
            </w:pPr>
            <w:r w:rsidRPr="00FE4BC7">
              <w:rPr>
                <w:b/>
              </w:rPr>
              <w:t>Keyword</w:t>
            </w:r>
          </w:p>
        </w:tc>
        <w:tc>
          <w:tcPr>
            <w:tcW w:w="1859" w:type="dxa"/>
          </w:tcPr>
          <w:p w14:paraId="5169C4E1" w14:textId="77777777" w:rsidR="0091311E" w:rsidRPr="00FE4BC7" w:rsidRDefault="0091311E" w:rsidP="000C6565">
            <w:pPr>
              <w:pStyle w:val="KeinLeerraum"/>
              <w:rPr>
                <w:b/>
              </w:rPr>
            </w:pPr>
            <w:r w:rsidRPr="00FE4BC7">
              <w:rPr>
                <w:b/>
              </w:rPr>
              <w:t>Count</w:t>
            </w:r>
          </w:p>
        </w:tc>
      </w:tr>
      <w:tr w:rsidR="0091311E" w14:paraId="22C5964B" w14:textId="77777777" w:rsidTr="000C6565">
        <w:tc>
          <w:tcPr>
            <w:tcW w:w="7763" w:type="dxa"/>
          </w:tcPr>
          <w:p w14:paraId="23246700" w14:textId="77777777" w:rsidR="0091311E" w:rsidRPr="00B80049" w:rsidRDefault="0091311E" w:rsidP="000C6565">
            <w:pPr>
              <w:pStyle w:val="KeinLeerraum"/>
              <w:rPr>
                <w:b/>
              </w:rPr>
            </w:pPr>
            <w:r w:rsidRPr="00B80049">
              <w:rPr>
                <w:b/>
                <w:color w:val="7030A0"/>
              </w:rPr>
              <w:t>Negative emission</w:t>
            </w:r>
          </w:p>
        </w:tc>
        <w:tc>
          <w:tcPr>
            <w:tcW w:w="1859" w:type="dxa"/>
          </w:tcPr>
          <w:p w14:paraId="46902418" w14:textId="77777777" w:rsidR="0091311E" w:rsidRDefault="00462759" w:rsidP="000C6565">
            <w:pPr>
              <w:pStyle w:val="KeinLeerraum"/>
            </w:pPr>
            <w:r>
              <w:t>1</w:t>
            </w:r>
          </w:p>
        </w:tc>
      </w:tr>
      <w:tr w:rsidR="0091311E" w14:paraId="259F5EFA" w14:textId="77777777" w:rsidTr="000C6565">
        <w:tc>
          <w:tcPr>
            <w:tcW w:w="7763" w:type="dxa"/>
          </w:tcPr>
          <w:p w14:paraId="11239277" w14:textId="77777777" w:rsidR="0091311E" w:rsidRPr="00B80049" w:rsidRDefault="0091311E" w:rsidP="000C6565">
            <w:pPr>
              <w:pStyle w:val="KeinLeerraum"/>
              <w:rPr>
                <w:b/>
              </w:rPr>
            </w:pPr>
            <w:r>
              <w:rPr>
                <w:b/>
                <w:color w:val="00B050"/>
              </w:rPr>
              <w:t>C</w:t>
            </w:r>
            <w:r w:rsidRPr="00B80049">
              <w:rPr>
                <w:b/>
                <w:color w:val="00B050"/>
              </w:rPr>
              <w:t>arbon dioxide removal/CDR</w:t>
            </w:r>
          </w:p>
        </w:tc>
        <w:tc>
          <w:tcPr>
            <w:tcW w:w="1859" w:type="dxa"/>
          </w:tcPr>
          <w:p w14:paraId="1CB6A331" w14:textId="77777777" w:rsidR="0091311E" w:rsidRDefault="00462759" w:rsidP="000C6565">
            <w:pPr>
              <w:pStyle w:val="KeinLeerraum"/>
            </w:pPr>
            <w:r>
              <w:t>3</w:t>
            </w:r>
          </w:p>
        </w:tc>
      </w:tr>
      <w:tr w:rsidR="0091311E" w14:paraId="61C1FCA5" w14:textId="77777777" w:rsidTr="000C6565">
        <w:tc>
          <w:tcPr>
            <w:tcW w:w="7763" w:type="dxa"/>
          </w:tcPr>
          <w:p w14:paraId="6E0B5DEE" w14:textId="77777777" w:rsidR="0091311E" w:rsidRPr="00B80049" w:rsidRDefault="0091311E" w:rsidP="000C6565">
            <w:pPr>
              <w:pStyle w:val="KeinLeerraum"/>
              <w:rPr>
                <w:b/>
              </w:rPr>
            </w:pPr>
            <w:r w:rsidRPr="00B80049">
              <w:rPr>
                <w:b/>
                <w:color w:val="F79646" w:themeColor="accent6"/>
              </w:rPr>
              <w:t>Bioenergy with carbon and capture/BECCS</w:t>
            </w:r>
          </w:p>
        </w:tc>
        <w:tc>
          <w:tcPr>
            <w:tcW w:w="1859" w:type="dxa"/>
          </w:tcPr>
          <w:p w14:paraId="451F6DBE" w14:textId="77777777" w:rsidR="0091311E" w:rsidRDefault="0091311E" w:rsidP="000C6565">
            <w:pPr>
              <w:pStyle w:val="KeinLeerraum"/>
            </w:pPr>
            <w:r>
              <w:t>0</w:t>
            </w:r>
          </w:p>
        </w:tc>
      </w:tr>
      <w:tr w:rsidR="0091311E" w14:paraId="6528AC56" w14:textId="77777777" w:rsidTr="000C6565">
        <w:tc>
          <w:tcPr>
            <w:tcW w:w="7763" w:type="dxa"/>
          </w:tcPr>
          <w:p w14:paraId="6A0631FC" w14:textId="77777777" w:rsidR="0091311E" w:rsidRPr="00B80049" w:rsidRDefault="0091311E" w:rsidP="000C6565">
            <w:pPr>
              <w:pStyle w:val="KeinLeerraum"/>
              <w:rPr>
                <w:b/>
              </w:rPr>
            </w:pPr>
            <w:r w:rsidRPr="00B80049">
              <w:rPr>
                <w:b/>
                <w:color w:val="0070C0"/>
              </w:rPr>
              <w:t>Afforestation</w:t>
            </w:r>
          </w:p>
        </w:tc>
        <w:tc>
          <w:tcPr>
            <w:tcW w:w="1859" w:type="dxa"/>
          </w:tcPr>
          <w:p w14:paraId="0AB88DE8" w14:textId="77777777" w:rsidR="0091311E" w:rsidRDefault="0091311E" w:rsidP="000C6565">
            <w:pPr>
              <w:pStyle w:val="KeinLeerraum"/>
            </w:pPr>
            <w:r>
              <w:t>0</w:t>
            </w:r>
          </w:p>
        </w:tc>
      </w:tr>
    </w:tbl>
    <w:p w14:paraId="64683BC7" w14:textId="77777777" w:rsidR="0091311E" w:rsidRDefault="0091311E" w:rsidP="0091311E"/>
    <w:tbl>
      <w:tblPr>
        <w:tblStyle w:val="Tabellenraster"/>
        <w:tblW w:w="0" w:type="auto"/>
        <w:tblLook w:val="04A0" w:firstRow="1" w:lastRow="0" w:firstColumn="1" w:lastColumn="0" w:noHBand="0" w:noVBand="1"/>
      </w:tblPr>
      <w:tblGrid>
        <w:gridCol w:w="7569"/>
        <w:gridCol w:w="1827"/>
      </w:tblGrid>
      <w:tr w:rsidR="0091311E" w14:paraId="37D90850" w14:textId="77777777" w:rsidTr="000C6565">
        <w:tc>
          <w:tcPr>
            <w:tcW w:w="7763" w:type="dxa"/>
          </w:tcPr>
          <w:p w14:paraId="0DCA27A6" w14:textId="77777777" w:rsidR="0091311E" w:rsidRPr="00FE4BC7" w:rsidRDefault="0091311E" w:rsidP="000C6565">
            <w:pPr>
              <w:pStyle w:val="KeinLeerraum"/>
              <w:rPr>
                <w:b/>
              </w:rPr>
            </w:pPr>
            <w:r>
              <w:rPr>
                <w:b/>
              </w:rPr>
              <w:t>IPCC references</w:t>
            </w:r>
          </w:p>
        </w:tc>
        <w:tc>
          <w:tcPr>
            <w:tcW w:w="1859" w:type="dxa"/>
          </w:tcPr>
          <w:p w14:paraId="1F5FC36E" w14:textId="77777777" w:rsidR="0091311E" w:rsidRPr="00FE4BC7" w:rsidRDefault="0091311E" w:rsidP="000C6565">
            <w:pPr>
              <w:pStyle w:val="KeinLeerraum"/>
              <w:rPr>
                <w:b/>
              </w:rPr>
            </w:pPr>
            <w:r w:rsidRPr="00FE4BC7">
              <w:rPr>
                <w:b/>
              </w:rPr>
              <w:t>Count</w:t>
            </w:r>
          </w:p>
        </w:tc>
      </w:tr>
      <w:tr w:rsidR="0091311E" w14:paraId="5B35B0DB" w14:textId="77777777" w:rsidTr="000C6565">
        <w:tc>
          <w:tcPr>
            <w:tcW w:w="7763" w:type="dxa"/>
          </w:tcPr>
          <w:p w14:paraId="1C20A521" w14:textId="77777777" w:rsidR="0091311E" w:rsidRDefault="002E7406" w:rsidP="000C6565">
            <w:pPr>
              <w:pStyle w:val="KeinLeerraum"/>
            </w:pPr>
            <w:r>
              <w:t>Section 6.9 (WGI)</w:t>
            </w:r>
          </w:p>
        </w:tc>
        <w:tc>
          <w:tcPr>
            <w:tcW w:w="1859" w:type="dxa"/>
          </w:tcPr>
          <w:p w14:paraId="2B6BA214" w14:textId="77777777" w:rsidR="0091311E" w:rsidRDefault="0091311E" w:rsidP="000C6565">
            <w:pPr>
              <w:pStyle w:val="KeinLeerraum"/>
            </w:pPr>
            <w:r>
              <w:t>1</w:t>
            </w:r>
          </w:p>
        </w:tc>
      </w:tr>
      <w:tr w:rsidR="0091311E" w14:paraId="12766D0C" w14:textId="77777777" w:rsidTr="000C6565">
        <w:tc>
          <w:tcPr>
            <w:tcW w:w="7763" w:type="dxa"/>
          </w:tcPr>
          <w:p w14:paraId="35CEA85C" w14:textId="77777777" w:rsidR="0091311E" w:rsidRDefault="0091311E" w:rsidP="002E7406">
            <w:pPr>
              <w:pStyle w:val="KeinLeerraum"/>
            </w:pPr>
            <w:r>
              <w:t xml:space="preserve">Section </w:t>
            </w:r>
            <w:r w:rsidR="002E7406">
              <w:t>13.4.4</w:t>
            </w:r>
          </w:p>
        </w:tc>
        <w:tc>
          <w:tcPr>
            <w:tcW w:w="1859" w:type="dxa"/>
          </w:tcPr>
          <w:p w14:paraId="541DB35A" w14:textId="77777777" w:rsidR="0091311E" w:rsidRDefault="0091311E" w:rsidP="000C6565">
            <w:pPr>
              <w:pStyle w:val="KeinLeerraum"/>
            </w:pPr>
            <w:r>
              <w:t>1</w:t>
            </w:r>
            <w:r w:rsidR="00462759">
              <w:t xml:space="preserve"> </w:t>
            </w:r>
          </w:p>
        </w:tc>
      </w:tr>
      <w:tr w:rsidR="0091311E" w14:paraId="5A2FF13F" w14:textId="77777777" w:rsidTr="000C6565">
        <w:tc>
          <w:tcPr>
            <w:tcW w:w="7763" w:type="dxa"/>
          </w:tcPr>
          <w:p w14:paraId="644227AB" w14:textId="77777777" w:rsidR="0091311E" w:rsidRDefault="002E7406" w:rsidP="000C6565">
            <w:pPr>
              <w:pStyle w:val="KeinLeerraum"/>
            </w:pPr>
            <w:r>
              <w:t>Figure 6.31</w:t>
            </w:r>
          </w:p>
        </w:tc>
        <w:tc>
          <w:tcPr>
            <w:tcW w:w="1859" w:type="dxa"/>
          </w:tcPr>
          <w:p w14:paraId="58F8C1CE" w14:textId="77777777" w:rsidR="0091311E" w:rsidRDefault="002E7406" w:rsidP="000C6565">
            <w:pPr>
              <w:pStyle w:val="KeinLeerraum"/>
            </w:pPr>
            <w:r>
              <w:t>1</w:t>
            </w:r>
          </w:p>
        </w:tc>
      </w:tr>
    </w:tbl>
    <w:p w14:paraId="7C46EFED" w14:textId="77777777" w:rsidR="002E7406" w:rsidRDefault="002E7406" w:rsidP="0091311E"/>
    <w:p w14:paraId="486F4278" w14:textId="77777777" w:rsidR="0091311E" w:rsidRDefault="0091311E" w:rsidP="0091311E">
      <w:pPr>
        <w:rPr>
          <w:rStyle w:val="berschrift1Zchn"/>
        </w:rPr>
      </w:pPr>
      <w:r w:rsidRPr="00101EA0">
        <w:rPr>
          <w:rStyle w:val="berschrift1Zchn"/>
        </w:rPr>
        <w:t>Statements</w:t>
      </w:r>
    </w:p>
    <w:tbl>
      <w:tblPr>
        <w:tblStyle w:val="Tabellenraster"/>
        <w:tblW w:w="0" w:type="auto"/>
        <w:tblLook w:val="04A0" w:firstRow="1" w:lastRow="0" w:firstColumn="1" w:lastColumn="0" w:noHBand="0" w:noVBand="1"/>
      </w:tblPr>
      <w:tblGrid>
        <w:gridCol w:w="525"/>
        <w:gridCol w:w="8044"/>
        <w:gridCol w:w="827"/>
      </w:tblGrid>
      <w:tr w:rsidR="0091311E" w14:paraId="281CFF2F" w14:textId="77777777" w:rsidTr="000C6565">
        <w:tc>
          <w:tcPr>
            <w:tcW w:w="531" w:type="dxa"/>
          </w:tcPr>
          <w:p w14:paraId="6F55DAAB" w14:textId="77777777" w:rsidR="0091311E" w:rsidRPr="00F71281" w:rsidRDefault="0091311E" w:rsidP="000C6565">
            <w:pPr>
              <w:pStyle w:val="KeinLeerraum"/>
              <w:rPr>
                <w:b/>
              </w:rPr>
            </w:pPr>
            <w:r>
              <w:rPr>
                <w:b/>
              </w:rPr>
              <w:t>#</w:t>
            </w:r>
          </w:p>
        </w:tc>
        <w:tc>
          <w:tcPr>
            <w:tcW w:w="8262" w:type="dxa"/>
          </w:tcPr>
          <w:p w14:paraId="4BB2D399" w14:textId="77777777" w:rsidR="0091311E" w:rsidRPr="00F71281" w:rsidRDefault="0091311E" w:rsidP="000C6565">
            <w:pPr>
              <w:pStyle w:val="KeinLeerraum"/>
              <w:rPr>
                <w:b/>
              </w:rPr>
            </w:pPr>
            <w:r w:rsidRPr="00F71281">
              <w:rPr>
                <w:b/>
              </w:rPr>
              <w:t>Statements</w:t>
            </w:r>
          </w:p>
        </w:tc>
        <w:tc>
          <w:tcPr>
            <w:tcW w:w="829" w:type="dxa"/>
          </w:tcPr>
          <w:p w14:paraId="266C69A1" w14:textId="77777777" w:rsidR="0091311E" w:rsidRPr="00415E62" w:rsidRDefault="0091311E" w:rsidP="000C6565">
            <w:pPr>
              <w:pStyle w:val="KeinLeerraum"/>
              <w:rPr>
                <w:b/>
                <w:bCs/>
              </w:rPr>
            </w:pPr>
            <w:r w:rsidRPr="00415E62">
              <w:rPr>
                <w:b/>
                <w:bCs/>
              </w:rPr>
              <w:t>Loc.</w:t>
            </w:r>
          </w:p>
        </w:tc>
      </w:tr>
      <w:tr w:rsidR="0091311E" w14:paraId="70ACC4F9" w14:textId="77777777" w:rsidTr="000C6565">
        <w:tc>
          <w:tcPr>
            <w:tcW w:w="531" w:type="dxa"/>
          </w:tcPr>
          <w:p w14:paraId="7B7682AA" w14:textId="77777777" w:rsidR="0091311E" w:rsidRDefault="0091311E" w:rsidP="000C6565">
            <w:pPr>
              <w:pStyle w:val="KeinLeerraum"/>
            </w:pPr>
            <w:r>
              <w:t>1</w:t>
            </w:r>
          </w:p>
        </w:tc>
        <w:tc>
          <w:tcPr>
            <w:tcW w:w="8262" w:type="dxa"/>
          </w:tcPr>
          <w:p w14:paraId="0C7FB6BC" w14:textId="77777777" w:rsidR="0091311E" w:rsidRDefault="002F78D0" w:rsidP="000C6565">
            <w:pPr>
              <w:pStyle w:val="KeinLeerraum"/>
            </w:pPr>
            <w:r>
              <w:t xml:space="preserve">Increasing interest in solar radiation management (SRM) and </w:t>
            </w:r>
            <w:r w:rsidRPr="00665E82">
              <w:rPr>
                <w:b/>
                <w:bCs/>
                <w:color w:val="00B050"/>
              </w:rPr>
              <w:t>carbon dioxide removal (CDR)</w:t>
            </w:r>
            <w:r>
              <w:t xml:space="preserve"> as strategies to mitigate the harms of climate change, pose new challenges for international cooperation</w:t>
            </w:r>
          </w:p>
        </w:tc>
        <w:tc>
          <w:tcPr>
            <w:tcW w:w="829" w:type="dxa"/>
          </w:tcPr>
          <w:p w14:paraId="1A921142" w14:textId="77777777" w:rsidR="0091311E" w:rsidRDefault="002F78D0" w:rsidP="000C6565">
            <w:pPr>
              <w:pStyle w:val="KeinLeerraum"/>
            </w:pPr>
            <w:r>
              <w:t>ES</w:t>
            </w:r>
          </w:p>
        </w:tc>
      </w:tr>
      <w:tr w:rsidR="002F78D0" w14:paraId="6597AADF" w14:textId="77777777" w:rsidTr="000C6565">
        <w:tc>
          <w:tcPr>
            <w:tcW w:w="531" w:type="dxa"/>
          </w:tcPr>
          <w:p w14:paraId="2F0D86E9" w14:textId="77777777" w:rsidR="002F78D0" w:rsidRDefault="002F78D0" w:rsidP="000C6565">
            <w:pPr>
              <w:pStyle w:val="KeinLeerraum"/>
            </w:pPr>
            <w:r>
              <w:t>2</w:t>
            </w:r>
          </w:p>
        </w:tc>
        <w:tc>
          <w:tcPr>
            <w:tcW w:w="8262" w:type="dxa"/>
          </w:tcPr>
          <w:p w14:paraId="34FD5543" w14:textId="77777777" w:rsidR="002F78D0" w:rsidRPr="00665E82" w:rsidRDefault="002F78D0" w:rsidP="000C6565">
            <w:pPr>
              <w:pStyle w:val="KeinLeerraum"/>
              <w:rPr>
                <w:b/>
                <w:bCs/>
                <w:color w:val="00B050"/>
              </w:rPr>
            </w:pPr>
            <w:r>
              <w:t>emissions abatement poses challenges of engaging multilateral action to cooperate</w:t>
            </w:r>
          </w:p>
        </w:tc>
        <w:tc>
          <w:tcPr>
            <w:tcW w:w="829" w:type="dxa"/>
          </w:tcPr>
          <w:p w14:paraId="75BCC327" w14:textId="77777777" w:rsidR="002F78D0" w:rsidRDefault="002F78D0" w:rsidP="000C6565">
            <w:pPr>
              <w:pStyle w:val="KeinLeerraum"/>
            </w:pPr>
            <w:r>
              <w:t>ES</w:t>
            </w:r>
          </w:p>
        </w:tc>
      </w:tr>
      <w:tr w:rsidR="002F78D0" w14:paraId="11B38A66" w14:textId="77777777" w:rsidTr="000C6565">
        <w:tc>
          <w:tcPr>
            <w:tcW w:w="531" w:type="dxa"/>
          </w:tcPr>
          <w:p w14:paraId="06832906" w14:textId="77777777" w:rsidR="002F78D0" w:rsidRDefault="002F78D0" w:rsidP="000C6565">
            <w:pPr>
              <w:pStyle w:val="KeinLeerraum"/>
            </w:pPr>
            <w:r>
              <w:t>3</w:t>
            </w:r>
          </w:p>
        </w:tc>
        <w:tc>
          <w:tcPr>
            <w:tcW w:w="8262" w:type="dxa"/>
          </w:tcPr>
          <w:p w14:paraId="70C96FE4" w14:textId="77777777" w:rsidR="002F78D0" w:rsidRPr="00665E82" w:rsidRDefault="002F78D0" w:rsidP="000C6565">
            <w:pPr>
              <w:pStyle w:val="KeinLeerraum"/>
              <w:rPr>
                <w:b/>
                <w:bCs/>
                <w:color w:val="00B050"/>
              </w:rPr>
            </w:pPr>
            <w:r>
              <w:t xml:space="preserve">Since the publication of AR4, </w:t>
            </w:r>
            <w:r w:rsidRPr="00665E82">
              <w:rPr>
                <w:b/>
                <w:bCs/>
                <w:color w:val="00B050"/>
              </w:rPr>
              <w:t>carbon dioxide removal (CDR)</w:t>
            </w:r>
            <w:r>
              <w:t xml:space="preserve"> and solar radiation management (SRM) have received increasing attention as a means to address climate change, distinct from mitigation and adaptation</w:t>
            </w:r>
          </w:p>
        </w:tc>
        <w:tc>
          <w:tcPr>
            <w:tcW w:w="829" w:type="dxa"/>
          </w:tcPr>
          <w:p w14:paraId="7AD67E2D" w14:textId="77777777" w:rsidR="002F78D0" w:rsidRDefault="002F78D0" w:rsidP="000C6565">
            <w:pPr>
              <w:pStyle w:val="KeinLeerraum"/>
            </w:pPr>
            <w:r>
              <w:t>13.4.4</w:t>
            </w:r>
          </w:p>
        </w:tc>
      </w:tr>
      <w:tr w:rsidR="0091311E" w14:paraId="66A62FCB" w14:textId="77777777" w:rsidTr="000C6565">
        <w:tc>
          <w:tcPr>
            <w:tcW w:w="531" w:type="dxa"/>
          </w:tcPr>
          <w:p w14:paraId="2FD11CE2" w14:textId="77777777" w:rsidR="0091311E" w:rsidRDefault="002F78D0" w:rsidP="000C6565">
            <w:pPr>
              <w:pStyle w:val="KeinLeerraum"/>
            </w:pPr>
            <w:r>
              <w:t>4</w:t>
            </w:r>
          </w:p>
        </w:tc>
        <w:tc>
          <w:tcPr>
            <w:tcW w:w="8262" w:type="dxa"/>
          </w:tcPr>
          <w:p w14:paraId="044DDBED" w14:textId="77777777" w:rsidR="0091311E" w:rsidRDefault="002F78D0" w:rsidP="000C6565">
            <w:pPr>
              <w:pStyle w:val="KeinLeerraum"/>
            </w:pPr>
            <w:r w:rsidRPr="00665E82">
              <w:rPr>
                <w:b/>
                <w:bCs/>
                <w:color w:val="00B050"/>
              </w:rPr>
              <w:t>CDR</w:t>
            </w:r>
            <w:r>
              <w:t xml:space="preserve"> and other SRM approaches might need to be implemented by numerous countries in order to be effective (Humphreys, 2011)</w:t>
            </w:r>
          </w:p>
        </w:tc>
        <w:tc>
          <w:tcPr>
            <w:tcW w:w="829" w:type="dxa"/>
          </w:tcPr>
          <w:p w14:paraId="39FAD410" w14:textId="77777777" w:rsidR="0091311E" w:rsidRDefault="002F78D0" w:rsidP="000C6565">
            <w:pPr>
              <w:pStyle w:val="KeinLeerraum"/>
            </w:pPr>
            <w:r>
              <w:t>13.4.4</w:t>
            </w:r>
          </w:p>
        </w:tc>
      </w:tr>
    </w:tbl>
    <w:p w14:paraId="1084719D" w14:textId="77777777" w:rsidR="0091311E" w:rsidRDefault="0091311E" w:rsidP="0091311E">
      <w:pPr>
        <w:rPr>
          <w:rStyle w:val="berschrift1Zchn"/>
        </w:rPr>
      </w:pPr>
    </w:p>
    <w:p w14:paraId="440758F8" w14:textId="77777777" w:rsidR="00665E82" w:rsidRPr="00665E82" w:rsidRDefault="00665E82" w:rsidP="00665E82">
      <w:pPr>
        <w:pStyle w:val="berschrift2"/>
        <w:rPr>
          <w:rStyle w:val="berschrift1Zchn"/>
          <w:b/>
          <w:bCs/>
          <w:color w:val="4F81BD" w:themeColor="accent1"/>
          <w:sz w:val="26"/>
          <w:szCs w:val="26"/>
        </w:rPr>
      </w:pPr>
      <w:bookmarkStart w:id="78" w:name="_Toc525298511"/>
      <w:r w:rsidRPr="00665E82">
        <w:rPr>
          <w:rStyle w:val="berschrift1Zchn"/>
          <w:b/>
          <w:bCs/>
          <w:color w:val="4F81BD" w:themeColor="accent1"/>
          <w:sz w:val="26"/>
          <w:szCs w:val="26"/>
        </w:rPr>
        <w:t>Executive Summary</w:t>
      </w:r>
      <w:bookmarkEnd w:id="78"/>
    </w:p>
    <w:p w14:paraId="68ED0020" w14:textId="77777777" w:rsidR="0091311E" w:rsidRDefault="00665E82" w:rsidP="002F68A1">
      <w:r>
        <w:t xml:space="preserve">Increasing interest in solar radiation management (SRM) and </w:t>
      </w:r>
      <w:r w:rsidRPr="00665E82">
        <w:rPr>
          <w:b/>
          <w:bCs/>
          <w:color w:val="00B050"/>
        </w:rPr>
        <w:t>carbon dioxide removal (CDR)</w:t>
      </w:r>
      <w:r>
        <w:t xml:space="preserve"> as strategies to mitigate the harms of climate change, pose new challenges for international cooperation (medium evidence, high agreement). Whereas emissions abatement poses challenges of engaging multilateral action to cooperate, SRM may pose challenges of coordinating research and restraining unilateral deployment of measures with potentially adverse sideeffects. [</w:t>
      </w:r>
      <w:r w:rsidRPr="00665E82">
        <w:rPr>
          <w:b/>
          <w:bCs/>
          <w:color w:val="FF0000"/>
        </w:rPr>
        <w:t>13.4.4</w:t>
      </w:r>
      <w:r>
        <w:t>]</w:t>
      </w:r>
    </w:p>
    <w:p w14:paraId="672ACA40" w14:textId="77777777" w:rsidR="00665E82" w:rsidRDefault="00665E82" w:rsidP="00665E82">
      <w:pPr>
        <w:pStyle w:val="berschrift2"/>
      </w:pPr>
      <w:bookmarkStart w:id="79" w:name="_Toc525298512"/>
      <w:r>
        <w:t>13.4.4 The special case of international cooperation regarding carbon dioxide removal and solar radiation management</w:t>
      </w:r>
      <w:bookmarkEnd w:id="79"/>
    </w:p>
    <w:p w14:paraId="6F9DF867" w14:textId="77777777" w:rsidR="00665E82" w:rsidRDefault="00665E82" w:rsidP="002F68A1">
      <w:r>
        <w:t xml:space="preserve">Since the publication of AR4, </w:t>
      </w:r>
      <w:r w:rsidRPr="00665E82">
        <w:rPr>
          <w:b/>
          <w:bCs/>
          <w:color w:val="00B050"/>
        </w:rPr>
        <w:t>carbon dioxide removal (CDR)</w:t>
      </w:r>
      <w:r>
        <w:t xml:space="preserve"> and solar radiation management (SRM) have received increasing attention as a means to address climate change, distinct from mitigation and adaptation. These two approaches are often collectively referred to as ‘geoengineering’ or ‘climate </w:t>
      </w:r>
      <w:r>
        <w:lastRenderedPageBreak/>
        <w:t xml:space="preserve">engineering’ (for more detail, </w:t>
      </w:r>
      <w:r w:rsidRPr="00665E82">
        <w:rPr>
          <w:b/>
          <w:bCs/>
          <w:color w:val="FF0000"/>
        </w:rPr>
        <w:t>see Working Group (WG) I contribution to the IPCC Fifth Assessment Report (AR5) Section 6.9</w:t>
      </w:r>
      <w:r>
        <w:t xml:space="preserve">). </w:t>
      </w:r>
      <w:r w:rsidRPr="00665E82">
        <w:rPr>
          <w:b/>
          <w:bCs/>
          <w:color w:val="00B050"/>
        </w:rPr>
        <w:t>Carbon dioxide removal</w:t>
      </w:r>
      <w:r>
        <w:t xml:space="preserve"> refers to techniques to extract GHGs</w:t>
      </w:r>
      <w:r w:rsidRPr="00665E82">
        <w:t xml:space="preserve"> </w:t>
      </w:r>
      <w:r>
        <w:t>directly from the atmosphere and store them in sinks, or to directly enhance such sinks. Solar radiation management aims to reduce the amount of solar radiation absorbed by the Earth’s surface. Proposed SRM projects can be atmospheric (e.g., cloud brightening or adding reflective sulphate particles to the lower stratosphere), terrestrial (e.g., enhancing the albedo of the ground, or painting pavements and roof materials white to reflect solar radiation) and space-based (e.g., placing mirrors in space). See WGI report, Section 7.7, for details of these.</w:t>
      </w:r>
    </w:p>
    <w:p w14:paraId="1A4F6AA0" w14:textId="77777777" w:rsidR="00665E82" w:rsidRDefault="00665E82" w:rsidP="002F68A1">
      <w:pPr>
        <w:rPr>
          <w:rStyle w:val="berschrift1Zchn"/>
        </w:rPr>
      </w:pPr>
      <w:r>
        <w:t xml:space="preserve">Some SRM options (e.g., injecting sulphate particles into the lower stratosphere) may be inexpensive enough for individual states (Barrett, 2008a) and even non-state actors, such as wealthy individuals, to undertake (Barrett, 2008a; Victor, 2008; Lin, 2009; Victor et al., 2009; Bodansky, 2011b). </w:t>
      </w:r>
      <w:r w:rsidRPr="00665E82">
        <w:rPr>
          <w:b/>
          <w:bCs/>
          <w:color w:val="00B050"/>
        </w:rPr>
        <w:t>CDR</w:t>
      </w:r>
      <w:r>
        <w:t xml:space="preserve"> and other SRM approaches might need to be implemented by numerous countries in order to be effective (Humphreys, 2011). Some SRM options may also have specific regional impacts (e.g., regional temperature and precipitation effects, leaf albedo enhancement, or ocean circulation modification), providing direct and perhaps excludable benefits to actors undertaking them (Millard-Ball, 2012) and external costs to others (Ricke et  al., 2010, 2013). See also WGII 19.5.4 for detailed discussion of the risks of SRM.</w:t>
      </w:r>
    </w:p>
    <w:p w14:paraId="73BA427B" w14:textId="77777777" w:rsidR="0091311E" w:rsidRPr="00B977F2" w:rsidRDefault="00B977F2" w:rsidP="00B977F2">
      <w:pPr>
        <w:pStyle w:val="berschrift2"/>
        <w:rPr>
          <w:rStyle w:val="berschrift1Zchn"/>
          <w:b/>
          <w:bCs/>
          <w:color w:val="4F81BD" w:themeColor="accent1"/>
          <w:sz w:val="26"/>
          <w:szCs w:val="26"/>
        </w:rPr>
      </w:pPr>
      <w:bookmarkStart w:id="80" w:name="_Toc525298513"/>
      <w:r w:rsidRPr="00B977F2">
        <w:rPr>
          <w:rStyle w:val="berschrift1Zchn"/>
          <w:b/>
          <w:bCs/>
          <w:color w:val="4F81BD" w:themeColor="accent1"/>
          <w:sz w:val="26"/>
          <w:szCs w:val="26"/>
        </w:rPr>
        <w:t xml:space="preserve">13.13.1.3 </w:t>
      </w:r>
      <w:r w:rsidRPr="00B977F2">
        <w:t>Assessment of further agreements under the UNFCCC</w:t>
      </w:r>
      <w:bookmarkEnd w:id="80"/>
    </w:p>
    <w:p w14:paraId="4B955807" w14:textId="77777777" w:rsidR="00B977F2" w:rsidRDefault="00B977F2" w:rsidP="002F68A1">
      <w:pPr>
        <w:rPr>
          <w:rStyle w:val="berschrift1Zchn"/>
        </w:rPr>
      </w:pPr>
      <w:r w:rsidRPr="00B977F2">
        <w:rPr>
          <w:u w:val="single"/>
        </w:rPr>
        <w:t>Figure 13.5 – caption</w:t>
      </w:r>
      <w:r>
        <w:rPr>
          <w:rStyle w:val="berschrift1Zchn"/>
        </w:rPr>
        <w:t xml:space="preserve">: </w:t>
      </w:r>
      <w:r>
        <w:t xml:space="preserve">The ranges (20th to 80th percentiles) of 2020 emissions that maintain temperature change below 2 °C can be compared to those from cost-effective immediate mitigation scenarios from the WGIII AR5 Scenario Database: greater than 66% probability: 36–47 GtCO2eq/yr; 50–66% probability: 43–47 GtCO2eq/yr (see Chapter 6 and Annex II.10 for details, including MAGICC calculations). Differences in these ranges depend, for example, on assumptions about the availability of </w:t>
      </w:r>
      <w:r w:rsidRPr="00B977F2">
        <w:rPr>
          <w:b/>
          <w:bCs/>
          <w:color w:val="7030A0"/>
        </w:rPr>
        <w:t>negative emissions</w:t>
      </w:r>
      <w:r w:rsidRPr="00B977F2">
        <w:rPr>
          <w:color w:val="7030A0"/>
        </w:rPr>
        <w:t xml:space="preserve"> </w:t>
      </w:r>
      <w:r>
        <w:t>technologies (</w:t>
      </w:r>
      <w:r w:rsidRPr="002E7406">
        <w:rPr>
          <w:b/>
          <w:bCs/>
          <w:color w:val="FF0000"/>
        </w:rPr>
        <w:t>see, e.g, Figure 6.31</w:t>
      </w:r>
      <w:r>
        <w:t>).</w:t>
      </w:r>
    </w:p>
    <w:p w14:paraId="3B5EDB63" w14:textId="77777777" w:rsidR="00140BB0" w:rsidRDefault="00140BB0">
      <w:pPr>
        <w:spacing w:after="0" w:line="240" w:lineRule="auto"/>
        <w:rPr>
          <w:rStyle w:val="berschrift1Zchn"/>
        </w:rPr>
      </w:pPr>
      <w:r>
        <w:rPr>
          <w:rStyle w:val="berschrift1Zchn"/>
        </w:rPr>
        <w:br w:type="page"/>
      </w:r>
    </w:p>
    <w:p w14:paraId="41132C72" w14:textId="77777777" w:rsidR="002F68A1" w:rsidRPr="00ED6FAC" w:rsidRDefault="002F68A1" w:rsidP="002F68A1">
      <w:pPr>
        <w:rPr>
          <w:rStyle w:val="berschrift1Zchn"/>
        </w:rPr>
      </w:pPr>
      <w:r w:rsidRPr="00ED6FAC">
        <w:rPr>
          <w:rStyle w:val="berschrift1Zchn"/>
        </w:rPr>
        <w:lastRenderedPageBreak/>
        <w:t>References</w:t>
      </w:r>
    </w:p>
    <w:p w14:paraId="179CF632" w14:textId="77777777" w:rsidR="00307946" w:rsidRPr="00307946" w:rsidRDefault="00307946" w:rsidP="00307946">
      <w:pPr>
        <w:pStyle w:val="Listenabsatz"/>
        <w:numPr>
          <w:ilvl w:val="0"/>
          <w:numId w:val="2"/>
        </w:numPr>
        <w:rPr>
          <w:lang w:val="fr-FR"/>
        </w:rPr>
      </w:pPr>
      <w:r>
        <w:rPr>
          <w:lang w:val="fr-FR"/>
        </w:rPr>
        <w:t>Jackson et al</w:t>
      </w:r>
      <w:r w:rsidRPr="003C2A33">
        <w:rPr>
          <w:lang w:val="fr-FR"/>
        </w:rPr>
        <w:t xml:space="preserve"> </w:t>
      </w:r>
      <w:r>
        <w:rPr>
          <w:lang w:val="fr-FR"/>
        </w:rPr>
        <w:t>(</w:t>
      </w:r>
      <w:r w:rsidRPr="003C2A33">
        <w:rPr>
          <w:lang w:val="fr-FR"/>
        </w:rPr>
        <w:t>2005</w:t>
      </w:r>
      <w:r>
        <w:rPr>
          <w:lang w:val="fr-FR"/>
        </w:rPr>
        <w:t>)</w:t>
      </w:r>
    </w:p>
    <w:p w14:paraId="7B9D9B66" w14:textId="77777777" w:rsidR="002F68A1" w:rsidRDefault="002F68A1" w:rsidP="002F68A1">
      <w:pPr>
        <w:pStyle w:val="Listenabsatz"/>
        <w:numPr>
          <w:ilvl w:val="0"/>
          <w:numId w:val="2"/>
        </w:numPr>
      </w:pPr>
      <w:r>
        <w:t>Azar et al (2006)</w:t>
      </w:r>
    </w:p>
    <w:p w14:paraId="685FA3F2" w14:textId="77777777" w:rsidR="002F68A1" w:rsidRDefault="002F68A1" w:rsidP="002F68A1">
      <w:pPr>
        <w:pStyle w:val="Listenabsatz"/>
        <w:numPr>
          <w:ilvl w:val="0"/>
          <w:numId w:val="2"/>
        </w:numPr>
      </w:pPr>
      <w:r>
        <w:t>Keith et al (2006)</w:t>
      </w:r>
    </w:p>
    <w:p w14:paraId="3821598D" w14:textId="77777777" w:rsidR="002F68A1" w:rsidRPr="00BA63E5" w:rsidRDefault="002F68A1" w:rsidP="002F68A1">
      <w:pPr>
        <w:pStyle w:val="Listenabsatz"/>
        <w:numPr>
          <w:ilvl w:val="0"/>
          <w:numId w:val="2"/>
        </w:numPr>
      </w:pPr>
      <w:r w:rsidRPr="00BA63E5">
        <w:rPr>
          <w:lang w:val="fr-FR"/>
        </w:rPr>
        <w:t xml:space="preserve">van Vuuren et al </w:t>
      </w:r>
      <w:r>
        <w:rPr>
          <w:lang w:val="fr-FR"/>
        </w:rPr>
        <w:t>(</w:t>
      </w:r>
      <w:r w:rsidRPr="00BA63E5">
        <w:rPr>
          <w:lang w:val="fr-FR"/>
        </w:rPr>
        <w:t>2007</w:t>
      </w:r>
      <w:r>
        <w:rPr>
          <w:lang w:val="fr-FR"/>
        </w:rPr>
        <w:t>)</w:t>
      </w:r>
    </w:p>
    <w:p w14:paraId="72753981" w14:textId="77777777" w:rsidR="002F68A1" w:rsidRDefault="002F68A1" w:rsidP="002F68A1">
      <w:pPr>
        <w:pStyle w:val="Listenabsatz"/>
        <w:numPr>
          <w:ilvl w:val="0"/>
          <w:numId w:val="2"/>
        </w:numPr>
      </w:pPr>
      <w:r w:rsidRPr="00BA63E5">
        <w:rPr>
          <w:lang w:val="fr-FR"/>
        </w:rPr>
        <w:t>Edmonds et al (2008)</w:t>
      </w:r>
    </w:p>
    <w:p w14:paraId="162C0E6A" w14:textId="77777777" w:rsidR="002F68A1" w:rsidRDefault="00307946" w:rsidP="002F68A1">
      <w:pPr>
        <w:pStyle w:val="Listenabsatz"/>
        <w:numPr>
          <w:ilvl w:val="0"/>
          <w:numId w:val="2"/>
        </w:numPr>
      </w:pPr>
      <w:r>
        <w:t>Keller et al (2008a)</w:t>
      </w:r>
    </w:p>
    <w:p w14:paraId="3331B86C" w14:textId="77777777" w:rsidR="002F68A1" w:rsidRDefault="002F68A1" w:rsidP="002F68A1">
      <w:pPr>
        <w:pStyle w:val="Listenabsatz"/>
        <w:numPr>
          <w:ilvl w:val="0"/>
          <w:numId w:val="2"/>
        </w:numPr>
      </w:pPr>
      <w:r>
        <w:t>Clarke et al (</w:t>
      </w:r>
      <w:r w:rsidRPr="00BA63E5">
        <w:t>2009</w:t>
      </w:r>
      <w:r>
        <w:t>)</w:t>
      </w:r>
    </w:p>
    <w:p w14:paraId="157CDEC1" w14:textId="77777777" w:rsidR="002F68A1" w:rsidRDefault="002F68A1" w:rsidP="002F68A1">
      <w:pPr>
        <w:pStyle w:val="Listenabsatz"/>
        <w:numPr>
          <w:ilvl w:val="0"/>
          <w:numId w:val="2"/>
        </w:numPr>
      </w:pPr>
      <w:r w:rsidRPr="00BA63E5">
        <w:rPr>
          <w:lang w:val="fr-FR"/>
        </w:rPr>
        <w:t xml:space="preserve">Krey and Riahi </w:t>
      </w:r>
      <w:r>
        <w:rPr>
          <w:lang w:val="fr-FR"/>
        </w:rPr>
        <w:t>(</w:t>
      </w:r>
      <w:r w:rsidRPr="00BA63E5">
        <w:rPr>
          <w:lang w:val="fr-FR"/>
        </w:rPr>
        <w:t>2009</w:t>
      </w:r>
      <w:r>
        <w:rPr>
          <w:lang w:val="fr-FR"/>
        </w:rPr>
        <w:t>)</w:t>
      </w:r>
    </w:p>
    <w:p w14:paraId="727A4B95" w14:textId="77777777" w:rsidR="002F68A1" w:rsidRDefault="002F68A1" w:rsidP="002F68A1">
      <w:pPr>
        <w:pStyle w:val="Listenabsatz"/>
        <w:numPr>
          <w:ilvl w:val="0"/>
          <w:numId w:val="2"/>
        </w:numPr>
      </w:pPr>
      <w:r>
        <w:t>Pielke Jr (2009)</w:t>
      </w:r>
    </w:p>
    <w:p w14:paraId="58B2792E" w14:textId="77777777" w:rsidR="002F68A1" w:rsidRDefault="002F68A1" w:rsidP="002F68A1">
      <w:pPr>
        <w:pStyle w:val="Listenabsatz"/>
        <w:numPr>
          <w:ilvl w:val="0"/>
          <w:numId w:val="2"/>
        </w:numPr>
      </w:pPr>
      <w:r w:rsidRPr="00893C42">
        <w:t xml:space="preserve">Ross and Matthews </w:t>
      </w:r>
      <w:r>
        <w:t>(</w:t>
      </w:r>
      <w:r w:rsidRPr="00893C42">
        <w:t>2009</w:t>
      </w:r>
      <w:r>
        <w:t>)</w:t>
      </w:r>
    </w:p>
    <w:p w14:paraId="51DFC2D6" w14:textId="77777777" w:rsidR="002F68A1" w:rsidRPr="00307946" w:rsidRDefault="002F68A1" w:rsidP="002F68A1">
      <w:pPr>
        <w:pStyle w:val="Listenabsatz"/>
        <w:numPr>
          <w:ilvl w:val="0"/>
          <w:numId w:val="2"/>
        </w:numPr>
      </w:pPr>
      <w:r w:rsidRPr="00BA63E5">
        <w:rPr>
          <w:lang w:val="fr-FR"/>
        </w:rPr>
        <w:t xml:space="preserve">van Vliet et al </w:t>
      </w:r>
      <w:r>
        <w:rPr>
          <w:lang w:val="fr-FR"/>
        </w:rPr>
        <w:t>(</w:t>
      </w:r>
      <w:r w:rsidRPr="00BA63E5">
        <w:rPr>
          <w:lang w:val="fr-FR"/>
        </w:rPr>
        <w:t>2009</w:t>
      </w:r>
      <w:r>
        <w:rPr>
          <w:lang w:val="fr-FR"/>
        </w:rPr>
        <w:t>)</w:t>
      </w:r>
    </w:p>
    <w:p w14:paraId="10425F84" w14:textId="77777777" w:rsidR="00307946" w:rsidRDefault="00307946" w:rsidP="00307946">
      <w:pPr>
        <w:pStyle w:val="Listenabsatz"/>
        <w:numPr>
          <w:ilvl w:val="0"/>
          <w:numId w:val="2"/>
        </w:numPr>
        <w:rPr>
          <w:lang w:val="fr-FR"/>
        </w:rPr>
      </w:pPr>
      <w:r>
        <w:rPr>
          <w:lang w:val="fr-FR"/>
        </w:rPr>
        <w:t>Wise et al (2009)</w:t>
      </w:r>
    </w:p>
    <w:p w14:paraId="5D570146" w14:textId="77777777" w:rsidR="002F68A1" w:rsidRDefault="002F68A1" w:rsidP="002F68A1">
      <w:pPr>
        <w:pStyle w:val="Listenabsatz"/>
        <w:numPr>
          <w:ilvl w:val="0"/>
          <w:numId w:val="2"/>
        </w:numPr>
      </w:pPr>
      <w:r>
        <w:t>Azar et al (2010)</w:t>
      </w:r>
    </w:p>
    <w:p w14:paraId="6DD8CEB7" w14:textId="77777777" w:rsidR="002F68A1" w:rsidRDefault="002F68A1" w:rsidP="002F68A1">
      <w:pPr>
        <w:pStyle w:val="Listenabsatz"/>
        <w:numPr>
          <w:ilvl w:val="0"/>
          <w:numId w:val="2"/>
        </w:numPr>
      </w:pPr>
      <w:r>
        <w:t>Edenhofer et al (2010)</w:t>
      </w:r>
    </w:p>
    <w:p w14:paraId="317F3F16" w14:textId="77777777" w:rsidR="002F68A1" w:rsidRDefault="002F68A1" w:rsidP="002F68A1">
      <w:pPr>
        <w:pStyle w:val="Listenabsatz"/>
        <w:numPr>
          <w:ilvl w:val="0"/>
          <w:numId w:val="2"/>
        </w:numPr>
      </w:pPr>
      <w:r w:rsidRPr="00BA63E5">
        <w:rPr>
          <w:lang w:val="fr-FR"/>
        </w:rPr>
        <w:t>O’Neill et al (2010</w:t>
      </w:r>
      <w:r>
        <w:rPr>
          <w:lang w:val="fr-FR"/>
        </w:rPr>
        <w:t>)</w:t>
      </w:r>
    </w:p>
    <w:p w14:paraId="79A40B87" w14:textId="77777777" w:rsidR="002F68A1" w:rsidRDefault="002F68A1" w:rsidP="002F68A1">
      <w:pPr>
        <w:pStyle w:val="Listenabsatz"/>
        <w:numPr>
          <w:ilvl w:val="0"/>
          <w:numId w:val="2"/>
        </w:numPr>
        <w:rPr>
          <w:lang w:val="fr-FR"/>
        </w:rPr>
      </w:pPr>
      <w:r w:rsidRPr="00893C42">
        <w:rPr>
          <w:lang w:val="fr-FR"/>
        </w:rPr>
        <w:t xml:space="preserve">Gough and Upham </w:t>
      </w:r>
      <w:r>
        <w:rPr>
          <w:lang w:val="fr-FR"/>
        </w:rPr>
        <w:t>(</w:t>
      </w:r>
      <w:r w:rsidRPr="00893C42">
        <w:rPr>
          <w:lang w:val="fr-FR"/>
        </w:rPr>
        <w:t>2011</w:t>
      </w:r>
      <w:r>
        <w:rPr>
          <w:lang w:val="fr-FR"/>
        </w:rPr>
        <w:t>)</w:t>
      </w:r>
    </w:p>
    <w:p w14:paraId="255B2066" w14:textId="77777777" w:rsidR="00307946" w:rsidRDefault="00307946" w:rsidP="00307946">
      <w:pPr>
        <w:pStyle w:val="Listenabsatz"/>
        <w:numPr>
          <w:ilvl w:val="0"/>
          <w:numId w:val="2"/>
        </w:numPr>
        <w:rPr>
          <w:lang w:val="fr-FR"/>
        </w:rPr>
      </w:pPr>
      <w:r w:rsidRPr="00E63092">
        <w:rPr>
          <w:lang w:val="fr-FR"/>
        </w:rPr>
        <w:t>Popp et al</w:t>
      </w:r>
      <w:r>
        <w:rPr>
          <w:lang w:val="fr-FR"/>
        </w:rPr>
        <w:t xml:space="preserve"> (2011b)</w:t>
      </w:r>
    </w:p>
    <w:p w14:paraId="33F6A154" w14:textId="77777777" w:rsidR="00307946" w:rsidRDefault="00307946" w:rsidP="00307946">
      <w:pPr>
        <w:pStyle w:val="Listenabsatz"/>
        <w:numPr>
          <w:ilvl w:val="0"/>
          <w:numId w:val="2"/>
        </w:numPr>
        <w:rPr>
          <w:lang w:val="fr-FR"/>
        </w:rPr>
      </w:pPr>
      <w:r w:rsidRPr="00E63092">
        <w:rPr>
          <w:lang w:val="fr-FR"/>
        </w:rPr>
        <w:t>Riahi et al</w:t>
      </w:r>
      <w:r>
        <w:rPr>
          <w:lang w:val="fr-FR"/>
        </w:rPr>
        <w:t xml:space="preserve"> (2011)</w:t>
      </w:r>
    </w:p>
    <w:p w14:paraId="1797D6CE" w14:textId="77777777" w:rsidR="002F68A1" w:rsidRDefault="002F68A1" w:rsidP="002F68A1">
      <w:pPr>
        <w:pStyle w:val="Listenabsatz"/>
        <w:numPr>
          <w:ilvl w:val="0"/>
          <w:numId w:val="2"/>
        </w:numPr>
      </w:pPr>
      <w:r>
        <w:t>Van Vuuren and Riahi (2011)</w:t>
      </w:r>
    </w:p>
    <w:p w14:paraId="371854A9" w14:textId="77777777" w:rsidR="002F68A1" w:rsidRDefault="002F68A1" w:rsidP="002F68A1">
      <w:pPr>
        <w:pStyle w:val="Listenabsatz"/>
        <w:numPr>
          <w:ilvl w:val="0"/>
          <w:numId w:val="2"/>
        </w:numPr>
        <w:rPr>
          <w:lang w:val="fr-FR"/>
        </w:rPr>
      </w:pPr>
      <w:r w:rsidRPr="00ED6FAC">
        <w:rPr>
          <w:lang w:val="fr-FR"/>
        </w:rPr>
        <w:t>Van Vuuren et al (2011a)</w:t>
      </w:r>
    </w:p>
    <w:p w14:paraId="3B74973C" w14:textId="77777777" w:rsidR="002F68A1" w:rsidRDefault="002F68A1" w:rsidP="002F68A1">
      <w:pPr>
        <w:pStyle w:val="Listenabsatz"/>
        <w:numPr>
          <w:ilvl w:val="0"/>
          <w:numId w:val="2"/>
        </w:numPr>
        <w:rPr>
          <w:lang w:val="fr-FR"/>
        </w:rPr>
      </w:pPr>
      <w:r w:rsidRPr="00ED6FAC">
        <w:rPr>
          <w:lang w:val="fr-FR"/>
        </w:rPr>
        <w:t>Van Vuuren et al</w:t>
      </w:r>
      <w:r>
        <w:rPr>
          <w:lang w:val="fr-FR"/>
        </w:rPr>
        <w:t xml:space="preserve"> (2011b</w:t>
      </w:r>
      <w:r w:rsidRPr="00ED6FAC">
        <w:rPr>
          <w:lang w:val="fr-FR"/>
        </w:rPr>
        <w:t>)</w:t>
      </w:r>
    </w:p>
    <w:p w14:paraId="02DAA959" w14:textId="77777777" w:rsidR="002F68A1" w:rsidRDefault="002F68A1" w:rsidP="002F68A1">
      <w:pPr>
        <w:pStyle w:val="Listenabsatz"/>
        <w:numPr>
          <w:ilvl w:val="0"/>
          <w:numId w:val="2"/>
        </w:numPr>
        <w:rPr>
          <w:lang w:val="fr-FR"/>
        </w:rPr>
      </w:pPr>
      <w:r w:rsidRPr="00893C42">
        <w:rPr>
          <w:lang w:val="fr-FR"/>
        </w:rPr>
        <w:t>Corner et al (2012)</w:t>
      </w:r>
    </w:p>
    <w:p w14:paraId="199F78ED" w14:textId="77777777" w:rsidR="002F68A1" w:rsidRDefault="002F68A1" w:rsidP="002F68A1">
      <w:pPr>
        <w:pStyle w:val="Listenabsatz"/>
        <w:numPr>
          <w:ilvl w:val="0"/>
          <w:numId w:val="2"/>
        </w:numPr>
        <w:rPr>
          <w:lang w:val="fr-FR"/>
        </w:rPr>
      </w:pPr>
      <w:r w:rsidRPr="00BA63E5">
        <w:rPr>
          <w:lang w:val="fr-FR"/>
        </w:rPr>
        <w:t>Nemet and Brandt (2012)</w:t>
      </w:r>
    </w:p>
    <w:p w14:paraId="15EEDB6B" w14:textId="77777777" w:rsidR="00307946" w:rsidRDefault="00307946" w:rsidP="00307946">
      <w:pPr>
        <w:pStyle w:val="Listenabsatz"/>
        <w:numPr>
          <w:ilvl w:val="0"/>
          <w:numId w:val="2"/>
        </w:numPr>
        <w:rPr>
          <w:lang w:val="fr-FR"/>
        </w:rPr>
      </w:pPr>
      <w:r w:rsidRPr="00307946">
        <w:rPr>
          <w:lang w:val="fr-FR"/>
        </w:rPr>
        <w:t xml:space="preserve">Reilly et al </w:t>
      </w:r>
      <w:r>
        <w:rPr>
          <w:lang w:val="fr-FR"/>
        </w:rPr>
        <w:t>(</w:t>
      </w:r>
      <w:r w:rsidRPr="00307946">
        <w:rPr>
          <w:lang w:val="fr-FR"/>
        </w:rPr>
        <w:t>2012</w:t>
      </w:r>
      <w:r>
        <w:rPr>
          <w:lang w:val="fr-FR"/>
        </w:rPr>
        <w:t>)</w:t>
      </w:r>
    </w:p>
    <w:p w14:paraId="07644EA6" w14:textId="77777777" w:rsidR="002F68A1" w:rsidRDefault="002F68A1" w:rsidP="002F68A1">
      <w:pPr>
        <w:pStyle w:val="Listenabsatz"/>
        <w:numPr>
          <w:ilvl w:val="0"/>
          <w:numId w:val="2"/>
        </w:numPr>
        <w:rPr>
          <w:lang w:val="fr-FR"/>
        </w:rPr>
      </w:pPr>
      <w:r>
        <w:rPr>
          <w:lang w:val="fr-FR"/>
        </w:rPr>
        <w:t>Rogelj et al</w:t>
      </w:r>
      <w:r w:rsidRPr="00BA63E5">
        <w:rPr>
          <w:lang w:val="fr-FR"/>
        </w:rPr>
        <w:t xml:space="preserve"> </w:t>
      </w:r>
      <w:r>
        <w:rPr>
          <w:lang w:val="fr-FR"/>
        </w:rPr>
        <w:t>(</w:t>
      </w:r>
      <w:r w:rsidRPr="00BA63E5">
        <w:rPr>
          <w:lang w:val="fr-FR"/>
        </w:rPr>
        <w:t>2012</w:t>
      </w:r>
      <w:r>
        <w:rPr>
          <w:lang w:val="fr-FR"/>
        </w:rPr>
        <w:t>)</w:t>
      </w:r>
    </w:p>
    <w:p w14:paraId="2E29E151" w14:textId="77777777" w:rsidR="002F68A1" w:rsidRPr="00307946" w:rsidRDefault="002F68A1" w:rsidP="002F68A1">
      <w:pPr>
        <w:pStyle w:val="Listenabsatz"/>
        <w:numPr>
          <w:ilvl w:val="0"/>
          <w:numId w:val="2"/>
        </w:numPr>
        <w:rPr>
          <w:lang w:val="fr-FR"/>
        </w:rPr>
      </w:pPr>
      <w:r>
        <w:t>Smith and Rasch</w:t>
      </w:r>
      <w:r w:rsidRPr="00893C42">
        <w:t xml:space="preserve"> </w:t>
      </w:r>
      <w:r>
        <w:t>(</w:t>
      </w:r>
      <w:r w:rsidRPr="00893C42">
        <w:t>2012</w:t>
      </w:r>
      <w:r>
        <w:t>)</w:t>
      </w:r>
    </w:p>
    <w:p w14:paraId="17B59DF2" w14:textId="77777777" w:rsidR="00307946" w:rsidRDefault="00307946" w:rsidP="002F68A1">
      <w:pPr>
        <w:pStyle w:val="Listenabsatz"/>
        <w:numPr>
          <w:ilvl w:val="0"/>
          <w:numId w:val="2"/>
        </w:numPr>
        <w:rPr>
          <w:lang w:val="fr-FR"/>
        </w:rPr>
      </w:pPr>
      <w:r w:rsidRPr="00307946">
        <w:rPr>
          <w:lang w:val="fr-FR"/>
        </w:rPr>
        <w:t xml:space="preserve">Townsend et al </w:t>
      </w:r>
      <w:r>
        <w:rPr>
          <w:lang w:val="fr-FR"/>
        </w:rPr>
        <w:t>(</w:t>
      </w:r>
      <w:r w:rsidRPr="00307946">
        <w:rPr>
          <w:lang w:val="fr-FR"/>
        </w:rPr>
        <w:t>2012</w:t>
      </w:r>
      <w:r>
        <w:rPr>
          <w:lang w:val="fr-FR"/>
        </w:rPr>
        <w:t>)</w:t>
      </w:r>
    </w:p>
    <w:p w14:paraId="2D790543" w14:textId="77777777" w:rsidR="002F68A1" w:rsidRDefault="002F68A1" w:rsidP="002F68A1">
      <w:pPr>
        <w:pStyle w:val="Listenabsatz"/>
        <w:numPr>
          <w:ilvl w:val="0"/>
          <w:numId w:val="2"/>
        </w:numPr>
      </w:pPr>
      <w:r>
        <w:t>Azar et al (2013)</w:t>
      </w:r>
    </w:p>
    <w:p w14:paraId="16CBA599" w14:textId="77777777" w:rsidR="002F68A1" w:rsidRDefault="002F68A1" w:rsidP="002F68A1">
      <w:pPr>
        <w:pStyle w:val="Listenabsatz"/>
        <w:numPr>
          <w:ilvl w:val="0"/>
          <w:numId w:val="2"/>
        </w:numPr>
      </w:pPr>
      <w:r>
        <w:t>Chen and Tavoni (2013)</w:t>
      </w:r>
    </w:p>
    <w:p w14:paraId="1D9C9249" w14:textId="77777777" w:rsidR="002F68A1" w:rsidRPr="00BA63E5" w:rsidRDefault="002F68A1" w:rsidP="002F68A1">
      <w:pPr>
        <w:pStyle w:val="Listenabsatz"/>
        <w:numPr>
          <w:ilvl w:val="0"/>
          <w:numId w:val="2"/>
        </w:numPr>
      </w:pPr>
      <w:r w:rsidRPr="00BA63E5">
        <w:rPr>
          <w:lang w:val="fr-FR"/>
        </w:rPr>
        <w:t xml:space="preserve">Edmonds et al </w:t>
      </w:r>
      <w:r>
        <w:rPr>
          <w:lang w:val="fr-FR"/>
        </w:rPr>
        <w:t>(</w:t>
      </w:r>
      <w:r w:rsidRPr="00BA63E5">
        <w:rPr>
          <w:lang w:val="fr-FR"/>
        </w:rPr>
        <w:t>2013</w:t>
      </w:r>
      <w:r>
        <w:rPr>
          <w:lang w:val="fr-FR"/>
        </w:rPr>
        <w:t>)</w:t>
      </w:r>
    </w:p>
    <w:p w14:paraId="1AA4BABC" w14:textId="77777777" w:rsidR="002F68A1" w:rsidRPr="00BA63E5" w:rsidRDefault="002F68A1" w:rsidP="002F68A1">
      <w:pPr>
        <w:pStyle w:val="Listenabsatz"/>
        <w:numPr>
          <w:ilvl w:val="0"/>
          <w:numId w:val="2"/>
        </w:numPr>
      </w:pPr>
      <w:r w:rsidRPr="00BA63E5">
        <w:rPr>
          <w:lang w:val="fr-FR"/>
        </w:rPr>
        <w:t xml:space="preserve">Kriegler et al </w:t>
      </w:r>
      <w:r>
        <w:rPr>
          <w:lang w:val="fr-FR"/>
        </w:rPr>
        <w:t>(</w:t>
      </w:r>
      <w:r w:rsidRPr="00BA63E5">
        <w:rPr>
          <w:lang w:val="fr-FR"/>
        </w:rPr>
        <w:t>2013a</w:t>
      </w:r>
      <w:r>
        <w:rPr>
          <w:lang w:val="fr-FR"/>
        </w:rPr>
        <w:t>)</w:t>
      </w:r>
    </w:p>
    <w:p w14:paraId="3C9C8B53" w14:textId="77777777" w:rsidR="002F68A1" w:rsidRPr="00307946" w:rsidRDefault="002F68A1" w:rsidP="002F68A1">
      <w:pPr>
        <w:pStyle w:val="Listenabsatz"/>
        <w:numPr>
          <w:ilvl w:val="0"/>
          <w:numId w:val="2"/>
        </w:numPr>
      </w:pPr>
      <w:r w:rsidRPr="00BA63E5">
        <w:rPr>
          <w:lang w:val="fr-FR"/>
        </w:rPr>
        <w:t xml:space="preserve">Kriegler et al </w:t>
      </w:r>
      <w:r>
        <w:rPr>
          <w:lang w:val="fr-FR"/>
        </w:rPr>
        <w:t>(2013b)</w:t>
      </w:r>
    </w:p>
    <w:p w14:paraId="5C99BE80" w14:textId="77777777" w:rsidR="00307946" w:rsidRDefault="00307946" w:rsidP="00307946">
      <w:pPr>
        <w:pStyle w:val="Listenabsatz"/>
        <w:numPr>
          <w:ilvl w:val="0"/>
          <w:numId w:val="2"/>
        </w:numPr>
      </w:pPr>
      <w:r w:rsidRPr="00E63092">
        <w:t xml:space="preserve">Lubowski and Rose </w:t>
      </w:r>
      <w:r>
        <w:t>(</w:t>
      </w:r>
      <w:r w:rsidRPr="00E63092">
        <w:t>2013</w:t>
      </w:r>
      <w:r>
        <w:t>)</w:t>
      </w:r>
    </w:p>
    <w:p w14:paraId="112E1C0E" w14:textId="77777777" w:rsidR="002F68A1" w:rsidRPr="00BA63E5" w:rsidRDefault="002F68A1" w:rsidP="002F68A1">
      <w:pPr>
        <w:pStyle w:val="Listenabsatz"/>
        <w:numPr>
          <w:ilvl w:val="0"/>
          <w:numId w:val="2"/>
        </w:numPr>
        <w:rPr>
          <w:lang w:val="fr-FR"/>
        </w:rPr>
      </w:pPr>
      <w:r>
        <w:rPr>
          <w:lang w:val="fr-FR"/>
        </w:rPr>
        <w:t>Luderer et al (</w:t>
      </w:r>
      <w:r w:rsidRPr="00BA63E5">
        <w:rPr>
          <w:lang w:val="fr-FR"/>
        </w:rPr>
        <w:t>2013</w:t>
      </w:r>
      <w:r>
        <w:rPr>
          <w:lang w:val="fr-FR"/>
        </w:rPr>
        <w:t>)</w:t>
      </w:r>
    </w:p>
    <w:p w14:paraId="30F6F99D" w14:textId="77777777" w:rsidR="002F68A1" w:rsidRDefault="002F68A1" w:rsidP="002F68A1">
      <w:pPr>
        <w:pStyle w:val="Listenabsatz"/>
        <w:numPr>
          <w:ilvl w:val="0"/>
          <w:numId w:val="2"/>
        </w:numPr>
      </w:pPr>
      <w:r>
        <w:t>Tavoni and Socolow (2013)</w:t>
      </w:r>
    </w:p>
    <w:p w14:paraId="0DD2BC2D" w14:textId="77777777" w:rsidR="002F68A1" w:rsidRDefault="002F68A1" w:rsidP="002F68A1">
      <w:pPr>
        <w:pStyle w:val="Listenabsatz"/>
        <w:numPr>
          <w:ilvl w:val="0"/>
          <w:numId w:val="2"/>
        </w:numPr>
        <w:rPr>
          <w:lang w:val="fr-FR"/>
        </w:rPr>
      </w:pPr>
      <w:r w:rsidRPr="00BA63E5">
        <w:rPr>
          <w:lang w:val="fr-FR"/>
        </w:rPr>
        <w:t xml:space="preserve">Rogelj et al </w:t>
      </w:r>
      <w:r>
        <w:rPr>
          <w:lang w:val="fr-FR"/>
        </w:rPr>
        <w:t>(</w:t>
      </w:r>
      <w:r w:rsidRPr="00BA63E5">
        <w:rPr>
          <w:lang w:val="fr-FR"/>
        </w:rPr>
        <w:t>2013a,b</w:t>
      </w:r>
      <w:r>
        <w:rPr>
          <w:lang w:val="fr-FR"/>
        </w:rPr>
        <w:t>)</w:t>
      </w:r>
    </w:p>
    <w:p w14:paraId="6889D067" w14:textId="77777777" w:rsidR="00307946" w:rsidRPr="00BA63E5" w:rsidRDefault="00307946" w:rsidP="002F68A1">
      <w:pPr>
        <w:pStyle w:val="Listenabsatz"/>
        <w:numPr>
          <w:ilvl w:val="0"/>
          <w:numId w:val="2"/>
        </w:numPr>
        <w:rPr>
          <w:lang w:val="fr-FR"/>
        </w:rPr>
      </w:pPr>
      <w:r>
        <w:rPr>
          <w:lang w:val="fr-FR"/>
        </w:rPr>
        <w:t>Rose et al (2013)</w:t>
      </w:r>
    </w:p>
    <w:p w14:paraId="0A0CF941" w14:textId="77777777" w:rsidR="002F68A1" w:rsidRDefault="002F68A1" w:rsidP="002F68A1">
      <w:pPr>
        <w:pStyle w:val="Listenabsatz"/>
        <w:numPr>
          <w:ilvl w:val="0"/>
          <w:numId w:val="2"/>
        </w:numPr>
      </w:pPr>
      <w:r w:rsidRPr="00BA63E5">
        <w:t xml:space="preserve">van Vuuren et al </w:t>
      </w:r>
      <w:r>
        <w:t>(</w:t>
      </w:r>
      <w:r w:rsidRPr="00BA63E5">
        <w:t>2013</w:t>
      </w:r>
      <w:r>
        <w:t>)</w:t>
      </w:r>
    </w:p>
    <w:p w14:paraId="2EC2F36D" w14:textId="77777777" w:rsidR="002F68A1" w:rsidRDefault="002F68A1" w:rsidP="002F68A1">
      <w:pPr>
        <w:pStyle w:val="Listenabsatz"/>
        <w:numPr>
          <w:ilvl w:val="0"/>
          <w:numId w:val="2"/>
        </w:numPr>
        <w:rPr>
          <w:lang w:val="fr-FR"/>
        </w:rPr>
      </w:pPr>
      <w:r>
        <w:rPr>
          <w:lang w:val="fr-FR"/>
        </w:rPr>
        <w:t>Blanford et al 2014</w:t>
      </w:r>
    </w:p>
    <w:p w14:paraId="08017B03" w14:textId="77777777" w:rsidR="002F68A1" w:rsidRDefault="002F68A1" w:rsidP="002F68A1">
      <w:pPr>
        <w:pStyle w:val="Listenabsatz"/>
        <w:numPr>
          <w:ilvl w:val="0"/>
          <w:numId w:val="2"/>
        </w:numPr>
        <w:rPr>
          <w:lang w:val="fr-FR"/>
        </w:rPr>
      </w:pPr>
      <w:r w:rsidRPr="00BA63E5">
        <w:rPr>
          <w:lang w:val="fr-FR"/>
        </w:rPr>
        <w:t xml:space="preserve">Eom et al </w:t>
      </w:r>
      <w:r w:rsidR="00307946">
        <w:rPr>
          <w:lang w:val="fr-FR"/>
        </w:rPr>
        <w:t>(</w:t>
      </w:r>
      <w:r w:rsidRPr="00BA63E5">
        <w:rPr>
          <w:lang w:val="fr-FR"/>
        </w:rPr>
        <w:t>2014</w:t>
      </w:r>
      <w:r w:rsidR="00307946">
        <w:rPr>
          <w:lang w:val="fr-FR"/>
        </w:rPr>
        <w:t>)</w:t>
      </w:r>
    </w:p>
    <w:p w14:paraId="3BD8D079" w14:textId="77777777" w:rsidR="002F68A1" w:rsidRDefault="002F68A1" w:rsidP="002F68A1">
      <w:pPr>
        <w:pStyle w:val="Listenabsatz"/>
        <w:numPr>
          <w:ilvl w:val="0"/>
          <w:numId w:val="2"/>
        </w:numPr>
        <w:rPr>
          <w:lang w:val="fr-FR"/>
        </w:rPr>
      </w:pPr>
      <w:r w:rsidRPr="00BA63E5">
        <w:rPr>
          <w:lang w:val="fr-FR"/>
        </w:rPr>
        <w:t xml:space="preserve">Krey et al </w:t>
      </w:r>
      <w:r w:rsidR="00307946">
        <w:rPr>
          <w:lang w:val="fr-FR"/>
        </w:rPr>
        <w:t>(</w:t>
      </w:r>
      <w:r w:rsidRPr="00BA63E5">
        <w:rPr>
          <w:lang w:val="fr-FR"/>
        </w:rPr>
        <w:t>2014</w:t>
      </w:r>
      <w:r w:rsidR="00307946">
        <w:rPr>
          <w:lang w:val="fr-FR"/>
        </w:rPr>
        <w:t>)</w:t>
      </w:r>
    </w:p>
    <w:p w14:paraId="07C27625" w14:textId="77777777" w:rsidR="002F68A1" w:rsidRDefault="002F68A1" w:rsidP="002F68A1">
      <w:pPr>
        <w:pStyle w:val="Listenabsatz"/>
        <w:numPr>
          <w:ilvl w:val="0"/>
          <w:numId w:val="2"/>
        </w:numPr>
        <w:rPr>
          <w:lang w:val="fr-FR"/>
        </w:rPr>
      </w:pPr>
      <w:r>
        <w:rPr>
          <w:lang w:val="fr-FR"/>
        </w:rPr>
        <w:lastRenderedPageBreak/>
        <w:t>Kriegler et al (2014a)</w:t>
      </w:r>
    </w:p>
    <w:p w14:paraId="4A3B2828" w14:textId="77777777" w:rsidR="002F68A1" w:rsidRPr="00893C42" w:rsidRDefault="002F68A1" w:rsidP="002F68A1">
      <w:pPr>
        <w:pStyle w:val="Listenabsatz"/>
        <w:numPr>
          <w:ilvl w:val="0"/>
          <w:numId w:val="2"/>
        </w:numPr>
        <w:rPr>
          <w:lang w:val="fr-FR"/>
        </w:rPr>
      </w:pPr>
      <w:r>
        <w:rPr>
          <w:lang w:val="fr-FR"/>
        </w:rPr>
        <w:t>Kriegler et al (2014c)</w:t>
      </w:r>
    </w:p>
    <w:p w14:paraId="5A8061A5" w14:textId="77777777" w:rsidR="002F68A1" w:rsidRDefault="002F68A1" w:rsidP="002F68A1">
      <w:pPr>
        <w:pStyle w:val="Listenabsatz"/>
        <w:numPr>
          <w:ilvl w:val="0"/>
          <w:numId w:val="2"/>
        </w:numPr>
        <w:rPr>
          <w:lang w:val="fr-FR"/>
        </w:rPr>
      </w:pPr>
      <w:r w:rsidRPr="00BA63E5">
        <w:rPr>
          <w:lang w:val="fr-FR"/>
        </w:rPr>
        <w:t xml:space="preserve">Riahi et al </w:t>
      </w:r>
      <w:r>
        <w:rPr>
          <w:lang w:val="fr-FR"/>
        </w:rPr>
        <w:t>(</w:t>
      </w:r>
      <w:r w:rsidRPr="00BA63E5">
        <w:rPr>
          <w:lang w:val="fr-FR"/>
        </w:rPr>
        <w:t>2014</w:t>
      </w:r>
      <w:r>
        <w:rPr>
          <w:lang w:val="fr-FR"/>
        </w:rPr>
        <w:t>)</w:t>
      </w:r>
    </w:p>
    <w:p w14:paraId="0A2ECBFD" w14:textId="77777777" w:rsidR="00307946" w:rsidRPr="00307946" w:rsidRDefault="00307946" w:rsidP="00307946">
      <w:pPr>
        <w:pStyle w:val="Listenabsatz"/>
        <w:numPr>
          <w:ilvl w:val="0"/>
          <w:numId w:val="2"/>
        </w:numPr>
        <w:rPr>
          <w:lang w:val="fr-FR"/>
        </w:rPr>
      </w:pPr>
      <w:r w:rsidRPr="00307946">
        <w:rPr>
          <w:lang w:val="fr-FR"/>
        </w:rPr>
        <w:t xml:space="preserve">Rose et al </w:t>
      </w:r>
      <w:r>
        <w:rPr>
          <w:lang w:val="fr-FR"/>
        </w:rPr>
        <w:t>(</w:t>
      </w:r>
      <w:r w:rsidRPr="00307946">
        <w:rPr>
          <w:lang w:val="fr-FR"/>
        </w:rPr>
        <w:t>2014a</w:t>
      </w:r>
      <w:r>
        <w:rPr>
          <w:lang w:val="fr-FR"/>
        </w:rPr>
        <w:t>)</w:t>
      </w:r>
    </w:p>
    <w:p w14:paraId="4054629B" w14:textId="77777777" w:rsidR="006E3232" w:rsidRDefault="006E3232" w:rsidP="002F68A1">
      <w:pPr>
        <w:pStyle w:val="Listenabsatz"/>
      </w:pPr>
    </w:p>
    <w:p w14:paraId="0057A8E8" w14:textId="77777777" w:rsidR="00307946" w:rsidRDefault="00307946" w:rsidP="002F68A1">
      <w:pPr>
        <w:pStyle w:val="Listenabsatz"/>
        <w:rPr>
          <w:lang w:val="fr-FR"/>
        </w:rPr>
      </w:pPr>
    </w:p>
    <w:p w14:paraId="3DF78288" w14:textId="77777777" w:rsidR="003C2A33" w:rsidRPr="00307946" w:rsidRDefault="003C2A33" w:rsidP="00307946">
      <w:pPr>
        <w:pStyle w:val="Listenabsatz"/>
        <w:rPr>
          <w:lang w:val="fr-FR"/>
        </w:rPr>
      </w:pPr>
    </w:p>
    <w:p w14:paraId="5B57625D" w14:textId="77777777" w:rsidR="00307946" w:rsidRPr="00307946" w:rsidRDefault="00307946" w:rsidP="002F68A1">
      <w:pPr>
        <w:pStyle w:val="Listenabsatz"/>
      </w:pPr>
    </w:p>
    <w:sectPr w:rsidR="00307946" w:rsidRPr="00307946">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55C0F" w14:textId="77777777" w:rsidR="00B15DF7" w:rsidRDefault="00B15DF7" w:rsidP="00ED6FAC">
      <w:pPr>
        <w:spacing w:after="0" w:line="240" w:lineRule="auto"/>
      </w:pPr>
      <w:r>
        <w:separator/>
      </w:r>
    </w:p>
  </w:endnote>
  <w:endnote w:type="continuationSeparator" w:id="0">
    <w:p w14:paraId="0BA6130E" w14:textId="77777777" w:rsidR="00B15DF7" w:rsidRDefault="00B15DF7" w:rsidP="00ED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0E1B6" w14:textId="77777777" w:rsidR="00B15DF7" w:rsidRDefault="00B15DF7" w:rsidP="00ED6FAC">
      <w:pPr>
        <w:spacing w:after="0" w:line="240" w:lineRule="auto"/>
      </w:pPr>
      <w:r>
        <w:separator/>
      </w:r>
    </w:p>
  </w:footnote>
  <w:footnote w:type="continuationSeparator" w:id="0">
    <w:p w14:paraId="54038432" w14:textId="77777777" w:rsidR="00B15DF7" w:rsidRDefault="00B15DF7" w:rsidP="00ED6F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260B9"/>
    <w:multiLevelType w:val="hybridMultilevel"/>
    <w:tmpl w:val="E0C6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636948"/>
    <w:multiLevelType w:val="hybridMultilevel"/>
    <w:tmpl w:val="9036FC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232"/>
    <w:rsid w:val="00022E6B"/>
    <w:rsid w:val="00054B12"/>
    <w:rsid w:val="000A2D5F"/>
    <w:rsid w:val="000A490D"/>
    <w:rsid w:val="000C6565"/>
    <w:rsid w:val="000C681A"/>
    <w:rsid w:val="000F1568"/>
    <w:rsid w:val="001001C2"/>
    <w:rsid w:val="00101EA0"/>
    <w:rsid w:val="00126167"/>
    <w:rsid w:val="00140BB0"/>
    <w:rsid w:val="001635C1"/>
    <w:rsid w:val="001861C8"/>
    <w:rsid w:val="001B26F0"/>
    <w:rsid w:val="001B7F9A"/>
    <w:rsid w:val="002278AD"/>
    <w:rsid w:val="00227A97"/>
    <w:rsid w:val="002411BA"/>
    <w:rsid w:val="002452D4"/>
    <w:rsid w:val="002A537E"/>
    <w:rsid w:val="002A5BF4"/>
    <w:rsid w:val="002E7406"/>
    <w:rsid w:val="002F68A1"/>
    <w:rsid w:val="002F78D0"/>
    <w:rsid w:val="0030392E"/>
    <w:rsid w:val="00307946"/>
    <w:rsid w:val="003115D5"/>
    <w:rsid w:val="00312090"/>
    <w:rsid w:val="00314620"/>
    <w:rsid w:val="00317600"/>
    <w:rsid w:val="00341134"/>
    <w:rsid w:val="0039009D"/>
    <w:rsid w:val="003A1521"/>
    <w:rsid w:val="003A4B92"/>
    <w:rsid w:val="003A7E13"/>
    <w:rsid w:val="003C2A33"/>
    <w:rsid w:val="003C56A6"/>
    <w:rsid w:val="003C6BAD"/>
    <w:rsid w:val="003E6A0F"/>
    <w:rsid w:val="00415E62"/>
    <w:rsid w:val="004323E1"/>
    <w:rsid w:val="00462759"/>
    <w:rsid w:val="00477662"/>
    <w:rsid w:val="004C33EA"/>
    <w:rsid w:val="004D7119"/>
    <w:rsid w:val="004E1779"/>
    <w:rsid w:val="00530D72"/>
    <w:rsid w:val="00573F02"/>
    <w:rsid w:val="00577D4B"/>
    <w:rsid w:val="005A402E"/>
    <w:rsid w:val="005B119A"/>
    <w:rsid w:val="005B52D4"/>
    <w:rsid w:val="005F4039"/>
    <w:rsid w:val="00613666"/>
    <w:rsid w:val="00614AD8"/>
    <w:rsid w:val="00656400"/>
    <w:rsid w:val="00665E82"/>
    <w:rsid w:val="00683C65"/>
    <w:rsid w:val="006C22A5"/>
    <w:rsid w:val="006C3192"/>
    <w:rsid w:val="006E3232"/>
    <w:rsid w:val="007318C7"/>
    <w:rsid w:val="00764B9D"/>
    <w:rsid w:val="00797AC9"/>
    <w:rsid w:val="007B11CA"/>
    <w:rsid w:val="007E01E3"/>
    <w:rsid w:val="007F0DA1"/>
    <w:rsid w:val="0083594E"/>
    <w:rsid w:val="008D1CEE"/>
    <w:rsid w:val="008D387A"/>
    <w:rsid w:val="008E2000"/>
    <w:rsid w:val="008E793C"/>
    <w:rsid w:val="0091311E"/>
    <w:rsid w:val="0098244C"/>
    <w:rsid w:val="009A4870"/>
    <w:rsid w:val="009B093A"/>
    <w:rsid w:val="009B3865"/>
    <w:rsid w:val="009B5DF2"/>
    <w:rsid w:val="009B6DFB"/>
    <w:rsid w:val="00A10F51"/>
    <w:rsid w:val="00A33D33"/>
    <w:rsid w:val="00A75E39"/>
    <w:rsid w:val="00A806E9"/>
    <w:rsid w:val="00AA58DA"/>
    <w:rsid w:val="00AB30D7"/>
    <w:rsid w:val="00AB5DF4"/>
    <w:rsid w:val="00AD2C18"/>
    <w:rsid w:val="00B15DF7"/>
    <w:rsid w:val="00B35030"/>
    <w:rsid w:val="00B45854"/>
    <w:rsid w:val="00B55FD9"/>
    <w:rsid w:val="00B80049"/>
    <w:rsid w:val="00B977F2"/>
    <w:rsid w:val="00C175FE"/>
    <w:rsid w:val="00C21F57"/>
    <w:rsid w:val="00C26CCC"/>
    <w:rsid w:val="00C61F90"/>
    <w:rsid w:val="00C70793"/>
    <w:rsid w:val="00CA2AA2"/>
    <w:rsid w:val="00CB67A1"/>
    <w:rsid w:val="00CB73D4"/>
    <w:rsid w:val="00CC3028"/>
    <w:rsid w:val="00D06CD2"/>
    <w:rsid w:val="00D11346"/>
    <w:rsid w:val="00D2384A"/>
    <w:rsid w:val="00D3344F"/>
    <w:rsid w:val="00D575CE"/>
    <w:rsid w:val="00D835E2"/>
    <w:rsid w:val="00DA4095"/>
    <w:rsid w:val="00DE2584"/>
    <w:rsid w:val="00DE6A38"/>
    <w:rsid w:val="00DF0598"/>
    <w:rsid w:val="00E416DF"/>
    <w:rsid w:val="00E63092"/>
    <w:rsid w:val="00E6402B"/>
    <w:rsid w:val="00E6768D"/>
    <w:rsid w:val="00EB68A0"/>
    <w:rsid w:val="00ED6FAC"/>
    <w:rsid w:val="00EF39E9"/>
    <w:rsid w:val="00F71281"/>
    <w:rsid w:val="00FA6932"/>
    <w:rsid w:val="00FD0058"/>
    <w:rsid w:val="00FE4BC7"/>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D352"/>
  <w15:docId w15:val="{B544243A-BB50-41DE-8F3A-FF87092F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0598"/>
    <w:pPr>
      <w:spacing w:after="200" w:line="276" w:lineRule="auto"/>
    </w:pPr>
  </w:style>
  <w:style w:type="paragraph" w:styleId="berschrift1">
    <w:name w:val="heading 1"/>
    <w:basedOn w:val="Standard"/>
    <w:link w:val="berschrift1Zchn1"/>
    <w:uiPriority w:val="9"/>
    <w:qFormat/>
    <w:rsid w:val="00DF0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A7E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3A7E13"/>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3A7E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DF0598"/>
    <w:rPr>
      <w:rFonts w:asciiTheme="majorHAnsi" w:eastAsiaTheme="majorEastAsia" w:hAnsiTheme="majorHAnsi" w:cstheme="majorBidi"/>
      <w:b/>
      <w:bCs/>
      <w:color w:val="365F91" w:themeColor="accent1" w:themeShade="BF"/>
      <w:sz w:val="28"/>
      <w:szCs w:val="28"/>
    </w:rPr>
  </w:style>
  <w:style w:type="character" w:customStyle="1" w:styleId="ListLabel1">
    <w:name w:val="ListLabel 1"/>
    <w:qFormat/>
    <w:rsid w:val="00DF0598"/>
    <w:rPr>
      <w:rFonts w:cs="Courier New"/>
    </w:rPr>
  </w:style>
  <w:style w:type="character" w:customStyle="1" w:styleId="ListLabel2">
    <w:name w:val="ListLabel 2"/>
    <w:qFormat/>
    <w:rsid w:val="00DF0598"/>
    <w:rPr>
      <w:rFonts w:cs="Courier New"/>
    </w:rPr>
  </w:style>
  <w:style w:type="character" w:customStyle="1" w:styleId="ListLabel3">
    <w:name w:val="ListLabel 3"/>
    <w:qFormat/>
    <w:rsid w:val="00DF0598"/>
    <w:rPr>
      <w:rFonts w:cs="Courier New"/>
    </w:rPr>
  </w:style>
  <w:style w:type="character" w:customStyle="1" w:styleId="ListLabel4">
    <w:name w:val="ListLabel 4"/>
    <w:qFormat/>
    <w:rsid w:val="00DF0598"/>
    <w:rPr>
      <w:rFonts w:cs="Courier New"/>
    </w:rPr>
  </w:style>
  <w:style w:type="character" w:customStyle="1" w:styleId="ListLabel5">
    <w:name w:val="ListLabel 5"/>
    <w:qFormat/>
    <w:rsid w:val="00DF0598"/>
    <w:rPr>
      <w:rFonts w:cs="Courier New"/>
    </w:rPr>
  </w:style>
  <w:style w:type="character" w:customStyle="1" w:styleId="ListLabel6">
    <w:name w:val="ListLabel 6"/>
    <w:qFormat/>
    <w:rsid w:val="00DF0598"/>
    <w:rPr>
      <w:rFonts w:cs="Courier New"/>
    </w:rPr>
  </w:style>
  <w:style w:type="character" w:customStyle="1" w:styleId="ListLabel7">
    <w:name w:val="ListLabel 7"/>
    <w:qFormat/>
    <w:rsid w:val="00DF0598"/>
    <w:rPr>
      <w:rFonts w:cs="Courier New"/>
    </w:rPr>
  </w:style>
  <w:style w:type="character" w:customStyle="1" w:styleId="ListLabel8">
    <w:name w:val="ListLabel 8"/>
    <w:qFormat/>
    <w:rsid w:val="00DF0598"/>
    <w:rPr>
      <w:rFonts w:cs="Courier New"/>
    </w:rPr>
  </w:style>
  <w:style w:type="character" w:customStyle="1" w:styleId="ListLabel9">
    <w:name w:val="ListLabel 9"/>
    <w:qFormat/>
    <w:rsid w:val="00DF0598"/>
    <w:rPr>
      <w:rFonts w:cs="Courier New"/>
    </w:rPr>
  </w:style>
  <w:style w:type="character" w:customStyle="1" w:styleId="ListLabel10">
    <w:name w:val="ListLabel 10"/>
    <w:qFormat/>
    <w:rsid w:val="00DF0598"/>
    <w:rPr>
      <w:rFonts w:cs="Courier New"/>
    </w:rPr>
  </w:style>
  <w:style w:type="character" w:customStyle="1" w:styleId="ListLabel11">
    <w:name w:val="ListLabel 11"/>
    <w:qFormat/>
    <w:rsid w:val="00DF0598"/>
    <w:rPr>
      <w:rFonts w:cs="Courier New"/>
    </w:rPr>
  </w:style>
  <w:style w:type="character" w:customStyle="1" w:styleId="ListLabel12">
    <w:name w:val="ListLabel 12"/>
    <w:qFormat/>
    <w:rsid w:val="00DF0598"/>
    <w:rPr>
      <w:rFonts w:cs="Courier New"/>
    </w:rPr>
  </w:style>
  <w:style w:type="character" w:customStyle="1" w:styleId="ListLabel13">
    <w:name w:val="ListLabel 13"/>
    <w:qFormat/>
    <w:rsid w:val="00DF0598"/>
    <w:rPr>
      <w:rFonts w:cs="Courier New"/>
    </w:rPr>
  </w:style>
  <w:style w:type="character" w:customStyle="1" w:styleId="ListLabel14">
    <w:name w:val="ListLabel 14"/>
    <w:qFormat/>
    <w:rsid w:val="00DF0598"/>
    <w:rPr>
      <w:rFonts w:cs="Courier New"/>
    </w:rPr>
  </w:style>
  <w:style w:type="character" w:customStyle="1" w:styleId="ListLabel15">
    <w:name w:val="ListLabel 15"/>
    <w:qFormat/>
    <w:rsid w:val="00DF0598"/>
    <w:rPr>
      <w:rFonts w:cs="Courier New"/>
    </w:rPr>
  </w:style>
  <w:style w:type="character" w:customStyle="1" w:styleId="ListLabel16">
    <w:name w:val="ListLabel 16"/>
    <w:qFormat/>
    <w:rsid w:val="00DF0598"/>
    <w:rPr>
      <w:rFonts w:eastAsia="Calibri"/>
    </w:rPr>
  </w:style>
  <w:style w:type="character" w:customStyle="1" w:styleId="ListLabel17">
    <w:name w:val="ListLabel 17"/>
    <w:qFormat/>
    <w:rsid w:val="00DF0598"/>
    <w:rPr>
      <w:rFonts w:cs="Courier New"/>
    </w:rPr>
  </w:style>
  <w:style w:type="character" w:customStyle="1" w:styleId="ListLabel18">
    <w:name w:val="ListLabel 18"/>
    <w:qFormat/>
    <w:rsid w:val="00DF0598"/>
    <w:rPr>
      <w:rFonts w:cs="Courier New"/>
    </w:rPr>
  </w:style>
  <w:style w:type="character" w:customStyle="1" w:styleId="ListLabel19">
    <w:name w:val="ListLabel 19"/>
    <w:qFormat/>
    <w:rsid w:val="00DF0598"/>
    <w:rPr>
      <w:rFonts w:cs="Courier New"/>
    </w:rPr>
  </w:style>
  <w:style w:type="character" w:customStyle="1" w:styleId="ListLabel20">
    <w:name w:val="ListLabel 20"/>
    <w:qFormat/>
    <w:rsid w:val="00DF0598"/>
    <w:rPr>
      <w:rFonts w:cs="Courier New"/>
    </w:rPr>
  </w:style>
  <w:style w:type="character" w:customStyle="1" w:styleId="ListLabel21">
    <w:name w:val="ListLabel 21"/>
    <w:qFormat/>
    <w:rsid w:val="00DF0598"/>
    <w:rPr>
      <w:rFonts w:cs="Courier New"/>
    </w:rPr>
  </w:style>
  <w:style w:type="character" w:customStyle="1" w:styleId="ListLabel22">
    <w:name w:val="ListLabel 22"/>
    <w:qFormat/>
    <w:rsid w:val="00DF0598"/>
    <w:rPr>
      <w:rFonts w:cs="Courier New"/>
    </w:rPr>
  </w:style>
  <w:style w:type="character" w:customStyle="1" w:styleId="ListLabel23">
    <w:name w:val="ListLabel 23"/>
    <w:qFormat/>
    <w:rsid w:val="00DF0598"/>
    <w:rPr>
      <w:rFonts w:cs="Courier New"/>
    </w:rPr>
  </w:style>
  <w:style w:type="character" w:customStyle="1" w:styleId="ListLabel24">
    <w:name w:val="ListLabel 24"/>
    <w:qFormat/>
    <w:rsid w:val="00DF0598"/>
    <w:rPr>
      <w:rFonts w:cs="Courier New"/>
    </w:rPr>
  </w:style>
  <w:style w:type="character" w:customStyle="1" w:styleId="ListLabel25">
    <w:name w:val="ListLabel 25"/>
    <w:qFormat/>
    <w:rsid w:val="00DF0598"/>
    <w:rPr>
      <w:rFonts w:cs="Courier New"/>
    </w:rPr>
  </w:style>
  <w:style w:type="character" w:customStyle="1" w:styleId="ListLabel26">
    <w:name w:val="ListLabel 26"/>
    <w:qFormat/>
    <w:rsid w:val="00DF0598"/>
    <w:rPr>
      <w:rFonts w:cs="Courier New"/>
      <w:b/>
    </w:rPr>
  </w:style>
  <w:style w:type="character" w:customStyle="1" w:styleId="ListLabel27">
    <w:name w:val="ListLabel 27"/>
    <w:qFormat/>
    <w:rsid w:val="00DF0598"/>
    <w:rPr>
      <w:rFonts w:cs="Courier New"/>
    </w:rPr>
  </w:style>
  <w:style w:type="character" w:customStyle="1" w:styleId="ListLabel28">
    <w:name w:val="ListLabel 28"/>
    <w:qFormat/>
    <w:rsid w:val="00DF0598"/>
    <w:rPr>
      <w:rFonts w:cs="Courier New"/>
    </w:rPr>
  </w:style>
  <w:style w:type="character" w:customStyle="1" w:styleId="ListLabel29">
    <w:name w:val="ListLabel 29"/>
    <w:qFormat/>
    <w:rsid w:val="00DF0598"/>
    <w:rPr>
      <w:rFonts w:cs="Courier New"/>
    </w:rPr>
  </w:style>
  <w:style w:type="character" w:customStyle="1" w:styleId="ListLabel30">
    <w:name w:val="ListLabel 30"/>
    <w:qFormat/>
    <w:rsid w:val="00DF0598"/>
    <w:rPr>
      <w:rFonts w:cs="Courier New"/>
    </w:rPr>
  </w:style>
  <w:style w:type="character" w:customStyle="1" w:styleId="ListLabel31">
    <w:name w:val="ListLabel 31"/>
    <w:qFormat/>
    <w:rsid w:val="00DF0598"/>
    <w:rPr>
      <w:rFonts w:cs="Courier New"/>
    </w:rPr>
  </w:style>
  <w:style w:type="character" w:customStyle="1" w:styleId="ListLabel32">
    <w:name w:val="ListLabel 32"/>
    <w:qFormat/>
    <w:rsid w:val="00DF0598"/>
    <w:rPr>
      <w:rFonts w:cs="Courier New"/>
    </w:rPr>
  </w:style>
  <w:style w:type="character" w:customStyle="1" w:styleId="ListLabel33">
    <w:name w:val="ListLabel 33"/>
    <w:qFormat/>
    <w:rsid w:val="00DF0598"/>
    <w:rPr>
      <w:rFonts w:cs="Courier New"/>
    </w:rPr>
  </w:style>
  <w:style w:type="character" w:customStyle="1" w:styleId="ListLabel34">
    <w:name w:val="ListLabel 34"/>
    <w:qFormat/>
    <w:rsid w:val="00DF0598"/>
    <w:rPr>
      <w:rFonts w:cs="Courier New"/>
    </w:rPr>
  </w:style>
  <w:style w:type="character" w:customStyle="1" w:styleId="ListLabel35">
    <w:name w:val="ListLabel 35"/>
    <w:qFormat/>
    <w:rsid w:val="00DF0598"/>
    <w:rPr>
      <w:rFonts w:cs="Courier New"/>
    </w:rPr>
  </w:style>
  <w:style w:type="character" w:customStyle="1" w:styleId="ListLabel36">
    <w:name w:val="ListLabel 36"/>
    <w:qFormat/>
    <w:rsid w:val="00DF0598"/>
    <w:rPr>
      <w:rFonts w:cs="Courier New"/>
    </w:rPr>
  </w:style>
  <w:style w:type="character" w:customStyle="1" w:styleId="ListLabel37">
    <w:name w:val="ListLabel 37"/>
    <w:qFormat/>
    <w:rsid w:val="00DF0598"/>
    <w:rPr>
      <w:rFonts w:cs="Courier New"/>
    </w:rPr>
  </w:style>
  <w:style w:type="character" w:customStyle="1" w:styleId="ListLabel38">
    <w:name w:val="ListLabel 38"/>
    <w:qFormat/>
    <w:rsid w:val="00DF0598"/>
    <w:rPr>
      <w:rFonts w:cs="Courier New"/>
    </w:rPr>
  </w:style>
  <w:style w:type="character" w:customStyle="1" w:styleId="ListLabel39">
    <w:name w:val="ListLabel 39"/>
    <w:qFormat/>
    <w:rsid w:val="00DF0598"/>
    <w:rPr>
      <w:rFonts w:cs="Courier New"/>
    </w:rPr>
  </w:style>
  <w:style w:type="character" w:customStyle="1" w:styleId="ListLabel40">
    <w:name w:val="ListLabel 40"/>
    <w:qFormat/>
    <w:rsid w:val="00DF0598"/>
    <w:rPr>
      <w:rFonts w:cs="Courier New"/>
    </w:rPr>
  </w:style>
  <w:style w:type="character" w:customStyle="1" w:styleId="ListLabel41">
    <w:name w:val="ListLabel 41"/>
    <w:qFormat/>
    <w:rsid w:val="00DF0598"/>
    <w:rPr>
      <w:rFonts w:cs="Courier New"/>
    </w:rPr>
  </w:style>
  <w:style w:type="character" w:customStyle="1" w:styleId="ListLabel42">
    <w:name w:val="ListLabel 42"/>
    <w:qFormat/>
    <w:rsid w:val="00DF0598"/>
    <w:rPr>
      <w:rFonts w:cs="Courier New"/>
    </w:rPr>
  </w:style>
  <w:style w:type="character" w:customStyle="1" w:styleId="ListLabel43">
    <w:name w:val="ListLabel 43"/>
    <w:qFormat/>
    <w:rsid w:val="00DF0598"/>
    <w:rPr>
      <w:rFonts w:cs="Courier New"/>
    </w:rPr>
  </w:style>
  <w:style w:type="character" w:customStyle="1" w:styleId="ListLabel44">
    <w:name w:val="ListLabel 44"/>
    <w:qFormat/>
    <w:rsid w:val="00DF0598"/>
    <w:rPr>
      <w:rFonts w:cs="Courier New"/>
    </w:rPr>
  </w:style>
  <w:style w:type="character" w:customStyle="1" w:styleId="ListLabel45">
    <w:name w:val="ListLabel 45"/>
    <w:qFormat/>
    <w:rsid w:val="00DF0598"/>
    <w:rPr>
      <w:rFonts w:cs="Courier New"/>
    </w:rPr>
  </w:style>
  <w:style w:type="character" w:customStyle="1" w:styleId="ListLabel46">
    <w:name w:val="ListLabel 46"/>
    <w:qFormat/>
    <w:rsid w:val="00DF0598"/>
    <w:rPr>
      <w:rFonts w:cs="Courier New"/>
    </w:rPr>
  </w:style>
  <w:style w:type="character" w:customStyle="1" w:styleId="ListLabel47">
    <w:name w:val="ListLabel 47"/>
    <w:qFormat/>
    <w:rsid w:val="00DF0598"/>
    <w:rPr>
      <w:rFonts w:cs="Courier New"/>
    </w:rPr>
  </w:style>
  <w:style w:type="character" w:customStyle="1" w:styleId="ListLabel48">
    <w:name w:val="ListLabel 48"/>
    <w:qFormat/>
    <w:rsid w:val="00DF0598"/>
    <w:rPr>
      <w:rFonts w:cs="Courier New"/>
    </w:rPr>
  </w:style>
  <w:style w:type="character" w:customStyle="1" w:styleId="ListLabel49">
    <w:name w:val="ListLabel 49"/>
    <w:qFormat/>
    <w:rsid w:val="00DF0598"/>
    <w:rPr>
      <w:rFonts w:cs="Courier New"/>
    </w:rPr>
  </w:style>
  <w:style w:type="character" w:customStyle="1" w:styleId="ListLabel50">
    <w:name w:val="ListLabel 50"/>
    <w:qFormat/>
    <w:rsid w:val="00DF0598"/>
    <w:rPr>
      <w:rFonts w:cs="Courier New"/>
    </w:rPr>
  </w:style>
  <w:style w:type="character" w:customStyle="1" w:styleId="ListLabel51">
    <w:name w:val="ListLabel 51"/>
    <w:qFormat/>
    <w:rsid w:val="00DF0598"/>
    <w:rPr>
      <w:rFonts w:cs="Courier New"/>
    </w:rPr>
  </w:style>
  <w:style w:type="character" w:customStyle="1" w:styleId="ListLabel52">
    <w:name w:val="ListLabel 52"/>
    <w:qFormat/>
    <w:rsid w:val="00DF0598"/>
    <w:rPr>
      <w:rFonts w:cs="Courier New"/>
    </w:rPr>
  </w:style>
  <w:style w:type="character" w:customStyle="1" w:styleId="ListLabel53">
    <w:name w:val="ListLabel 53"/>
    <w:qFormat/>
    <w:rsid w:val="00DF0598"/>
    <w:rPr>
      <w:rFonts w:cs="Courier New"/>
    </w:rPr>
  </w:style>
  <w:style w:type="character" w:customStyle="1" w:styleId="ListLabel54">
    <w:name w:val="ListLabel 54"/>
    <w:qFormat/>
    <w:rsid w:val="00DF0598"/>
    <w:rPr>
      <w:rFonts w:cs="Courier New"/>
    </w:rPr>
  </w:style>
  <w:style w:type="character" w:customStyle="1" w:styleId="ListLabel55">
    <w:name w:val="ListLabel 55"/>
    <w:qFormat/>
    <w:rsid w:val="00DF0598"/>
    <w:rPr>
      <w:rFonts w:cs="Courier New"/>
    </w:rPr>
  </w:style>
  <w:style w:type="character" w:customStyle="1" w:styleId="ListLabel56">
    <w:name w:val="ListLabel 56"/>
    <w:qFormat/>
    <w:rsid w:val="00DF0598"/>
    <w:rPr>
      <w:rFonts w:cs="Courier New"/>
    </w:rPr>
  </w:style>
  <w:style w:type="character" w:customStyle="1" w:styleId="ListLabel57">
    <w:name w:val="ListLabel 57"/>
    <w:qFormat/>
    <w:rsid w:val="00DF0598"/>
    <w:rPr>
      <w:rFonts w:cs="Courier New"/>
    </w:rPr>
  </w:style>
  <w:style w:type="character" w:customStyle="1" w:styleId="ListLabel58">
    <w:name w:val="ListLabel 58"/>
    <w:qFormat/>
    <w:rsid w:val="00DF0598"/>
    <w:rPr>
      <w:rFonts w:cs="Courier New"/>
    </w:rPr>
  </w:style>
  <w:style w:type="character" w:customStyle="1" w:styleId="ListLabel59">
    <w:name w:val="ListLabel 59"/>
    <w:qFormat/>
    <w:rsid w:val="00DF0598"/>
    <w:rPr>
      <w:rFonts w:cs="Courier New"/>
    </w:rPr>
  </w:style>
  <w:style w:type="character" w:customStyle="1" w:styleId="ListLabel60">
    <w:name w:val="ListLabel 60"/>
    <w:qFormat/>
    <w:rsid w:val="00DF0598"/>
    <w:rPr>
      <w:rFonts w:cs="Courier New"/>
    </w:rPr>
  </w:style>
  <w:style w:type="character" w:customStyle="1" w:styleId="ListLabel61">
    <w:name w:val="ListLabel 61"/>
    <w:qFormat/>
    <w:rsid w:val="00DF0598"/>
    <w:rPr>
      <w:rFonts w:cs="Courier New"/>
    </w:rPr>
  </w:style>
  <w:style w:type="character" w:customStyle="1" w:styleId="ListLabel62">
    <w:name w:val="ListLabel 62"/>
    <w:qFormat/>
    <w:rsid w:val="00DF0598"/>
    <w:rPr>
      <w:rFonts w:cs="Courier New"/>
      <w:b/>
    </w:rPr>
  </w:style>
  <w:style w:type="character" w:customStyle="1" w:styleId="ListLabel63">
    <w:name w:val="ListLabel 63"/>
    <w:qFormat/>
    <w:rsid w:val="00DF0598"/>
    <w:rPr>
      <w:rFonts w:cs="Courier New"/>
    </w:rPr>
  </w:style>
  <w:style w:type="character" w:customStyle="1" w:styleId="ListLabel64">
    <w:name w:val="ListLabel 64"/>
    <w:qFormat/>
    <w:rsid w:val="00DF0598"/>
    <w:rPr>
      <w:rFonts w:cs="Courier New"/>
    </w:rPr>
  </w:style>
  <w:style w:type="character" w:customStyle="1" w:styleId="IndexLink">
    <w:name w:val="Index Link"/>
    <w:qFormat/>
    <w:rsid w:val="00DF0598"/>
  </w:style>
  <w:style w:type="character" w:customStyle="1" w:styleId="Bullets">
    <w:name w:val="Bullets"/>
    <w:qFormat/>
    <w:rsid w:val="00DF0598"/>
    <w:rPr>
      <w:rFonts w:ascii="OpenSymbol" w:eastAsia="OpenSymbol" w:hAnsi="OpenSymbol" w:cs="OpenSymbol"/>
    </w:rPr>
  </w:style>
  <w:style w:type="paragraph" w:customStyle="1" w:styleId="Heading">
    <w:name w:val="Heading"/>
    <w:basedOn w:val="Standard"/>
    <w:next w:val="Textkrper"/>
    <w:qFormat/>
    <w:rsid w:val="00DF0598"/>
    <w:pPr>
      <w:keepNext/>
      <w:spacing w:before="240" w:after="120"/>
    </w:pPr>
    <w:rPr>
      <w:rFonts w:ascii="Liberation Sans" w:eastAsia="Noto Sans CJK SC Regular" w:hAnsi="Liberation Sans" w:cs="FreeSans"/>
      <w:sz w:val="28"/>
      <w:szCs w:val="28"/>
    </w:rPr>
  </w:style>
  <w:style w:type="paragraph" w:styleId="Textkrper">
    <w:name w:val="Body Text"/>
    <w:basedOn w:val="Standard"/>
    <w:link w:val="TextkrperZchn"/>
    <w:uiPriority w:val="99"/>
    <w:semiHidden/>
    <w:unhideWhenUsed/>
    <w:rsid w:val="00DF0598"/>
    <w:pPr>
      <w:spacing w:after="120"/>
    </w:pPr>
  </w:style>
  <w:style w:type="character" w:customStyle="1" w:styleId="TextkrperZchn">
    <w:name w:val="Textkörper Zchn"/>
    <w:basedOn w:val="Absatz-Standardschriftart"/>
    <w:link w:val="Textkrper"/>
    <w:uiPriority w:val="99"/>
    <w:semiHidden/>
    <w:rsid w:val="00DF0598"/>
  </w:style>
  <w:style w:type="paragraph" w:customStyle="1" w:styleId="Index">
    <w:name w:val="Index"/>
    <w:basedOn w:val="Standard"/>
    <w:qFormat/>
    <w:rsid w:val="00DF0598"/>
    <w:pPr>
      <w:suppressLineNumbers/>
    </w:pPr>
    <w:rPr>
      <w:rFonts w:cs="FreeSans"/>
    </w:rPr>
  </w:style>
  <w:style w:type="character" w:customStyle="1" w:styleId="berschrift1Zchn1">
    <w:name w:val="Überschrift 1 Zchn1"/>
    <w:basedOn w:val="Absatz-Standardschriftart"/>
    <w:link w:val="berschrift1"/>
    <w:uiPriority w:val="9"/>
    <w:rsid w:val="00DF0598"/>
    <w:rPr>
      <w:rFonts w:asciiTheme="majorHAnsi" w:eastAsiaTheme="majorEastAsia" w:hAnsiTheme="majorHAnsi" w:cstheme="majorBidi"/>
      <w:b/>
      <w:bCs/>
      <w:color w:val="365F91" w:themeColor="accent1" w:themeShade="BF"/>
      <w:sz w:val="28"/>
      <w:szCs w:val="28"/>
    </w:rPr>
  </w:style>
  <w:style w:type="paragraph" w:styleId="Beschriftung">
    <w:name w:val="caption"/>
    <w:basedOn w:val="Standard"/>
    <w:qFormat/>
    <w:rsid w:val="00DF0598"/>
    <w:pPr>
      <w:suppressLineNumbers/>
      <w:spacing w:before="120" w:after="120"/>
    </w:pPr>
    <w:rPr>
      <w:rFonts w:cs="FreeSans"/>
      <w:i/>
      <w:iCs/>
      <w:sz w:val="24"/>
      <w:szCs w:val="24"/>
    </w:rPr>
  </w:style>
  <w:style w:type="paragraph" w:styleId="Titel">
    <w:name w:val="Title"/>
    <w:basedOn w:val="Standard"/>
    <w:link w:val="TitelZchn"/>
    <w:qFormat/>
    <w:rsid w:val="00DF059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elZchn">
    <w:name w:val="Titel Zchn"/>
    <w:basedOn w:val="Absatz-Standardschriftart"/>
    <w:link w:val="Titel"/>
    <w:qFormat/>
    <w:rsid w:val="00DF0598"/>
    <w:rPr>
      <w:rFonts w:asciiTheme="majorHAnsi" w:eastAsiaTheme="majorEastAsia" w:hAnsiTheme="majorHAnsi" w:cstheme="majorBidi"/>
      <w:color w:val="17365D" w:themeColor="text2" w:themeShade="BF"/>
      <w:spacing w:val="5"/>
      <w:sz w:val="52"/>
      <w:szCs w:val="52"/>
    </w:rPr>
  </w:style>
  <w:style w:type="paragraph" w:styleId="Listenabsatz">
    <w:name w:val="List Paragraph"/>
    <w:basedOn w:val="Standard"/>
    <w:uiPriority w:val="34"/>
    <w:qFormat/>
    <w:rsid w:val="00DF0598"/>
    <w:pPr>
      <w:ind w:left="720"/>
      <w:contextualSpacing/>
    </w:pPr>
  </w:style>
  <w:style w:type="character" w:styleId="Kommentarzeichen">
    <w:name w:val="annotation reference"/>
    <w:basedOn w:val="Absatz-Standardschriftart"/>
    <w:uiPriority w:val="99"/>
    <w:semiHidden/>
    <w:unhideWhenUsed/>
    <w:rsid w:val="006E3232"/>
    <w:rPr>
      <w:sz w:val="16"/>
      <w:szCs w:val="16"/>
    </w:rPr>
  </w:style>
  <w:style w:type="paragraph" w:styleId="Kommentartext">
    <w:name w:val="annotation text"/>
    <w:basedOn w:val="Standard"/>
    <w:link w:val="KommentartextZchn"/>
    <w:uiPriority w:val="99"/>
    <w:semiHidden/>
    <w:unhideWhenUsed/>
    <w:rsid w:val="006E32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E3232"/>
    <w:rPr>
      <w:sz w:val="20"/>
      <w:szCs w:val="20"/>
    </w:rPr>
  </w:style>
  <w:style w:type="paragraph" w:styleId="Kommentarthema">
    <w:name w:val="annotation subject"/>
    <w:basedOn w:val="Kommentartext"/>
    <w:next w:val="Kommentartext"/>
    <w:link w:val="KommentarthemaZchn"/>
    <w:uiPriority w:val="99"/>
    <w:semiHidden/>
    <w:unhideWhenUsed/>
    <w:rsid w:val="006E3232"/>
    <w:rPr>
      <w:b/>
      <w:bCs/>
    </w:rPr>
  </w:style>
  <w:style w:type="character" w:customStyle="1" w:styleId="KommentarthemaZchn">
    <w:name w:val="Kommentarthema Zchn"/>
    <w:basedOn w:val="KommentartextZchn"/>
    <w:link w:val="Kommentarthema"/>
    <w:uiPriority w:val="99"/>
    <w:semiHidden/>
    <w:rsid w:val="006E3232"/>
    <w:rPr>
      <w:b/>
      <w:bCs/>
      <w:sz w:val="20"/>
      <w:szCs w:val="20"/>
    </w:rPr>
  </w:style>
  <w:style w:type="paragraph" w:styleId="Sprechblasentext">
    <w:name w:val="Balloon Text"/>
    <w:basedOn w:val="Standard"/>
    <w:link w:val="SprechblasentextZchn"/>
    <w:uiPriority w:val="99"/>
    <w:semiHidden/>
    <w:unhideWhenUsed/>
    <w:rsid w:val="006E32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3232"/>
    <w:rPr>
      <w:rFonts w:ascii="Tahoma" w:hAnsi="Tahoma" w:cs="Tahoma"/>
      <w:sz w:val="16"/>
      <w:szCs w:val="16"/>
    </w:rPr>
  </w:style>
  <w:style w:type="character" w:customStyle="1" w:styleId="berschrift2Zchn">
    <w:name w:val="Überschrift 2 Zchn"/>
    <w:basedOn w:val="Absatz-Standardschriftart"/>
    <w:link w:val="berschrift2"/>
    <w:uiPriority w:val="9"/>
    <w:rsid w:val="003A7E13"/>
    <w:rPr>
      <w:rFonts w:asciiTheme="majorHAnsi" w:eastAsiaTheme="majorEastAsia" w:hAnsiTheme="majorHAnsi" w:cstheme="majorBidi"/>
      <w:b/>
      <w:bCs/>
      <w:color w:val="4F81BD" w:themeColor="accent1"/>
      <w:sz w:val="26"/>
      <w:szCs w:val="26"/>
    </w:rPr>
  </w:style>
  <w:style w:type="paragraph" w:styleId="Untertitel">
    <w:name w:val="Subtitle"/>
    <w:basedOn w:val="Standard"/>
    <w:next w:val="Standard"/>
    <w:link w:val="UntertitelZchn"/>
    <w:uiPriority w:val="11"/>
    <w:qFormat/>
    <w:rsid w:val="003A7E1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3A7E13"/>
    <w:rPr>
      <w:rFonts w:asciiTheme="majorHAnsi" w:eastAsiaTheme="majorEastAsia" w:hAnsiTheme="majorHAnsi" w:cstheme="majorBidi"/>
      <w:i/>
      <w:iCs/>
      <w:color w:val="4F81BD" w:themeColor="accent1"/>
      <w:spacing w:val="15"/>
      <w:sz w:val="24"/>
      <w:szCs w:val="24"/>
    </w:rPr>
  </w:style>
  <w:style w:type="character" w:customStyle="1" w:styleId="berschrift3Zchn">
    <w:name w:val="Überschrift 3 Zchn"/>
    <w:basedOn w:val="Absatz-Standardschriftart"/>
    <w:link w:val="berschrift3"/>
    <w:uiPriority w:val="9"/>
    <w:rsid w:val="003A7E13"/>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3A7E13"/>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FE4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FE4BC7"/>
  </w:style>
  <w:style w:type="paragraph" w:styleId="Inhaltsverzeichnisberschrift">
    <w:name w:val="TOC Heading"/>
    <w:basedOn w:val="berschrift1"/>
    <w:next w:val="Standard"/>
    <w:uiPriority w:val="39"/>
    <w:semiHidden/>
    <w:unhideWhenUsed/>
    <w:qFormat/>
    <w:rsid w:val="00101EA0"/>
    <w:pPr>
      <w:outlineLvl w:val="9"/>
    </w:pPr>
  </w:style>
  <w:style w:type="paragraph" w:styleId="Verzeichnis1">
    <w:name w:val="toc 1"/>
    <w:basedOn w:val="Standard"/>
    <w:next w:val="Standard"/>
    <w:autoRedefine/>
    <w:uiPriority w:val="39"/>
    <w:unhideWhenUsed/>
    <w:rsid w:val="00101EA0"/>
    <w:pPr>
      <w:spacing w:after="100"/>
    </w:pPr>
  </w:style>
  <w:style w:type="paragraph" w:styleId="Verzeichnis2">
    <w:name w:val="toc 2"/>
    <w:basedOn w:val="Standard"/>
    <w:next w:val="Standard"/>
    <w:autoRedefine/>
    <w:uiPriority w:val="39"/>
    <w:unhideWhenUsed/>
    <w:rsid w:val="00101EA0"/>
    <w:pPr>
      <w:spacing w:after="100"/>
      <w:ind w:left="220"/>
    </w:pPr>
  </w:style>
  <w:style w:type="paragraph" w:styleId="Verzeichnis3">
    <w:name w:val="toc 3"/>
    <w:basedOn w:val="Standard"/>
    <w:next w:val="Standard"/>
    <w:autoRedefine/>
    <w:uiPriority w:val="39"/>
    <w:unhideWhenUsed/>
    <w:rsid w:val="00101EA0"/>
    <w:pPr>
      <w:spacing w:after="100"/>
      <w:ind w:left="440"/>
    </w:pPr>
  </w:style>
  <w:style w:type="character" w:styleId="Hyperlink">
    <w:name w:val="Hyperlink"/>
    <w:basedOn w:val="Absatz-Standardschriftart"/>
    <w:uiPriority w:val="99"/>
    <w:unhideWhenUsed/>
    <w:rsid w:val="00101EA0"/>
    <w:rPr>
      <w:color w:val="0000FF" w:themeColor="hyperlink"/>
      <w:u w:val="single"/>
    </w:rPr>
  </w:style>
  <w:style w:type="paragraph" w:styleId="Kopfzeile">
    <w:name w:val="header"/>
    <w:basedOn w:val="Standard"/>
    <w:link w:val="KopfzeileZchn"/>
    <w:uiPriority w:val="99"/>
    <w:unhideWhenUsed/>
    <w:rsid w:val="00ED6FAC"/>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D6FAC"/>
  </w:style>
  <w:style w:type="paragraph" w:styleId="Fuzeile">
    <w:name w:val="footer"/>
    <w:basedOn w:val="Standard"/>
    <w:link w:val="FuzeileZchn"/>
    <w:uiPriority w:val="99"/>
    <w:unhideWhenUsed/>
    <w:rsid w:val="00ED6FAC"/>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D6FAC"/>
  </w:style>
  <w:style w:type="paragraph" w:styleId="berarbeitung">
    <w:name w:val="Revision"/>
    <w:hidden/>
    <w:uiPriority w:val="99"/>
    <w:semiHidden/>
    <w:rsid w:val="000C6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aire@mcc-berlin.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867B6-9398-43DA-BF17-50DAF7D9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31333</Words>
  <Characters>197399</Characters>
  <Application>Microsoft Office Word</Application>
  <DocSecurity>0</DocSecurity>
  <Lines>1644</Lines>
  <Paragraphs>456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Hilaire</dc:creator>
  <cp:lastModifiedBy>Jérôme Hilaire</cp:lastModifiedBy>
  <cp:revision>4</cp:revision>
  <dcterms:created xsi:type="dcterms:W3CDTF">2018-09-21T09:52:00Z</dcterms:created>
  <dcterms:modified xsi:type="dcterms:W3CDTF">2018-09-21T11:05:00Z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http://www.zotero.org/styles/environmental-research-letters</vt:lpwstr>
  </property>
  <property fmtid="{D5CDD505-2E9C-101B-9397-08002B2CF9AE}" pid="13" name="Mendeley Recent Style Name 5_1">
    <vt:lpwstr>Environmental Research Letters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