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rPr/>
      </w:pPr>
      <w:r>
        <w:rPr>
          <w:rFonts w:cs="Calibri" w:ascii="Calibri" w:hAnsi="Calibri"/>
        </w:rPr>
        <w:t>Negative emissions and international climate goals - Learning from and about mitigation scenarios (Supplementary Electronic Material)</w:t>
      </w:r>
    </w:p>
    <w:p>
      <w:pPr>
        <w:pStyle w:val="Subtitle"/>
        <w:rPr/>
      </w:pPr>
      <w:r>
        <w:rPr/>
        <w:t xml:space="preserve">Coverage of NETs findings in </w:t>
      </w:r>
      <w:r>
        <w:rPr/>
        <w:t>Fuss et al 2018</w:t>
      </w:r>
    </w:p>
    <w:p>
      <w:pPr>
        <w:pStyle w:val="Normal"/>
        <w:rPr/>
      </w:pPr>
      <w:r>
        <w:rPr>
          <w:rFonts w:cs="Calibri"/>
          <w:i/>
          <w:sz w:val="28"/>
        </w:rPr>
        <w:t>Submitted to Climatic Change</w:t>
      </w:r>
    </w:p>
    <w:p>
      <w:pPr>
        <w:pStyle w:val="Normal"/>
        <w:rPr>
          <w:rFonts w:cs="Calibri"/>
          <w:i/>
          <w:i/>
        </w:rPr>
      </w:pPr>
      <w:r>
        <w:rPr>
          <w:rFonts w:cs="Calibri"/>
          <w:i/>
        </w:rPr>
      </w:r>
    </w:p>
    <w:p>
      <w:pPr>
        <w:pStyle w:val="Normal"/>
        <w:rPr/>
      </w:pPr>
      <w:r>
        <w:rPr>
          <w:rFonts w:cs="Calibri"/>
          <w:i/>
        </w:rPr>
        <w:t>Jérôme Hilaire</w:t>
      </w:r>
      <w:r>
        <w:rPr>
          <w:rFonts w:cs="Calibri"/>
          <w:i/>
          <w:vertAlign w:val="superscript"/>
        </w:rPr>
        <w:t>1,2</w:t>
      </w:r>
      <w:r>
        <w:rPr>
          <w:rFonts w:cs="Calibri"/>
          <w:i/>
        </w:rPr>
        <w:t>, Jan Minx</w:t>
      </w:r>
      <w:r>
        <w:rPr>
          <w:rFonts w:cs="Calibri"/>
          <w:i/>
          <w:vertAlign w:val="superscript"/>
        </w:rPr>
        <w:t>1,3</w:t>
      </w:r>
      <w:r>
        <w:rPr>
          <w:rFonts w:cs="Calibri"/>
          <w:i/>
        </w:rPr>
        <w:t>, Max Callaghan</w:t>
      </w:r>
      <w:r>
        <w:rPr>
          <w:rFonts w:cs="Calibri"/>
          <w:i/>
          <w:vertAlign w:val="superscript"/>
        </w:rPr>
        <w:t>1</w:t>
      </w:r>
      <w:r>
        <w:rPr>
          <w:rFonts w:cs="Calibri"/>
          <w:i/>
        </w:rPr>
        <w:t>, Jae Edmonds</w:t>
      </w:r>
      <w:r>
        <w:rPr>
          <w:rFonts w:cs="Calibri"/>
          <w:i/>
          <w:vertAlign w:val="superscript"/>
        </w:rPr>
        <w:t>4</w:t>
      </w:r>
      <w:r>
        <w:rPr>
          <w:rFonts w:cs="Calibri"/>
          <w:i/>
        </w:rPr>
        <w:t>, Gunnar Luderer</w:t>
      </w:r>
      <w:r>
        <w:rPr>
          <w:rFonts w:cs="Calibri"/>
          <w:i/>
          <w:vertAlign w:val="superscript"/>
        </w:rPr>
        <w:t>2</w:t>
      </w:r>
      <w:r>
        <w:rPr>
          <w:rFonts w:cs="Calibri"/>
          <w:i/>
        </w:rPr>
        <w:t>, Gregory Nemet</w:t>
      </w:r>
      <w:r>
        <w:rPr>
          <w:rFonts w:cs="Calibri"/>
          <w:i/>
          <w:vertAlign w:val="superscript"/>
        </w:rPr>
        <w:t>5</w:t>
      </w:r>
      <w:r>
        <w:rPr>
          <w:rFonts w:cs="Calibri"/>
          <w:i/>
        </w:rPr>
        <w:t>, Joeri Rogelj</w:t>
      </w:r>
      <w:r>
        <w:rPr>
          <w:rFonts w:cs="Calibri"/>
          <w:i/>
          <w:vertAlign w:val="superscript"/>
        </w:rPr>
        <w:t>6,7,8</w:t>
      </w:r>
      <w:r>
        <w:rPr>
          <w:rFonts w:cs="Calibri"/>
          <w:i/>
        </w:rPr>
        <w:t>, Maria del Mar Zamora</w:t>
      </w:r>
      <w:r>
        <w:rPr>
          <w:rFonts w:cs="Calibri"/>
          <w:i/>
          <w:vertAlign w:val="superscript"/>
        </w:rPr>
        <w:t>1</w:t>
      </w:r>
    </w:p>
    <w:p>
      <w:pPr>
        <w:pStyle w:val="Normal"/>
        <w:rPr>
          <w:rFonts w:cs="Calibri"/>
          <w:i/>
          <w:i/>
        </w:rPr>
      </w:pPr>
      <w:r>
        <w:rPr>
          <w:rFonts w:cs="Calibri"/>
          <w:i/>
        </w:rPr>
      </w:r>
    </w:p>
    <w:p>
      <w:pPr>
        <w:pStyle w:val="Normal"/>
        <w:rPr>
          <w:rFonts w:cs="Calibri"/>
          <w:i/>
          <w:i/>
        </w:rPr>
      </w:pPr>
      <w:r>
        <w:rPr>
          <w:rFonts w:cs="Calibri"/>
          <w:i/>
        </w:rPr>
      </w:r>
    </w:p>
    <w:p>
      <w:pPr>
        <w:pStyle w:val="Normal"/>
        <w:jc w:val="center"/>
        <w:rPr/>
      </w:pPr>
      <w:r>
        <w:rPr>
          <w:rFonts w:cs="Calibri"/>
          <w:vertAlign w:val="superscript"/>
        </w:rPr>
        <w:t xml:space="preserve">1 </w:t>
      </w:r>
      <w:r>
        <w:rPr>
          <w:rFonts w:cs="Calibri"/>
        </w:rPr>
        <w:t>Mercator Research Institute on Global Commons and Climate Change, Torgauer Stra</w:t>
      </w:r>
      <w:r>
        <w:rPr>
          <w:rFonts w:cs="Calibri"/>
          <w:lang w:val="en-GB"/>
        </w:rPr>
        <w:t>ße</w:t>
      </w:r>
      <w:r>
        <w:rPr>
          <w:rFonts w:cs="Calibri"/>
        </w:rPr>
        <w:t xml:space="preserve"> 12-15, EUREF Campus #19, 10829 Berlin, Germany</w:t>
      </w:r>
    </w:p>
    <w:p>
      <w:pPr>
        <w:pStyle w:val="Normal"/>
        <w:jc w:val="center"/>
        <w:rPr/>
      </w:pPr>
      <w:r>
        <w:rPr>
          <w:rFonts w:cs="Calibri"/>
          <w:vertAlign w:val="superscript"/>
        </w:rPr>
        <w:t xml:space="preserve">2 </w:t>
      </w:r>
      <w:r>
        <w:rPr>
          <w:rFonts w:cs="Calibri"/>
          <w:lang w:val="en-GB"/>
        </w:rPr>
        <w:t>Potsdam Institute for Climate Impact Research (PIK), Member of the Leibniz Association, Potsdam, Germany</w:t>
      </w:r>
    </w:p>
    <w:p>
      <w:pPr>
        <w:pStyle w:val="Normal"/>
        <w:jc w:val="center"/>
        <w:rPr/>
      </w:pPr>
      <w:r>
        <w:rPr>
          <w:rFonts w:cs="Calibri"/>
          <w:vertAlign w:val="superscript"/>
        </w:rPr>
        <w:t xml:space="preserve">3 </w:t>
      </w:r>
      <w:r>
        <w:rPr>
          <w:rFonts w:cs="Calibri"/>
        </w:rPr>
        <w:t>School of Earth and Environment, University of Leeds, Leeds LS2 9JT, United Kingdom</w:t>
      </w:r>
    </w:p>
    <w:p>
      <w:pPr>
        <w:pStyle w:val="Normal"/>
        <w:jc w:val="center"/>
        <w:rPr/>
      </w:pPr>
      <w:r>
        <w:rPr>
          <w:rFonts w:cs="Calibri"/>
          <w:highlight w:val="white"/>
          <w:vertAlign w:val="superscript"/>
        </w:rPr>
        <w:t>4</w:t>
      </w:r>
      <w:r>
        <w:rPr>
          <w:rFonts w:cs="Calibri"/>
          <w:highlight w:val="white"/>
        </w:rPr>
        <w:t xml:space="preserve"> Pacific Northwest National Laboratory – Joint Global Change Research Institute, 5825 University Research Court, College Park, MD, 20740, United States</w:t>
      </w:r>
    </w:p>
    <w:p>
      <w:pPr>
        <w:pStyle w:val="Normal"/>
        <w:jc w:val="center"/>
        <w:rPr/>
      </w:pPr>
      <w:r>
        <w:rPr>
          <w:rFonts w:cs="Calibri"/>
          <w:vertAlign w:val="superscript"/>
          <w:lang w:val="en-GB"/>
        </w:rPr>
        <w:t>5</w:t>
      </w:r>
      <w:r>
        <w:rPr>
          <w:rFonts w:cs="Calibri"/>
          <w:lang w:val="en-GB"/>
        </w:rPr>
        <w:t xml:space="preserve"> La Follette School of Public Affairs, University of Wisconsin–Madison, 1225 Observatory Drive, Madison, WI 53706, United States of America</w:t>
      </w:r>
    </w:p>
    <w:p>
      <w:pPr>
        <w:pStyle w:val="Normal"/>
        <w:jc w:val="center"/>
        <w:rPr/>
      </w:pPr>
      <w:r>
        <w:rPr>
          <w:rFonts w:cs="Calibri"/>
          <w:vertAlign w:val="superscript"/>
        </w:rPr>
        <w:t xml:space="preserve">6 </w:t>
      </w:r>
      <w:r>
        <w:rPr>
          <w:rFonts w:cs="Calibri"/>
        </w:rPr>
        <w:t>ENE Program, International Institute for Applied Systems Analysis (IIASA), Laxenburg, Austria</w:t>
      </w:r>
    </w:p>
    <w:p>
      <w:pPr>
        <w:pStyle w:val="Normal"/>
        <w:jc w:val="center"/>
        <w:rPr/>
      </w:pPr>
      <w:r>
        <w:rPr>
          <w:rFonts w:cs="Calibri"/>
          <w:vertAlign w:val="superscript"/>
        </w:rPr>
        <w:t xml:space="preserve">7 </w:t>
      </w:r>
      <w:r>
        <w:rPr>
          <w:rFonts w:cs="Calibri"/>
        </w:rPr>
        <w:t>Grantham Institute, Imperial College London, London SW7 2AZ, UK</w:t>
      </w:r>
    </w:p>
    <w:p>
      <w:pPr>
        <w:pStyle w:val="Normal"/>
        <w:jc w:val="center"/>
        <w:rPr/>
      </w:pPr>
      <w:r>
        <w:rPr>
          <w:rFonts w:cs="Calibri"/>
          <w:vertAlign w:val="superscript"/>
        </w:rPr>
        <w:t>8</w:t>
      </w:r>
      <w:r>
        <w:rPr>
          <w:rFonts w:cs="Calibri"/>
        </w:rPr>
        <w:t xml:space="preserve"> Institute for Atmospheric and Climate Science, ETH Zurich, Zurich, Switzerland</w:t>
      </w:r>
    </w:p>
    <w:p>
      <w:pPr>
        <w:pStyle w:val="Normal"/>
        <w:rPr>
          <w:rFonts w:cs="Calibri"/>
          <w:i/>
          <w:i/>
        </w:rPr>
      </w:pPr>
      <w:r>
        <w:rPr>
          <w:rFonts w:cs="Calibri"/>
          <w:i/>
        </w:rPr>
      </w:r>
    </w:p>
    <w:p>
      <w:pPr>
        <w:pStyle w:val="Normal"/>
        <w:rPr>
          <w:rFonts w:cs="Calibri"/>
          <w:i/>
          <w:i/>
        </w:rPr>
      </w:pPr>
      <w:r>
        <w:rPr>
          <w:rFonts w:cs="Calibri"/>
          <w:i/>
        </w:rPr>
      </w:r>
    </w:p>
    <w:p>
      <w:pPr>
        <w:pStyle w:val="Normal"/>
        <w:rPr/>
      </w:pPr>
      <w:r>
        <w:rPr>
          <w:rFonts w:cs="Calibri"/>
          <w:i/>
        </w:rPr>
        <w:t xml:space="preserve">Corresponding author: </w:t>
      </w:r>
      <w:hyperlink r:id="rId2">
        <w:r>
          <w:rPr>
            <w:rStyle w:val="ListLabel71"/>
            <w:rFonts w:cs="Calibri"/>
            <w:i/>
            <w:color w:val="1155CC"/>
            <w:u w:val="single"/>
          </w:rPr>
          <w:t>hilaire@mcc-berlin.net</w:t>
        </w:r>
      </w:hyperlink>
      <w:r>
        <w:rPr>
          <w:rFonts w:cs="Calibri"/>
          <w:i/>
        </w:rPr>
        <w:t xml:space="preserve"> (+49 30 33 85 537 251)</w:t>
      </w:r>
    </w:p>
    <w:p>
      <w:pPr>
        <w:pStyle w:val="Normal"/>
        <w:rPr/>
      </w:pPr>
      <w:r>
        <w:rPr/>
      </w:r>
    </w:p>
    <w:p>
      <w:pPr>
        <w:pStyle w:val="Normal"/>
        <w:rPr/>
      </w:pPr>
      <w:r>
        <w:rPr/>
      </w:r>
    </w:p>
    <w:p>
      <w:pPr>
        <w:pStyle w:val="Normal"/>
        <w:rPr/>
      </w:pPr>
      <w:r>
        <w:rPr/>
      </w:r>
    </w:p>
    <w:p>
      <w:pPr>
        <w:pStyle w:val="Normal"/>
        <w:rPr>
          <w:rFonts w:ascii="Liberation Serif" w:hAnsi="Liberation Serif"/>
          <w:b/>
          <w:b/>
          <w:bCs/>
          <w:sz w:val="22"/>
          <w:szCs w:val="22"/>
        </w:rPr>
      </w:pPr>
      <w:r>
        <w:rPr>
          <w:b/>
          <w:bCs/>
          <w:sz w:val="22"/>
          <w:szCs w:val="22"/>
        </w:rPr>
        <w:t>Abstract</w:t>
      </w:r>
    </w:p>
    <w:p>
      <w:pPr>
        <w:pStyle w:val="Normal"/>
        <w:rPr>
          <w:rFonts w:ascii="Liberation Serif" w:hAnsi="Liberation Serif"/>
          <w:sz w:val="22"/>
          <w:szCs w:val="22"/>
        </w:rPr>
      </w:pPr>
      <w:r>
        <w:rPr>
          <w:sz w:val="22"/>
          <w:szCs w:val="22"/>
        </w:rPr>
        <w:t>The most recent IPCC assessment has shown an important role for negative emissions technologies(</w:t>
      </w:r>
      <w:r>
        <w:rPr>
          <w:b/>
          <w:bCs/>
          <w:color w:val="00A65D"/>
          <w:sz w:val="22"/>
          <w:szCs w:val="22"/>
        </w:rPr>
        <w:t>NETs</w:t>
      </w:r>
      <w:r>
        <w:rPr>
          <w:sz w:val="22"/>
          <w:szCs w:val="22"/>
        </w:rPr>
        <w:t>) in limiting global warming to 2°C cost-effectively. However, a bottom-up, systematic,reproducible, and transparent literature assessment of the different options to remove CO2 from the atmosphere is currently missing. In part 1 of this three-part review on NETs, we assemble a comprehensive set of the relevant literature so far published, focusing on seven technologies: bioenergy with carbon capture and storage (</w:t>
      </w:r>
      <w:r>
        <w:rPr>
          <w:b/>
          <w:bCs/>
          <w:color w:val="F58220"/>
          <w:sz w:val="22"/>
          <w:szCs w:val="22"/>
        </w:rPr>
        <w:t>BECCS</w:t>
      </w:r>
      <w:r>
        <w:rPr>
          <w:sz w:val="22"/>
          <w:szCs w:val="22"/>
        </w:rPr>
        <w:t xml:space="preserve">), </w:t>
      </w:r>
      <w:r>
        <w:rPr>
          <w:b/>
          <w:bCs/>
          <w:color w:val="0066B3"/>
          <w:sz w:val="22"/>
          <w:szCs w:val="22"/>
        </w:rPr>
        <w:t>afforestation</w:t>
      </w:r>
      <w:r>
        <w:rPr>
          <w:sz w:val="22"/>
          <w:szCs w:val="22"/>
        </w:rPr>
        <w:t xml:space="preserve"> and reforestation, direct air carbon capture and storage (DACCS), enhanced weathering, ocean fertilisation, biochar, and soil carbon sequestration. </w:t>
      </w:r>
      <w:r>
        <w:rPr>
          <w:sz w:val="22"/>
          <w:szCs w:val="22"/>
          <w:highlight w:val="yellow"/>
        </w:rPr>
        <w:t>In this part, part 2 of the review, we present estimates of costs, potentials, and side-effects for these technologies, and qualify them with the authors’ assessment.</w:t>
      </w:r>
      <w:r>
        <w:rPr>
          <w:sz w:val="22"/>
          <w:szCs w:val="22"/>
        </w:rPr>
        <w:t xml:space="preserve"> Part 3 reviews the innovation and scaling challenges that must be addressed to realise </w:t>
      </w:r>
      <w:r>
        <w:rPr>
          <w:b/>
          <w:bCs/>
          <w:color w:val="00A65D"/>
          <w:sz w:val="22"/>
          <w:szCs w:val="22"/>
        </w:rPr>
        <w:t>NETs</w:t>
      </w:r>
      <w:r>
        <w:rPr>
          <w:sz w:val="22"/>
          <w:szCs w:val="22"/>
        </w:rPr>
        <w:t xml:space="preserve"> deployment as a viable climate mitigation strategy. Based on a systematic review of the literature, our best estimates for sustainable global NET potentials in 2050 are 0.5–3.6 GtCO2yr−1for </w:t>
      </w:r>
      <w:r>
        <w:rPr>
          <w:b/>
          <w:bCs/>
          <w:color w:val="0066B3"/>
          <w:sz w:val="22"/>
          <w:szCs w:val="22"/>
        </w:rPr>
        <w:t>afforestation</w:t>
      </w:r>
      <w:r>
        <w:rPr>
          <w:sz w:val="22"/>
          <w:szCs w:val="22"/>
        </w:rPr>
        <w:t xml:space="preserve"> and reforestation,0.5–5 GtCO2yr−1 for </w:t>
      </w:r>
      <w:r>
        <w:rPr>
          <w:b/>
          <w:bCs/>
          <w:color w:val="F58220"/>
          <w:sz w:val="22"/>
          <w:szCs w:val="22"/>
        </w:rPr>
        <w:t>BECCS</w:t>
      </w:r>
      <w:r>
        <w:rPr>
          <w:sz w:val="22"/>
          <w:szCs w:val="22"/>
        </w:rPr>
        <w:t xml:space="preserve">, 0.5–2 GtCO2yr−1 for biochar, 2–4 GtCO2yr−1 for enhanced weathering, 0.5–5 GtCO2yr−1 for DACCS, and up to 5 GtCO2yr−1for soil carbon sequestration. Costs vary widely across the technologies, as do their permanency and cumulative potentials beyond 2050. </w:t>
      </w:r>
      <w:r>
        <w:rPr>
          <w:sz w:val="22"/>
          <w:szCs w:val="22"/>
          <w:highlight w:val="yellow"/>
        </w:rPr>
        <w:t xml:space="preserve">It is unlikely that a single </w:t>
      </w:r>
      <w:r>
        <w:rPr>
          <w:b/>
          <w:bCs/>
          <w:color w:val="00A65D"/>
          <w:sz w:val="22"/>
          <w:szCs w:val="22"/>
          <w:highlight w:val="yellow"/>
        </w:rPr>
        <w:t>NET</w:t>
      </w:r>
      <w:r>
        <w:rPr>
          <w:sz w:val="22"/>
          <w:szCs w:val="22"/>
          <w:highlight w:val="yellow"/>
        </w:rPr>
        <w:t xml:space="preserve"> will be able to sustainably meet the rates of carbon uptake described in integrated assessment pathways consistent with 1.5°C of global warming.</w:t>
      </w:r>
    </w:p>
    <w:p>
      <w:pPr>
        <w:pStyle w:val="Normal"/>
        <w:rPr>
          <w:highlight w:val="yellow"/>
        </w:rPr>
      </w:pPr>
      <w:r>
        <w:rPr>
          <w:highlight w:val="yellow"/>
        </w:rPr>
      </w:r>
    </w:p>
    <w:p>
      <w:pPr>
        <w:pStyle w:val="Normal"/>
        <w:rPr>
          <w:rFonts w:ascii="serif" w:hAnsi="serif"/>
          <w:sz w:val="27"/>
          <w:highlight w:val="yellow"/>
        </w:rPr>
      </w:pPr>
      <w:r>
        <w:rPr>
          <w:b/>
          <w:bCs/>
          <w:sz w:val="22"/>
          <w:szCs w:val="22"/>
        </w:rPr>
        <w:t>2. Scenario evidence on the role of negative emissions</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 xml:space="preserve">The IPCC’s Fifth Assessment report highlighted a potentially important role for </w:t>
      </w:r>
      <w:r>
        <w:rPr>
          <w:b/>
          <w:bCs/>
          <w:color w:val="00A65D"/>
          <w:sz w:val="22"/>
          <w:szCs w:val="22"/>
        </w:rPr>
        <w:t>NETs</w:t>
      </w:r>
      <w:r>
        <w:rPr>
          <w:sz w:val="22"/>
          <w:szCs w:val="22"/>
        </w:rPr>
        <w:t xml:space="preserve"> in keeping global temperature rise below 2◦C with a probability greater than 66% (IPCC2014a,Clarke et al 2014). [...]</w:t>
      </w:r>
    </w:p>
    <w:p>
      <w:pPr>
        <w:pStyle w:val="Normal"/>
        <w:rPr>
          <w:rFonts w:ascii="Liberation Serif" w:hAnsi="Liberation Serif"/>
          <w:sz w:val="22"/>
          <w:szCs w:val="22"/>
        </w:rPr>
      </w:pPr>
      <w:r>
        <w:rPr>
          <w:sz w:val="22"/>
          <w:szCs w:val="22"/>
        </w:rPr>
      </w:r>
    </w:p>
    <w:p>
      <w:pPr>
        <w:pStyle w:val="Normal"/>
        <w:rPr/>
      </w:pPr>
      <w:r>
        <w:rPr>
          <w:sz w:val="22"/>
          <w:szCs w:val="22"/>
        </w:rPr>
        <w:t xml:space="preserve">In this section </w:t>
      </w:r>
      <w:r>
        <w:rPr>
          <w:sz w:val="22"/>
          <w:szCs w:val="22"/>
          <w:highlight w:val="yellow"/>
        </w:rPr>
        <w:t xml:space="preserve">we review publicly available data from multi-model inter comparison studies in order to understand the role of </w:t>
      </w:r>
      <w:r>
        <w:rPr>
          <w:b/>
          <w:bCs/>
          <w:color w:val="00A65D"/>
          <w:sz w:val="22"/>
          <w:szCs w:val="22"/>
          <w:highlight w:val="yellow"/>
        </w:rPr>
        <w:t>NETs</w:t>
      </w:r>
      <w:r>
        <w:rPr>
          <w:sz w:val="22"/>
          <w:szCs w:val="22"/>
          <w:highlight w:val="yellow"/>
        </w:rPr>
        <w:t xml:space="preserve"> in climate change mitigation</w:t>
      </w:r>
      <w:r>
        <w:rPr>
          <w:sz w:val="22"/>
          <w:szCs w:val="22"/>
        </w:rPr>
        <w:t xml:space="preserve"> (Riahi et al 2015, Kriegler et al 2015, GEA 2012, Riahi et al 2017, van Vuuren et al 2017a, Kriegler et al 2013b, 2016b). We supplement this data with further scenario evidence on the 1.5°C limit (Luderer et al 2013, Rogelj et al 2015a, 2013a, 2013b, 2018). Hence the comprehensiveness and transparency of our review in this section is related to pooling the available data from recent studies. While many of the recent IAM scenarios include negative emissions,</w:t>
      </w:r>
      <w:r>
        <w:rPr>
          <w:sz w:val="22"/>
          <w:szCs w:val="22"/>
          <w:highlight w:val="yellow"/>
        </w:rPr>
        <w:t xml:space="preserve">we only systematically review the literature that give sufficient importance to </w:t>
      </w:r>
      <w:r>
        <w:rPr>
          <w:b/>
          <w:bCs/>
          <w:color w:val="00A65D"/>
          <w:sz w:val="22"/>
          <w:szCs w:val="22"/>
          <w:highlight w:val="yellow"/>
        </w:rPr>
        <w:t>NETs</w:t>
      </w:r>
      <w:r>
        <w:rPr>
          <w:sz w:val="22"/>
          <w:szCs w:val="22"/>
          <w:highlight w:val="yellow"/>
        </w:rPr>
        <w:t xml:space="preserve">, i.e. where </w:t>
      </w:r>
      <w:r>
        <w:rPr>
          <w:b/>
          <w:bCs/>
          <w:color w:val="00A65D"/>
          <w:sz w:val="22"/>
          <w:szCs w:val="22"/>
          <w:highlight w:val="yellow"/>
        </w:rPr>
        <w:t>NETs</w:t>
      </w:r>
      <w:r>
        <w:rPr>
          <w:sz w:val="22"/>
          <w:szCs w:val="22"/>
          <w:highlight w:val="yellow"/>
        </w:rPr>
        <w:t xml:space="preserve"> are mentioned in abstract, keywords or title</w:t>
      </w:r>
      <w:r>
        <w:rPr>
          <w:sz w:val="22"/>
          <w:szCs w:val="22"/>
        </w:rPr>
        <w:t xml:space="preserve">. Importantly, the </w:t>
      </w:r>
      <w:r>
        <w:rPr>
          <w:sz w:val="22"/>
          <w:szCs w:val="22"/>
          <w:highlight w:val="yellow"/>
        </w:rPr>
        <w:t>vast majority of mitigation scenarios considered here only features negative emissions via bioenergy with carbon capture and storage (</w:t>
      </w:r>
      <w:r>
        <w:rPr>
          <w:b/>
          <w:bCs/>
          <w:color w:val="F58220"/>
          <w:sz w:val="22"/>
          <w:szCs w:val="22"/>
          <w:highlight w:val="yellow"/>
        </w:rPr>
        <w:t>BECCS</w:t>
      </w:r>
      <w:r>
        <w:rPr>
          <w:sz w:val="22"/>
          <w:szCs w:val="22"/>
          <w:highlight w:val="yellow"/>
        </w:rPr>
        <w:t>)</w:t>
      </w:r>
      <w:r>
        <w:rPr>
          <w:sz w:val="22"/>
          <w:szCs w:val="22"/>
        </w:rPr>
        <w:t xml:space="preserve">. We interpret this evidence as a lower-bound estimate of negative emission potentials in these models, since the introduction of additional </w:t>
      </w:r>
      <w:r>
        <w:rPr>
          <w:b/>
          <w:bCs/>
          <w:color w:val="00A65D"/>
          <w:sz w:val="22"/>
          <w:szCs w:val="22"/>
        </w:rPr>
        <w:t>NETs</w:t>
      </w:r>
      <w:r>
        <w:rPr>
          <w:sz w:val="22"/>
          <w:szCs w:val="22"/>
        </w:rPr>
        <w:t xml:space="preserve"> seems to consistently increase cumulative </w:t>
      </w:r>
      <w:r>
        <w:rPr>
          <w:b/>
          <w:bCs/>
          <w:color w:val="00A65D"/>
          <w:sz w:val="22"/>
          <w:szCs w:val="22"/>
        </w:rPr>
        <w:t>NETs</w:t>
      </w:r>
      <w:r>
        <w:rPr>
          <w:sz w:val="22"/>
          <w:szCs w:val="22"/>
        </w:rPr>
        <w:t xml:space="preserve"> deployment (Chen and Tavoni 2013, Humpenöder et al 2014, Marcucci et al 2017).</w:t>
      </w:r>
    </w:p>
    <w:p>
      <w:pPr>
        <w:pStyle w:val="Normal"/>
        <w:rPr>
          <w:rFonts w:ascii="Liberation Serif" w:hAnsi="Liberation Serif"/>
          <w:sz w:val="22"/>
          <w:szCs w:val="22"/>
        </w:rPr>
      </w:pPr>
      <w:r>
        <w:rPr>
          <w:sz w:val="22"/>
          <w:szCs w:val="22"/>
        </w:rPr>
      </w:r>
    </w:p>
    <w:p>
      <w:pPr>
        <w:pStyle w:val="Normal"/>
        <w:rPr>
          <w:rFonts w:ascii="Liberation Serif" w:hAnsi="Liberation Serif"/>
          <w:b/>
          <w:b/>
          <w:bCs/>
          <w:sz w:val="22"/>
          <w:szCs w:val="22"/>
        </w:rPr>
      </w:pPr>
      <w:r>
        <w:rPr>
          <w:b/>
          <w:bCs/>
          <w:sz w:val="22"/>
          <w:szCs w:val="22"/>
        </w:rPr>
        <w:t>2.1. Understanding the role of negative emissions for achieving alternative long-term climate goals</w:t>
      </w:r>
    </w:p>
    <w:p>
      <w:pPr>
        <w:pStyle w:val="Normal"/>
        <w:rPr>
          <w:highlight w:val="yellow"/>
        </w:rPr>
      </w:pPr>
      <w:r>
        <w:rPr>
          <w:highlight w:val="yellow"/>
        </w:rPr>
      </w:r>
    </w:p>
    <w:p>
      <w:pPr>
        <w:pStyle w:val="Normal"/>
        <w:rPr>
          <w:rFonts w:ascii="Liberation Serif" w:hAnsi="Liberation Serif"/>
          <w:sz w:val="22"/>
          <w:szCs w:val="22"/>
        </w:rPr>
      </w:pPr>
      <w:r>
        <w:rPr>
          <w:sz w:val="22"/>
          <w:szCs w:val="22"/>
        </w:rPr>
        <w:t>In principle, gross CO2 emissions can be larger than the carbon budget as long as they are simultaneously compensated by negative emissions (figure1)</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Yet the geophysical limits of negative emissions are currently not well understood(Rogelj and Knutti2016), although they are startingto be explored more rigorously (Keller et al2018).</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Arecent study asserts that the carbon budgets associated with the Paris Agreement temperature goals can be revised upwards from AR5 estimates (Millaret al2017).</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 xml:space="preserve">first, </w:t>
      </w:r>
      <w:r>
        <w:rPr>
          <w:b/>
          <w:bCs/>
          <w:color w:val="00A65D"/>
          <w:sz w:val="22"/>
          <w:szCs w:val="22"/>
        </w:rPr>
        <w:t>NETs</w:t>
      </w:r>
      <w:r>
        <w:rPr>
          <w:sz w:val="22"/>
          <w:szCs w:val="22"/>
        </w:rPr>
        <w:t xml:space="preserve"> are deployed in scenarios for biophysical reasons, because the carbon budget consistent with a given temperature target is exceeded (van Vuuren et al 2007,van Vuuren and Riahi 2011,Clarke et al 2014).</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 xml:space="preserve">Second, negative emissions are deployed in scenarios for intersectoral compensation, i.e. to offset residual emissions that are difficult to mitigate, such as transportation—especially emissions from aircraft—and industrial emissions (Rogelj et al 2015a), or non-CO2 GHGs from agriculture (Gernaat et al 2015). </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 xml:space="preserve">It is important to note that in some scenarios </w:t>
      </w:r>
      <w:r>
        <w:rPr>
          <w:b/>
          <w:bCs/>
          <w:color w:val="00A65D"/>
          <w:sz w:val="22"/>
          <w:szCs w:val="22"/>
        </w:rPr>
        <w:t>NETs</w:t>
      </w:r>
      <w:r>
        <w:rPr>
          <w:sz w:val="22"/>
          <w:szCs w:val="22"/>
        </w:rPr>
        <w:t xml:space="preserve"> are predominantly deployed because they are economically attractive (Azar et al 2006, Luckow et al 2010, Lemoine et al2012), while in others they are biophysically required. For instance, some scenarios show that with immediate strengthening of climate policies it is still possible to limit warming to below 2◦C without </w:t>
      </w:r>
      <w:r>
        <w:rPr>
          <w:b/>
          <w:bCs/>
          <w:color w:val="00A65D"/>
          <w:sz w:val="22"/>
          <w:szCs w:val="22"/>
        </w:rPr>
        <w:t>NETs</w:t>
      </w:r>
      <w:r>
        <w:rPr>
          <w:sz w:val="22"/>
          <w:szCs w:val="22"/>
        </w:rPr>
        <w:t xml:space="preserve"> (Kriegler et al2014). However, further delay of action or the tighter 1.5◦C climate goal renders </w:t>
      </w:r>
      <w:r>
        <w:rPr>
          <w:b/>
          <w:bCs/>
          <w:color w:val="00A65D"/>
          <w:sz w:val="22"/>
          <w:szCs w:val="22"/>
        </w:rPr>
        <w:t>NETs</w:t>
      </w:r>
      <w:r>
        <w:rPr>
          <w:sz w:val="22"/>
          <w:szCs w:val="22"/>
        </w:rPr>
        <w:t xml:space="preserve"> indispensable in the currently available scenarios</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 xml:space="preserve">Scenarios that restrict the availability of </w:t>
      </w:r>
      <w:r>
        <w:rPr>
          <w:b/>
          <w:bCs/>
          <w:color w:val="00A65D"/>
          <w:sz w:val="22"/>
          <w:szCs w:val="22"/>
        </w:rPr>
        <w:t>NETs</w:t>
      </w:r>
      <w:r>
        <w:rPr>
          <w:sz w:val="22"/>
          <w:szCs w:val="22"/>
        </w:rPr>
        <w:t xml:space="preserve"> substantially often result in model infeasibility (Luderer et al2013).</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 xml:space="preserve">recent structured explorations of various socio economic contexts, the so-called Shared Socio economic Pathways (SSPs) (Riahi et al 2017, O’Neill et al 2017), have shown that </w:t>
      </w:r>
      <w:r>
        <w:rPr>
          <w:b/>
          <w:bCs/>
          <w:color w:val="00A65D"/>
          <w:sz w:val="22"/>
          <w:szCs w:val="22"/>
        </w:rPr>
        <w:t>NETs</w:t>
      </w:r>
      <w:r>
        <w:rPr>
          <w:sz w:val="22"/>
          <w:szCs w:val="22"/>
        </w:rPr>
        <w:t xml:space="preserve"> use can be restricted to some degree in 1.5◦C scenarios if specific socio economic conditions are met, such as low energy demand, sustainable consumption patterns and high crop yield improvements (SSP1) (Rogelj et al 2018).</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 xml:space="preserve">In 2◦C scenarios </w:t>
      </w:r>
      <w:r>
        <w:rPr>
          <w:b/>
          <w:bCs/>
          <w:color w:val="00A65D"/>
          <w:sz w:val="22"/>
          <w:szCs w:val="22"/>
        </w:rPr>
        <w:t>NETs</w:t>
      </w:r>
      <w:r>
        <w:rPr>
          <w:sz w:val="22"/>
          <w:szCs w:val="22"/>
        </w:rPr>
        <w:t xml:space="preserve"> are primarily deployed for limiting overshoot in atmospheric concentrations rather than temperatures (Riahi et al 2015, Blanford et al 2014, Tavoni and Socolow 2013, van Vuuren et al 2013).</w:t>
      </w:r>
    </w:p>
    <w:p>
      <w:pPr>
        <w:pStyle w:val="Normal"/>
        <w:rPr>
          <w:rFonts w:ascii="Liberation Serif" w:hAnsi="Liberation Serif"/>
          <w:sz w:val="22"/>
          <w:szCs w:val="22"/>
        </w:rPr>
      </w:pPr>
      <w:r>
        <w:rPr>
          <w:sz w:val="22"/>
          <w:szCs w:val="22"/>
        </w:rPr>
      </w:r>
    </w:p>
    <w:p>
      <w:pPr>
        <w:pStyle w:val="Normal"/>
        <w:rPr>
          <w:rFonts w:ascii="serif" w:hAnsi="serif"/>
          <w:sz w:val="24"/>
        </w:rPr>
      </w:pPr>
      <w:r>
        <w:rPr>
          <w:sz w:val="22"/>
          <w:szCs w:val="22"/>
        </w:rPr>
        <w:t xml:space="preserve">For 2◦C scenarios featuring </w:t>
      </w:r>
      <w:r>
        <w:rPr>
          <w:b/>
          <w:bCs/>
          <w:color w:val="00A65D"/>
          <w:sz w:val="22"/>
          <w:szCs w:val="22"/>
        </w:rPr>
        <w:t>NETs</w:t>
      </w:r>
      <w:r>
        <w:rPr>
          <w:sz w:val="22"/>
          <w:szCs w:val="22"/>
        </w:rPr>
        <w:t xml:space="preserve"> deployment, it also points towards a strong economic rationale within models,as towards the end of the 21st century </w:t>
      </w:r>
      <w:r>
        <w:rPr>
          <w:b/>
          <w:bCs/>
          <w:color w:val="00A65D"/>
          <w:sz w:val="22"/>
          <w:szCs w:val="22"/>
        </w:rPr>
        <w:t>NETs</w:t>
      </w:r>
      <w:r>
        <w:rPr>
          <w:sz w:val="22"/>
          <w:szCs w:val="22"/>
        </w:rPr>
        <w:t xml:space="preserve"> become economically attractive if a temporary overshoot of theCO2budget is allowed, or if residual GHG emissions from other sectors are highly expensive to mitigate (Kriegler et al 2013b, Krey et al 2014a, Kriegler et al 2014)</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 xml:space="preserve">In sum, a common picture of </w:t>
      </w:r>
      <w:r>
        <w:rPr>
          <w:b/>
          <w:bCs/>
          <w:color w:val="00A65D"/>
          <w:sz w:val="22"/>
          <w:szCs w:val="22"/>
        </w:rPr>
        <w:t>NET</w:t>
      </w:r>
      <w:r>
        <w:rPr>
          <w:sz w:val="22"/>
          <w:szCs w:val="22"/>
        </w:rPr>
        <w:t xml:space="preserve"> portfolios seems to emerge from the integrated assessment evidence. Adding a second </w:t>
      </w:r>
      <w:r>
        <w:rPr>
          <w:b/>
          <w:bCs/>
          <w:color w:val="00A65D"/>
          <w:sz w:val="22"/>
          <w:szCs w:val="22"/>
        </w:rPr>
        <w:t>NET</w:t>
      </w:r>
      <w:r>
        <w:rPr>
          <w:sz w:val="22"/>
          <w:szCs w:val="22"/>
        </w:rPr>
        <w:t xml:space="preserve"> to the mitigation portfolio increases the negative emission potentials while reducing mitigation costs. In scenarios produced by inter-temporal optimization frameworks that have perfect knowledge of future technological availability and costs, these benefits accrue at the expense of weakened incentives for short-term emission reductions. We address the issue of potential moral hazard in paper 1 of this series (Minx et al 2017a). Additionally,these results suggest that expanding the </w:t>
      </w:r>
      <w:r>
        <w:rPr>
          <w:b/>
          <w:bCs/>
          <w:color w:val="00A65D"/>
          <w:sz w:val="22"/>
          <w:szCs w:val="22"/>
        </w:rPr>
        <w:t>NETs</w:t>
      </w:r>
      <w:r>
        <w:rPr>
          <w:sz w:val="22"/>
          <w:szCs w:val="22"/>
        </w:rPr>
        <w:t xml:space="preserve"> portfolio can hedge against risks associated with the large-scale deployment of </w:t>
      </w:r>
      <w:r>
        <w:rPr>
          <w:b/>
          <w:bCs/>
          <w:color w:val="F58220"/>
          <w:sz w:val="22"/>
          <w:szCs w:val="22"/>
        </w:rPr>
        <w:t>BECCS</w:t>
      </w:r>
      <w:r>
        <w:rPr>
          <w:sz w:val="22"/>
          <w:szCs w:val="22"/>
        </w:rPr>
        <w:t xml:space="preserve"> (e.g. biodiversity loss and food price increase). Finally, the levels and timing of </w:t>
      </w:r>
      <w:r>
        <w:rPr>
          <w:b/>
          <w:bCs/>
          <w:color w:val="00A65D"/>
          <w:sz w:val="22"/>
          <w:szCs w:val="22"/>
        </w:rPr>
        <w:t>NETs</w:t>
      </w:r>
      <w:r>
        <w:rPr>
          <w:sz w:val="22"/>
          <w:szCs w:val="22"/>
        </w:rPr>
        <w:t xml:space="preserve"> deployments differs across technologies, as would be expected.</w:t>
      </w:r>
    </w:p>
    <w:p>
      <w:pPr>
        <w:pStyle w:val="Normal"/>
        <w:rPr>
          <w:rFonts w:ascii="Liberation Serif" w:hAnsi="Liberation Serif"/>
          <w:sz w:val="22"/>
          <w:szCs w:val="22"/>
        </w:rPr>
      </w:pPr>
      <w:r>
        <w:rPr>
          <w:sz w:val="22"/>
          <w:szCs w:val="22"/>
        </w:rPr>
      </w:r>
    </w:p>
    <w:p>
      <w:pPr>
        <w:pStyle w:val="Normal"/>
        <w:rPr>
          <w:rFonts w:ascii="Liberation Serif" w:hAnsi="Liberation Serif"/>
          <w:b/>
          <w:b/>
          <w:bCs/>
          <w:sz w:val="22"/>
          <w:szCs w:val="22"/>
        </w:rPr>
      </w:pPr>
      <w:r>
        <w:rPr>
          <w:b/>
          <w:bCs/>
          <w:sz w:val="22"/>
          <w:szCs w:val="22"/>
        </w:rPr>
        <w:t>Synthesis</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p. 29</w:t>
      </w:r>
    </w:p>
    <w:p>
      <w:pPr>
        <w:pStyle w:val="Normal"/>
        <w:rPr>
          <w:rFonts w:ascii="Liberation Serif" w:hAnsi="Liberation Serif"/>
          <w:sz w:val="22"/>
          <w:szCs w:val="22"/>
        </w:rPr>
      </w:pPr>
      <w:r>
        <w:rPr>
          <w:sz w:val="22"/>
          <w:szCs w:val="22"/>
        </w:rPr>
        <w:t xml:space="preserve">[…] Exceptions such as in (Strefler et al2018a) confirm that </w:t>
      </w:r>
      <w:r>
        <w:rPr>
          <w:sz w:val="22"/>
          <w:szCs w:val="22"/>
          <w:highlight w:val="yellow"/>
        </w:rPr>
        <w:t xml:space="preserve">adding other </w:t>
      </w:r>
      <w:r>
        <w:rPr>
          <w:b/>
          <w:bCs/>
          <w:color w:val="00A65D"/>
          <w:sz w:val="22"/>
          <w:szCs w:val="22"/>
          <w:highlight w:val="yellow"/>
        </w:rPr>
        <w:t>NETs</w:t>
      </w:r>
      <w:r>
        <w:rPr>
          <w:sz w:val="22"/>
          <w:szCs w:val="22"/>
        </w:rPr>
        <w:t xml:space="preserve"> (in this case terrestrial enhanced weathering) </w:t>
      </w:r>
      <w:r>
        <w:rPr>
          <w:sz w:val="22"/>
          <w:szCs w:val="22"/>
          <w:highlight w:val="yellow"/>
        </w:rPr>
        <w:t xml:space="preserve">to </w:t>
      </w:r>
      <w:r>
        <w:rPr>
          <w:b/>
          <w:bCs/>
          <w:color w:val="F58220"/>
          <w:sz w:val="22"/>
          <w:szCs w:val="22"/>
          <w:highlight w:val="yellow"/>
        </w:rPr>
        <w:t>BECCS</w:t>
      </w:r>
      <w:r>
        <w:rPr>
          <w:sz w:val="22"/>
          <w:szCs w:val="22"/>
          <w:highlight w:val="yellow"/>
        </w:rPr>
        <w:t xml:space="preserve"> can substantially reduce side effects</w:t>
      </w:r>
      <w:r>
        <w:rPr>
          <w:sz w:val="22"/>
          <w:szCs w:val="22"/>
        </w:rPr>
        <w:t xml:space="preserve"> (in this case reduce the land footprint, while still reaching considerable negative emissions potentials).</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 xml:space="preserve">Second, </w:t>
      </w:r>
      <w:r>
        <w:rPr>
          <w:sz w:val="22"/>
          <w:szCs w:val="22"/>
          <w:highlight w:val="yellow"/>
        </w:rPr>
        <w:t>scenarios that deploy small portfolios of two or three NETs show that adding another technology raises deployment, but at a decreasing rate</w:t>
      </w:r>
      <w:r>
        <w:rPr>
          <w:sz w:val="22"/>
          <w:szCs w:val="22"/>
        </w:rPr>
        <w:t xml:space="preserve">, i.e. </w:t>
      </w:r>
      <w:r>
        <w:rPr>
          <w:b/>
          <w:bCs/>
          <w:color w:val="00A65D"/>
          <w:sz w:val="22"/>
          <w:szCs w:val="22"/>
        </w:rPr>
        <w:t>NETs</w:t>
      </w:r>
      <w:r>
        <w:rPr>
          <w:sz w:val="22"/>
          <w:szCs w:val="22"/>
        </w:rPr>
        <w:t xml:space="preserve"> deployment is lower for each technology when two or more rather than a single technology is deployed (even if technologies areof very different types such as </w:t>
      </w:r>
      <w:r>
        <w:rPr>
          <w:b/>
          <w:bCs/>
          <w:sz w:val="22"/>
          <w:szCs w:val="22"/>
        </w:rPr>
        <w:t>BECCS</w:t>
      </w:r>
      <w:r>
        <w:rPr>
          <w:sz w:val="22"/>
          <w:szCs w:val="22"/>
        </w:rPr>
        <w:t xml:space="preserve"> and DACCS (or EW)) (Marcucciet al2017, Humpenöder et al 2014,Chen and Tavoni 2013).</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p. 35</w:t>
      </w:r>
    </w:p>
    <w:p>
      <w:pPr>
        <w:pStyle w:val="Normal"/>
        <w:rPr>
          <w:rFonts w:ascii="Liberation Serif" w:hAnsi="Liberation Serif"/>
          <w:sz w:val="22"/>
          <w:szCs w:val="22"/>
        </w:rPr>
      </w:pPr>
      <w:r>
        <w:rPr>
          <w:sz w:val="22"/>
          <w:szCs w:val="22"/>
        </w:rPr>
        <w:t xml:space="preserve">Finally, for the IAMs, the following research gaps can be identified: </w:t>
      </w:r>
    </w:p>
    <w:p>
      <w:pPr>
        <w:pStyle w:val="Normal"/>
        <w:rPr>
          <w:rFonts w:ascii="Liberation Serif" w:hAnsi="Liberation Serif"/>
          <w:sz w:val="22"/>
          <w:szCs w:val="22"/>
        </w:rPr>
      </w:pPr>
      <w:r>
        <w:rPr>
          <w:sz w:val="22"/>
          <w:szCs w:val="22"/>
        </w:rPr>
        <w:t xml:space="preserve">(i) the </w:t>
      </w:r>
      <w:r>
        <w:rPr>
          <w:sz w:val="22"/>
          <w:szCs w:val="22"/>
          <w:highlight w:val="yellow"/>
        </w:rPr>
        <w:t xml:space="preserve">need for integrated portfolios of </w:t>
      </w:r>
      <w:r>
        <w:rPr>
          <w:b/>
          <w:bCs/>
          <w:color w:val="00A65D"/>
          <w:sz w:val="22"/>
          <w:szCs w:val="22"/>
          <w:highlight w:val="yellow"/>
        </w:rPr>
        <w:t>NETs</w:t>
      </w:r>
      <w:r>
        <w:rPr>
          <w:sz w:val="22"/>
          <w:szCs w:val="22"/>
          <w:highlight w:val="yellow"/>
        </w:rPr>
        <w:t xml:space="preserve"> in IAMs, which should include an evaluation of interactions with other mitigation options and effects of </w:t>
      </w:r>
      <w:r>
        <w:rPr>
          <w:b/>
          <w:bCs/>
          <w:color w:val="00A65D"/>
          <w:sz w:val="22"/>
          <w:szCs w:val="22"/>
          <w:highlight w:val="yellow"/>
        </w:rPr>
        <w:t>NETs</w:t>
      </w:r>
      <w:r>
        <w:rPr>
          <w:sz w:val="22"/>
          <w:szCs w:val="22"/>
          <w:highlight w:val="yellow"/>
        </w:rPr>
        <w:t xml:space="preserve"> on non-climate sustainable development goals</w:t>
      </w:r>
      <w:r>
        <w:rPr>
          <w:sz w:val="22"/>
          <w:szCs w:val="22"/>
        </w:rPr>
        <w:t xml:space="preserve">; </w:t>
      </w:r>
    </w:p>
    <w:p>
      <w:pPr>
        <w:pStyle w:val="Normal"/>
        <w:rPr>
          <w:rFonts w:ascii="Liberation Serif" w:hAnsi="Liberation Serif"/>
          <w:sz w:val="22"/>
          <w:szCs w:val="22"/>
        </w:rPr>
      </w:pPr>
      <w:r>
        <w:rPr>
          <w:sz w:val="22"/>
          <w:szCs w:val="22"/>
        </w:rPr>
        <w:t>(ii) a b</w:t>
      </w:r>
      <w:r>
        <w:rPr>
          <w:sz w:val="22"/>
          <w:szCs w:val="22"/>
          <w:highlight w:val="yellow"/>
        </w:rPr>
        <w:t>etter understanding of geophysical constraints of negative emissions and implementation in IAMs</w:t>
      </w:r>
      <w:r>
        <w:rPr>
          <w:sz w:val="22"/>
          <w:szCs w:val="22"/>
        </w:rPr>
        <w:t xml:space="preserve">; (iii) an </w:t>
      </w:r>
      <w:r>
        <w:rPr>
          <w:sz w:val="22"/>
          <w:szCs w:val="22"/>
          <w:highlight w:val="yellow"/>
        </w:rPr>
        <w:t xml:space="preserve">analysis of </w:t>
      </w:r>
      <w:r>
        <w:rPr>
          <w:b/>
          <w:bCs/>
          <w:color w:val="00A65D"/>
          <w:sz w:val="22"/>
          <w:szCs w:val="22"/>
          <w:highlight w:val="yellow"/>
        </w:rPr>
        <w:t>NETs</w:t>
      </w:r>
      <w:r>
        <w:rPr>
          <w:sz w:val="22"/>
          <w:szCs w:val="22"/>
          <w:highlight w:val="yellow"/>
        </w:rPr>
        <w:t xml:space="preserve"> deployment dynamics in a risk management framework</w:t>
      </w:r>
      <w:r>
        <w:rPr>
          <w:sz w:val="22"/>
          <w:szCs w:val="22"/>
        </w:rPr>
        <w:t>, acknowledging that many decisions in climate change mitigation will have to be made in the short term and therefore under uncertainty.</w:t>
      </w:r>
    </w:p>
    <w:p>
      <w:pPr>
        <w:pStyle w:val="Normal"/>
        <w:rPr>
          <w:rFonts w:ascii="Liberation Serif" w:hAnsi="Liberation Serif"/>
          <w:sz w:val="22"/>
          <w:szCs w:val="22"/>
        </w:rPr>
      </w:pPr>
      <w:r>
        <w:rPr>
          <w:sz w:val="22"/>
          <w:szCs w:val="22"/>
        </w:rPr>
      </w:r>
    </w:p>
    <w:p>
      <w:pPr>
        <w:pStyle w:val="Normal"/>
        <w:rPr>
          <w:rFonts w:ascii="Liberation Serif" w:hAnsi="Liberation Serif"/>
          <w:b/>
          <w:b/>
          <w:bCs/>
          <w:sz w:val="22"/>
          <w:szCs w:val="22"/>
        </w:rPr>
      </w:pPr>
      <w:r>
        <w:rPr>
          <w:b/>
          <w:bCs/>
          <w:sz w:val="22"/>
          <w:szCs w:val="22"/>
        </w:rPr>
        <w:t>Outlook</w:t>
      </w:r>
    </w:p>
    <w:p>
      <w:pPr>
        <w:pStyle w:val="Normal"/>
        <w:rPr>
          <w:rFonts w:ascii="Liberation Serif" w:hAnsi="Liberation Serif"/>
          <w:sz w:val="22"/>
          <w:szCs w:val="22"/>
        </w:rPr>
      </w:pPr>
      <w:r>
        <w:rPr>
          <w:sz w:val="22"/>
          <w:szCs w:val="22"/>
        </w:rPr>
      </w:r>
    </w:p>
    <w:p>
      <w:pPr>
        <w:pStyle w:val="Normal"/>
        <w:rPr>
          <w:rFonts w:ascii="Liberation Serif" w:hAnsi="Liberation Serif"/>
          <w:sz w:val="22"/>
          <w:szCs w:val="22"/>
        </w:rPr>
      </w:pPr>
      <w:r>
        <w:rPr>
          <w:sz w:val="22"/>
          <w:szCs w:val="22"/>
        </w:rPr>
        <w:t xml:space="preserve">Our review highlights some more </w:t>
      </w:r>
      <w:r>
        <w:rPr>
          <w:sz w:val="22"/>
          <w:szCs w:val="22"/>
          <w:highlight w:val="yellow"/>
        </w:rPr>
        <w:t>general confusion around the role of negative emissions in climate change mitigation</w:t>
      </w:r>
      <w:r>
        <w:rPr>
          <w:sz w:val="22"/>
          <w:szCs w:val="22"/>
        </w:rPr>
        <w:t xml:space="preserve">: while 1.5◦C scenarios stronlgy depend on </w:t>
      </w:r>
      <w:r>
        <w:rPr>
          <w:b/>
          <w:bCs/>
          <w:color w:val="00A65D"/>
          <w:sz w:val="22"/>
          <w:szCs w:val="22"/>
        </w:rPr>
        <w:t>NETs</w:t>
      </w:r>
      <w:r>
        <w:rPr>
          <w:sz w:val="22"/>
          <w:szCs w:val="22"/>
        </w:rPr>
        <w:t xml:space="preserve">, 2◦C scenarios may rely on only limited or zero deployment of </w:t>
      </w:r>
      <w:r>
        <w:rPr>
          <w:b/>
          <w:bCs/>
          <w:color w:val="00A65D"/>
          <w:sz w:val="22"/>
          <w:szCs w:val="22"/>
        </w:rPr>
        <w:t>NETs</w:t>
      </w:r>
      <w:r>
        <w:rPr>
          <w:sz w:val="22"/>
          <w:szCs w:val="22"/>
        </w:rPr>
        <w:t xml:space="preserve">. This result is in contrast to some of the claims that have been made in the literature (Williamson2016, Gasseret al2015,Parson2017). Yet, right-sizing negative emissions towards what seems possible today (Field and Mach2017) would require rapid and sustained emission reductions in the short-term. The window of opportunity for limiting </w:t>
      </w:r>
      <w:r>
        <w:rPr>
          <w:b/>
          <w:bCs/>
          <w:color w:val="00A65D"/>
          <w:sz w:val="22"/>
          <w:szCs w:val="22"/>
        </w:rPr>
        <w:t>NETs</w:t>
      </w:r>
      <w:r>
        <w:rPr>
          <w:sz w:val="22"/>
          <w:szCs w:val="22"/>
        </w:rPr>
        <w:t xml:space="preserve"> dependence is closing rapidly due the cumulative warming effect of CO2 in the atmosphere and the lock-in of large-scale carbon-intensive infrastructure. An emission trajectory as suggested by the current nationally determined contributions (NDCs) would already lock remaining 2◦C pathways deeply into </w:t>
      </w:r>
      <w:r>
        <w:rPr>
          <w:b/>
          <w:bCs/>
          <w:color w:val="00A65D"/>
          <w:sz w:val="22"/>
          <w:szCs w:val="22"/>
        </w:rPr>
        <w:t>NETs</w:t>
      </w:r>
      <w:r>
        <w:rPr>
          <w:sz w:val="22"/>
          <w:szCs w:val="22"/>
        </w:rPr>
        <w:t xml:space="preserve"> dependence—similar to the </w:t>
      </w:r>
      <w:r>
        <w:rPr>
          <w:b/>
          <w:bCs/>
          <w:color w:val="00A65D"/>
          <w:sz w:val="22"/>
          <w:szCs w:val="22"/>
        </w:rPr>
        <w:t>NETs</w:t>
      </w:r>
      <w:r>
        <w:rPr>
          <w:sz w:val="22"/>
          <w:szCs w:val="22"/>
        </w:rPr>
        <w:t xml:space="preserve"> dependence for 1.5◦C pathways today (Riahiet al2015).</w:t>
      </w:r>
    </w:p>
    <w:p>
      <w:pPr>
        <w:pStyle w:val="Normal"/>
        <w:rPr>
          <w:rFonts w:ascii="Liberation Serif" w:hAnsi="Liberation Serif"/>
          <w:sz w:val="22"/>
          <w:szCs w:val="22"/>
        </w:rPr>
      </w:pPr>
      <w:r>
        <w:rPr>
          <w:sz w:val="22"/>
          <w:szCs w:val="22"/>
        </w:rPr>
      </w:r>
    </w:p>
    <w:p>
      <w:pPr>
        <w:pStyle w:val="Normal"/>
        <w:rPr/>
      </w:pPr>
      <w:r>
        <w:rPr>
          <w:sz w:val="22"/>
          <w:szCs w:val="22"/>
        </w:rPr>
        <w:t xml:space="preserve">Based on our assessment, large-scale deployment of </w:t>
      </w:r>
      <w:r>
        <w:rPr>
          <w:b/>
          <w:bCs/>
          <w:color w:val="00A65D"/>
          <w:sz w:val="22"/>
          <w:szCs w:val="22"/>
        </w:rPr>
        <w:t>NETs</w:t>
      </w:r>
      <w:r>
        <w:rPr>
          <w:sz w:val="22"/>
          <w:szCs w:val="22"/>
        </w:rPr>
        <w:t xml:space="preserve">, as implied by some of the current literature on 1.5◦C scenarios, appears unrealistic given the biophysical and economic limits that are suggested by the available, yet still patchy, science today. The same concerns of realism apply equally to 2◦C scenarios that delay action until 2030. The direct policy implications of this </w:t>
      </w:r>
      <w:r>
        <w:rPr>
          <w:b/>
          <w:bCs/>
          <w:color w:val="00A65D"/>
          <w:sz w:val="22"/>
          <w:szCs w:val="22"/>
        </w:rPr>
        <w:t>NETs</w:t>
      </w:r>
      <w:r>
        <w:rPr>
          <w:sz w:val="22"/>
          <w:szCs w:val="22"/>
        </w:rPr>
        <w:t xml:space="preserve"> review are thus that, given the assessed uncertainties, strategies should aim at limiting warming to below 2◦C with the least possible assumed dependence on </w:t>
      </w:r>
      <w:r>
        <w:rPr>
          <w:b/>
          <w:bCs/>
          <w:color w:val="00A65D"/>
          <w:sz w:val="22"/>
          <w:szCs w:val="22"/>
        </w:rPr>
        <w:t>NETs</w:t>
      </w:r>
      <w:r>
        <w:rPr>
          <w:sz w:val="22"/>
          <w:szCs w:val="22"/>
        </w:rPr>
        <w:t xml:space="preserve">. </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Cambria">
    <w:charset w:val="01"/>
    <w:family w:val="roman"/>
    <w:pitch w:val="variable"/>
  </w:font>
  <w:font w:name="Calibri">
    <w:charset w:val="01"/>
    <w:family w:val="roman"/>
    <w:pitch w:val="variable"/>
  </w:font>
  <w:font w:name="serif">
    <w:charset w:val="01"/>
    <w:family w:val="roman"/>
    <w:pitch w:val="variable"/>
  </w:font>
</w:fonts>
</file>

<file path=word/settings.xml><?xml version="1.0" encoding="utf-8"?>
<w:settings xmlns:w="http://schemas.openxmlformats.org/wordprocessingml/2006/main">
  <w:zoom w:percent="14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Cs w:val="24"/>
        <w:lang w:val="en-GB"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Lohit Devanagari"/>
      <w:color w:val="auto"/>
      <w:kern w:val="2"/>
      <w:sz w:val="24"/>
      <w:szCs w:val="24"/>
      <w:lang w:val="en-GB" w:eastAsia="zh-CN" w:bidi="hi-IN"/>
    </w:rPr>
  </w:style>
  <w:style w:type="character" w:styleId="InternetLink">
    <w:name w:val="Internet Link"/>
    <w:rPr>
      <w:color w:val="000080"/>
      <w:u w:val="single"/>
      <w:lang w:val="zxx" w:eastAsia="zxx" w:bidi="zxx"/>
    </w:rPr>
  </w:style>
  <w:style w:type="character" w:styleId="ListLabel71">
    <w:name w:val="ListLabel 71"/>
    <w:qFormat/>
    <w:rPr>
      <w:rFonts w:cs="Calibri"/>
      <w:i/>
      <w:color w:val="1155CC"/>
      <w:u w:val="single"/>
    </w:rPr>
  </w:style>
  <w:style w:type="character" w:styleId="ListLabel80">
    <w:name w:val="ListLabel 80"/>
    <w:qFormat/>
    <w:rPr>
      <w:rFonts w:cs="Calibri"/>
      <w:i/>
      <w:color w:val="1155CC"/>
      <w:u w:val="single"/>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qFormat/>
    <w:pPr>
      <w:pBdr>
        <w:bottom w:val="single" w:sz="8" w:space="4" w:color="4F81BD"/>
      </w:pBdr>
      <w:spacing w:lineRule="auto" w:line="240" w:before="0" w:after="300"/>
      <w:contextualSpacing/>
    </w:pPr>
    <w:rPr>
      <w:rFonts w:ascii="Cambria" w:hAnsi="Cambria" w:eastAsia="Calibri" w:cs="DejaVu Sans"/>
      <w:color w:val="17365D"/>
      <w:spacing w:val="5"/>
      <w:sz w:val="52"/>
      <w:szCs w:val="52"/>
    </w:rPr>
  </w:style>
  <w:style w:type="paragraph" w:styleId="Subtitle">
    <w:name w:val="Subtitle"/>
    <w:basedOn w:val="Normal"/>
    <w:qFormat/>
    <w:pPr/>
    <w:rPr>
      <w:rFonts w:ascii="Cambria" w:hAnsi="Cambria" w:eastAsia="Calibri" w:cs="DejaVu Sans"/>
      <w:i/>
      <w:iCs/>
      <w:color w:val="4F81BD"/>
      <w:spacing w:val="15"/>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hilaire@mcc-berlin.net"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45</TotalTime>
  <Application>LibreOffice/6.0.7.3$Linux_X86_64 LibreOffice_project/00m0$Build-3</Application>
  <Pages>3</Pages>
  <Words>1599</Words>
  <Characters>9214</Characters>
  <CharactersWithSpaces>10768</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2019-04-11T16:13:20Z</dcterms:created>
  <dc:creator/>
  <dc:description/>
  <dc:language>en-GB</dc:language>
  <cp:lastModifiedBy/>
  <dcterms:modified xsi:type="dcterms:W3CDTF">2019-05-03T13:50:00Z</dcterms:modified>
  <cp:revision>8</cp:revision>
  <dc:subject/>
  <dc:title/>
</cp:coreProperties>
</file>