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pPr>
      <w:r>
        <w:rPr>
          <w:rFonts w:cs="Calibri" w:ascii="Calibri" w:hAnsi="Calibri"/>
        </w:rPr>
        <w:t>Negative emissions and international climate goals - Learning from and about mitigation scenarios (Supplementary Electronic Material)</w:t>
      </w:r>
    </w:p>
    <w:p>
      <w:pPr>
        <w:pStyle w:val="Subtitle"/>
        <w:rPr/>
      </w:pPr>
      <w:r>
        <w:rPr/>
        <w:t xml:space="preserve">Coverage of NETs findings in IPCC Special Report on </w:t>
      </w:r>
      <w:r>
        <w:rPr/>
        <w:t>the impacts of global warming of 1.5°C above pre-industrial levels</w:t>
      </w:r>
    </w:p>
    <w:p>
      <w:pPr>
        <w:pStyle w:val="Normal"/>
        <w:rPr/>
      </w:pPr>
      <w:r>
        <w:rPr>
          <w:rFonts w:cs="Calibri"/>
          <w:i/>
          <w:sz w:val="28"/>
        </w:rPr>
        <w:t>Submitted to Climatic Change</w:t>
      </w:r>
    </w:p>
    <w:p>
      <w:pPr>
        <w:pStyle w:val="Normal"/>
        <w:rPr>
          <w:rFonts w:cs="Calibri"/>
          <w:i/>
          <w:i/>
        </w:rPr>
      </w:pPr>
      <w:r>
        <w:rPr>
          <w:rFonts w:cs="Calibri"/>
          <w:i/>
        </w:rPr>
      </w:r>
    </w:p>
    <w:p>
      <w:pPr>
        <w:pStyle w:val="Normal"/>
        <w:rPr/>
      </w:pPr>
      <w:r>
        <w:rPr>
          <w:rFonts w:cs="Calibri"/>
          <w:i/>
        </w:rPr>
        <w:t>Jérôme Hilaire</w:t>
      </w:r>
      <w:r>
        <w:rPr>
          <w:rFonts w:cs="Calibri"/>
          <w:i/>
          <w:vertAlign w:val="superscript"/>
        </w:rPr>
        <w:t>1,2</w:t>
      </w:r>
      <w:r>
        <w:rPr>
          <w:rFonts w:cs="Calibri"/>
          <w:i/>
        </w:rPr>
        <w:t>, Jan Minx</w:t>
      </w:r>
      <w:r>
        <w:rPr>
          <w:rFonts w:cs="Calibri"/>
          <w:i/>
          <w:vertAlign w:val="superscript"/>
        </w:rPr>
        <w:t>1,3</w:t>
      </w:r>
      <w:r>
        <w:rPr>
          <w:rFonts w:cs="Calibri"/>
          <w:i/>
        </w:rPr>
        <w:t>, Max Callaghan</w:t>
      </w:r>
      <w:r>
        <w:rPr>
          <w:rFonts w:cs="Calibri"/>
          <w:i/>
          <w:vertAlign w:val="superscript"/>
        </w:rPr>
        <w:t>1</w:t>
      </w:r>
      <w:r>
        <w:rPr>
          <w:rFonts w:cs="Calibri"/>
          <w:i/>
        </w:rPr>
        <w:t>, Jae Edmonds</w:t>
      </w:r>
      <w:r>
        <w:rPr>
          <w:rFonts w:cs="Calibri"/>
          <w:i/>
          <w:vertAlign w:val="superscript"/>
        </w:rPr>
        <w:t>4</w:t>
      </w:r>
      <w:r>
        <w:rPr>
          <w:rFonts w:cs="Calibri"/>
          <w:i/>
        </w:rPr>
        <w:t>, Gunnar Luderer</w:t>
      </w:r>
      <w:r>
        <w:rPr>
          <w:rFonts w:cs="Calibri"/>
          <w:i/>
          <w:vertAlign w:val="superscript"/>
        </w:rPr>
        <w:t>2</w:t>
      </w:r>
      <w:r>
        <w:rPr>
          <w:rFonts w:cs="Calibri"/>
          <w:i/>
        </w:rPr>
        <w:t>, Gregory Nemet</w:t>
      </w:r>
      <w:r>
        <w:rPr>
          <w:rFonts w:cs="Calibri"/>
          <w:i/>
          <w:vertAlign w:val="superscript"/>
        </w:rPr>
        <w:t>5</w:t>
      </w:r>
      <w:r>
        <w:rPr>
          <w:rFonts w:cs="Calibri"/>
          <w:i/>
        </w:rPr>
        <w:t>, Joeri Rogelj</w:t>
      </w:r>
      <w:r>
        <w:rPr>
          <w:rFonts w:cs="Calibri"/>
          <w:i/>
          <w:vertAlign w:val="superscript"/>
        </w:rPr>
        <w:t>6,7,8</w:t>
      </w:r>
      <w:r>
        <w:rPr>
          <w:rFonts w:cs="Calibri"/>
          <w:i/>
        </w:rPr>
        <w:t>, Maria del Mar Zamora</w:t>
      </w:r>
      <w:r>
        <w:rPr>
          <w:rFonts w:cs="Calibri"/>
          <w:i/>
          <w:vertAlign w:val="superscript"/>
        </w:rPr>
        <w:t>1</w:t>
      </w:r>
    </w:p>
    <w:p>
      <w:pPr>
        <w:pStyle w:val="Normal"/>
        <w:rPr>
          <w:rFonts w:cs="Calibri"/>
          <w:i/>
          <w:i/>
        </w:rPr>
      </w:pPr>
      <w:r>
        <w:rPr>
          <w:rFonts w:cs="Calibri"/>
          <w:i/>
        </w:rPr>
      </w:r>
    </w:p>
    <w:p>
      <w:pPr>
        <w:pStyle w:val="Normal"/>
        <w:rPr>
          <w:rFonts w:cs="Calibri"/>
          <w:i/>
          <w:i/>
        </w:rPr>
      </w:pPr>
      <w:r>
        <w:rPr>
          <w:rFonts w:cs="Calibri"/>
          <w:i/>
        </w:rPr>
      </w:r>
    </w:p>
    <w:p>
      <w:pPr>
        <w:pStyle w:val="Normal"/>
        <w:jc w:val="center"/>
        <w:rPr/>
      </w:pPr>
      <w:r>
        <w:rPr>
          <w:rFonts w:cs="Calibri"/>
          <w:vertAlign w:val="superscript"/>
        </w:rPr>
        <w:t xml:space="preserve">1 </w:t>
      </w:r>
      <w:r>
        <w:rPr>
          <w:rFonts w:cs="Calibri"/>
        </w:rPr>
        <w:t>Mercator Research Institute on Global Commons and Climate Change, Torgauer Stra</w:t>
      </w:r>
      <w:r>
        <w:rPr>
          <w:rFonts w:cs="Calibri"/>
          <w:lang w:val="en-GB"/>
        </w:rPr>
        <w:t>ße</w:t>
      </w:r>
      <w:r>
        <w:rPr>
          <w:rFonts w:cs="Calibri"/>
        </w:rPr>
        <w:t xml:space="preserve"> 12-15, EUREF Campus #19, 10829 Berlin, Germany</w:t>
      </w:r>
    </w:p>
    <w:p>
      <w:pPr>
        <w:pStyle w:val="Normal"/>
        <w:jc w:val="center"/>
        <w:rPr/>
      </w:pPr>
      <w:r>
        <w:rPr>
          <w:rFonts w:cs="Calibri"/>
          <w:vertAlign w:val="superscript"/>
        </w:rPr>
        <w:t xml:space="preserve">2 </w:t>
      </w:r>
      <w:r>
        <w:rPr>
          <w:rFonts w:cs="Calibri"/>
          <w:lang w:val="en-GB"/>
        </w:rPr>
        <w:t>Potsdam Institute for Climate Impact Research (PIK), Member of the Leibniz Association, Potsdam, Germany</w:t>
      </w:r>
    </w:p>
    <w:p>
      <w:pPr>
        <w:pStyle w:val="Normal"/>
        <w:jc w:val="center"/>
        <w:rPr/>
      </w:pPr>
      <w:r>
        <w:rPr>
          <w:rFonts w:cs="Calibri"/>
          <w:vertAlign w:val="superscript"/>
        </w:rPr>
        <w:t xml:space="preserve">3 </w:t>
      </w:r>
      <w:r>
        <w:rPr>
          <w:rFonts w:cs="Calibri"/>
        </w:rPr>
        <w:t>School of Earth and Environment, University of Leeds, Leeds LS2 9JT, United Kingdom</w:t>
      </w:r>
    </w:p>
    <w:p>
      <w:pPr>
        <w:pStyle w:val="Normal"/>
        <w:jc w:val="center"/>
        <w:rPr/>
      </w:pPr>
      <w:r>
        <w:rPr>
          <w:rFonts w:cs="Calibri"/>
          <w:highlight w:val="white"/>
          <w:vertAlign w:val="superscript"/>
        </w:rPr>
        <w:t>4</w:t>
      </w:r>
      <w:r>
        <w:rPr>
          <w:rFonts w:cs="Calibri"/>
          <w:highlight w:val="white"/>
        </w:rPr>
        <w:t xml:space="preserve"> Pacific Northwest National Laboratory – Joint Global Change Research Institute, 5825 University Research Court, College Park, MD, 20740, United States</w:t>
      </w:r>
    </w:p>
    <w:p>
      <w:pPr>
        <w:pStyle w:val="Normal"/>
        <w:jc w:val="center"/>
        <w:rPr/>
      </w:pPr>
      <w:r>
        <w:rPr>
          <w:rFonts w:cs="Calibri"/>
          <w:vertAlign w:val="superscript"/>
          <w:lang w:val="en-GB"/>
        </w:rPr>
        <w:t>5</w:t>
      </w:r>
      <w:r>
        <w:rPr>
          <w:rFonts w:cs="Calibri"/>
          <w:lang w:val="en-GB"/>
        </w:rPr>
        <w:t xml:space="preserve"> La Follette School of Public Affairs, University of Wisconsin–Madison, 1225 Observatory Drive, Madison, WI 53706, United States of America</w:t>
      </w:r>
    </w:p>
    <w:p>
      <w:pPr>
        <w:pStyle w:val="Normal"/>
        <w:jc w:val="center"/>
        <w:rPr/>
      </w:pPr>
      <w:r>
        <w:rPr>
          <w:rFonts w:cs="Calibri"/>
          <w:vertAlign w:val="superscript"/>
        </w:rPr>
        <w:t xml:space="preserve">6 </w:t>
      </w:r>
      <w:r>
        <w:rPr>
          <w:rFonts w:cs="Calibri"/>
        </w:rPr>
        <w:t>ENE Program, International Institute for Applied Systems Analysis (IIASA), Laxenburg, Austria</w:t>
      </w:r>
    </w:p>
    <w:p>
      <w:pPr>
        <w:pStyle w:val="Normal"/>
        <w:jc w:val="center"/>
        <w:rPr/>
      </w:pPr>
      <w:r>
        <w:rPr>
          <w:rFonts w:cs="Calibri"/>
          <w:vertAlign w:val="superscript"/>
        </w:rPr>
        <w:t xml:space="preserve">7 </w:t>
      </w:r>
      <w:r>
        <w:rPr>
          <w:rFonts w:cs="Calibri"/>
        </w:rPr>
        <w:t>Grantham Institute, Imperial College London, London SW7 2AZ, UK</w:t>
      </w:r>
    </w:p>
    <w:p>
      <w:pPr>
        <w:pStyle w:val="Normal"/>
        <w:jc w:val="center"/>
        <w:rPr/>
      </w:pPr>
      <w:r>
        <w:rPr>
          <w:rFonts w:cs="Calibri"/>
          <w:vertAlign w:val="superscript"/>
        </w:rPr>
        <w:t>8</w:t>
      </w:r>
      <w:r>
        <w:rPr>
          <w:rFonts w:cs="Calibri"/>
        </w:rPr>
        <w:t xml:space="preserve"> Institute for Atmospheric and Climate Science, ETH Zurich, Zurich, Switzerland</w:t>
      </w:r>
    </w:p>
    <w:p>
      <w:pPr>
        <w:pStyle w:val="Normal"/>
        <w:rPr>
          <w:rFonts w:cs="Calibri"/>
          <w:i/>
          <w:i/>
        </w:rPr>
      </w:pPr>
      <w:r>
        <w:rPr>
          <w:rFonts w:cs="Calibri"/>
          <w:i/>
        </w:rPr>
      </w:r>
    </w:p>
    <w:p>
      <w:pPr>
        <w:pStyle w:val="Normal"/>
        <w:rPr>
          <w:rFonts w:cs="Calibri"/>
          <w:i/>
          <w:i/>
        </w:rPr>
      </w:pPr>
      <w:r>
        <w:rPr>
          <w:rFonts w:cs="Calibri"/>
          <w:i/>
        </w:rPr>
      </w:r>
    </w:p>
    <w:p>
      <w:pPr>
        <w:pStyle w:val="Normal"/>
        <w:rPr/>
      </w:pPr>
      <w:r>
        <w:rPr>
          <w:rFonts w:cs="Calibri"/>
          <w:i/>
        </w:rPr>
        <w:t xml:space="preserve">Corresponding author: </w:t>
      </w:r>
      <w:hyperlink r:id="rId2">
        <w:r>
          <w:rPr>
            <w:rStyle w:val="ListLabel71"/>
            <w:rFonts w:cs="Calibri"/>
            <w:i/>
            <w:color w:val="1155CC"/>
            <w:u w:val="single"/>
          </w:rPr>
          <w:t>hilaire@mcc-berlin.net</w:t>
        </w:r>
      </w:hyperlink>
      <w:r>
        <w:rPr>
          <w:rFonts w:cs="Calibri"/>
          <w:i/>
        </w:rPr>
        <w:t xml:space="preserve"> (+49 30 33 85 537 251)</w:t>
      </w:r>
    </w:p>
    <w:p>
      <w:pPr>
        <w:pStyle w:val="Heading1"/>
        <w:spacing w:before="480" w:after="0"/>
        <w:rPr/>
      </w:pPr>
      <w:r>
        <w:rPr/>
      </w:r>
      <w:r>
        <w:br w:type="page"/>
      </w:r>
    </w:p>
    <w:p>
      <w:pPr>
        <w:pStyle w:val="Heading1"/>
        <w:spacing w:before="480" w:after="0"/>
        <w:rPr/>
      </w:pPr>
      <w:bookmarkStart w:id="0" w:name="_Toc525298434"/>
      <w:r>
        <w:rPr/>
        <w:t>IPCC SR1.5 – SPM</w:t>
      </w:r>
      <w:bookmarkEnd w:id="0"/>
    </w:p>
    <w:p>
      <w:pPr>
        <w:pStyle w:val="NoSpacing"/>
        <w:rPr/>
      </w:pPr>
      <w:r>
        <w:rPr>
          <w:rStyle w:val="Berschrift1Zchn"/>
        </w:rPr>
        <w:t>Statistics</w:t>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7572"/>
        <w:gridCol w:w="1823"/>
      </w:tblGrid>
      <w:tr>
        <w:trPr/>
        <w:tc>
          <w:tcPr>
            <w:tcW w:w="7572" w:type="dxa"/>
            <w:tcBorders/>
            <w:shd w:fill="auto" w:val="clear"/>
          </w:tcPr>
          <w:p>
            <w:pPr>
              <w:pStyle w:val="NoSpacing"/>
              <w:rPr/>
            </w:pPr>
            <w:r>
              <w:rPr>
                <w:b/>
              </w:rPr>
              <w:t>Search term</w:t>
            </w:r>
          </w:p>
        </w:tc>
        <w:tc>
          <w:tcPr>
            <w:tcW w:w="1823" w:type="dxa"/>
            <w:tcBorders/>
            <w:shd w:fill="auto" w:val="clear"/>
          </w:tcPr>
          <w:p>
            <w:pPr>
              <w:pStyle w:val="NoSpacing"/>
              <w:rPr/>
            </w:pPr>
            <w:r>
              <w:rPr>
                <w:b/>
              </w:rPr>
              <w:t>Count</w:t>
            </w:r>
          </w:p>
        </w:tc>
      </w:tr>
      <w:tr>
        <w:trPr/>
        <w:tc>
          <w:tcPr>
            <w:tcW w:w="7572" w:type="dxa"/>
            <w:tcBorders/>
            <w:shd w:fill="auto" w:val="clear"/>
          </w:tcPr>
          <w:p>
            <w:pPr>
              <w:pStyle w:val="NoSpacing"/>
              <w:rPr/>
            </w:pPr>
            <w:r>
              <w:rPr>
                <w:b/>
                <w:color w:val="7030A0"/>
              </w:rPr>
              <w:t>Negative emission, NETs</w:t>
            </w:r>
          </w:p>
        </w:tc>
        <w:tc>
          <w:tcPr>
            <w:tcW w:w="1823" w:type="dxa"/>
            <w:tcBorders/>
            <w:shd w:fill="auto" w:val="clear"/>
          </w:tcPr>
          <w:p>
            <w:pPr>
              <w:pStyle w:val="NoSpacing"/>
              <w:rPr/>
            </w:pPr>
            <w:r>
              <w:rPr/>
              <w:t>2</w:t>
            </w:r>
          </w:p>
        </w:tc>
      </w:tr>
      <w:tr>
        <w:trPr/>
        <w:tc>
          <w:tcPr>
            <w:tcW w:w="7572" w:type="dxa"/>
            <w:tcBorders/>
            <w:shd w:fill="auto" w:val="clear"/>
          </w:tcPr>
          <w:p>
            <w:pPr>
              <w:pStyle w:val="NoSpacing"/>
              <w:rPr/>
            </w:pPr>
            <w:r>
              <w:rPr>
                <w:b/>
                <w:color w:val="00B050"/>
              </w:rPr>
              <w:t>Carbon dioxide removal, CDR, carbon removal</w:t>
            </w:r>
          </w:p>
        </w:tc>
        <w:tc>
          <w:tcPr>
            <w:tcW w:w="1823" w:type="dxa"/>
            <w:tcBorders/>
            <w:shd w:fill="auto" w:val="clear"/>
          </w:tcPr>
          <w:p>
            <w:pPr>
              <w:pStyle w:val="NoSpacing"/>
              <w:rPr/>
            </w:pPr>
            <w:r>
              <w:rPr/>
              <w:t>12</w:t>
            </w:r>
          </w:p>
        </w:tc>
      </w:tr>
      <w:tr>
        <w:trPr/>
        <w:tc>
          <w:tcPr>
            <w:tcW w:w="7572" w:type="dxa"/>
            <w:tcBorders/>
            <w:shd w:fill="auto" w:val="clear"/>
          </w:tcPr>
          <w:p>
            <w:pPr>
              <w:pStyle w:val="NoSpacing"/>
              <w:rPr/>
            </w:pPr>
            <w:r>
              <w:rPr>
                <w:b/>
                <w:color w:val="F79646" w:themeColor="accent6"/>
              </w:rPr>
              <w:t>Bioenergy with carbon and capture, BECCS, bioenergy</w:t>
            </w:r>
          </w:p>
        </w:tc>
        <w:tc>
          <w:tcPr>
            <w:tcW w:w="1823" w:type="dxa"/>
            <w:tcBorders/>
            <w:shd w:fill="auto" w:val="clear"/>
          </w:tcPr>
          <w:p>
            <w:pPr>
              <w:pStyle w:val="NoSpacing"/>
              <w:rPr/>
            </w:pPr>
            <w:r>
              <w:rPr/>
              <w:t>10</w:t>
            </w:r>
          </w:p>
        </w:tc>
      </w:tr>
      <w:tr>
        <w:trPr/>
        <w:tc>
          <w:tcPr>
            <w:tcW w:w="7572" w:type="dxa"/>
            <w:tcBorders/>
            <w:shd w:fill="auto" w:val="clear"/>
          </w:tcPr>
          <w:p>
            <w:pPr>
              <w:pStyle w:val="NoSpacing"/>
              <w:rPr/>
            </w:pPr>
            <w:r>
              <w:rPr>
                <w:b/>
                <w:color w:val="0070C0"/>
              </w:rPr>
              <w:t>Afforestation, AFOLU, AFOLU-related CDR</w:t>
            </w:r>
          </w:p>
        </w:tc>
        <w:tc>
          <w:tcPr>
            <w:tcW w:w="1823" w:type="dxa"/>
            <w:tcBorders/>
            <w:shd w:fill="auto" w:val="clear"/>
          </w:tcPr>
          <w:p>
            <w:pPr>
              <w:pStyle w:val="NoSpacing"/>
              <w:rPr/>
            </w:pPr>
            <w:r>
              <w:rPr/>
              <w:t>9</w:t>
            </w:r>
          </w:p>
        </w:tc>
      </w:tr>
    </w:tbl>
    <w:p>
      <w:pPr>
        <w:pStyle w:val="Normal"/>
        <w:rPr/>
      </w:pPr>
      <w:r>
        <w:rPr/>
      </w:r>
    </w:p>
    <w:p>
      <w:pPr>
        <w:pStyle w:val="TextBody"/>
        <w:rPr>
          <w:b/>
          <w:b/>
          <w:bCs/>
          <w:color w:val="CE181E"/>
        </w:rPr>
      </w:pPr>
      <w:r>
        <w:rPr>
          <w:b/>
          <w:bCs/>
          <w:color w:val="CE181E"/>
        </w:rPr>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6274"/>
        <w:gridCol w:w="1510"/>
        <w:gridCol w:w="1612"/>
      </w:tblGrid>
      <w:tr>
        <w:trPr/>
        <w:tc>
          <w:tcPr>
            <w:tcW w:w="6274" w:type="dxa"/>
            <w:tcBorders/>
            <w:shd w:fill="auto" w:val="clear"/>
          </w:tcPr>
          <w:p>
            <w:pPr>
              <w:pStyle w:val="NoSpacing"/>
              <w:rPr/>
            </w:pPr>
            <w:r>
              <w:rPr>
                <w:b/>
              </w:rPr>
              <w:t>IPCC references</w:t>
            </w:r>
          </w:p>
        </w:tc>
        <w:tc>
          <w:tcPr>
            <w:tcW w:w="1510" w:type="dxa"/>
            <w:tcBorders/>
            <w:shd w:fill="auto" w:val="clear"/>
          </w:tcPr>
          <w:p>
            <w:pPr>
              <w:pStyle w:val="NoSpacing"/>
              <w:rPr/>
            </w:pPr>
            <w:r>
              <w:rPr>
                <w:b/>
              </w:rPr>
              <w:t>Type</w:t>
            </w:r>
          </w:p>
        </w:tc>
        <w:tc>
          <w:tcPr>
            <w:tcW w:w="1612" w:type="dxa"/>
            <w:tcBorders/>
            <w:shd w:fill="auto" w:val="clear"/>
          </w:tcPr>
          <w:p>
            <w:pPr>
              <w:pStyle w:val="NoSpacing"/>
              <w:rPr/>
            </w:pPr>
            <w:r>
              <w:rPr>
                <w:b/>
              </w:rPr>
              <w:t>Count</w:t>
            </w:r>
          </w:p>
        </w:tc>
      </w:tr>
      <w:tr>
        <w:trPr/>
        <w:tc>
          <w:tcPr>
            <w:tcW w:w="6274" w:type="dxa"/>
            <w:tcBorders/>
            <w:shd w:color="auto" w:fill="F2F2F2" w:themeFill="background1" w:themeFillShade="f2" w:val="clear"/>
          </w:tcPr>
          <w:p>
            <w:pPr>
              <w:pStyle w:val="NoSpacing"/>
              <w:rPr/>
            </w:pPr>
            <w:r>
              <w:rPr>
                <w:i/>
                <w:iCs/>
              </w:rPr>
              <w:t>Sections</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43</w:t>
            </w:r>
          </w:p>
        </w:tc>
      </w:tr>
      <w:tr>
        <w:trPr/>
        <w:tc>
          <w:tcPr>
            <w:tcW w:w="6274" w:type="dxa"/>
            <w:tcBorders/>
            <w:shd w:color="auto" w:fill="F2F2F2" w:themeFill="background1" w:themeFillShade="f2" w:val="clear"/>
          </w:tcPr>
          <w:p>
            <w:pPr>
              <w:pStyle w:val="NoSpacing"/>
              <w:rPr/>
            </w:pPr>
            <w:r>
              <w:rPr>
                <w:i/>
                <w:iCs/>
              </w:rPr>
              <w:t>Chapter 2</w:t>
            </w:r>
          </w:p>
        </w:tc>
        <w:tc>
          <w:tcPr>
            <w:tcW w:w="1510" w:type="dxa"/>
            <w:tcBorders/>
            <w:shd w:color="auto" w:fill="F2F2F2" w:themeFill="background1" w:themeFillShade="f2" w:val="clear"/>
          </w:tcPr>
          <w:p>
            <w:pPr>
              <w:pStyle w:val="NoSpacing"/>
              <w:rPr/>
            </w:pPr>
            <w:r>
              <w:rPr>
                <w:i/>
                <w:iCs/>
              </w:rPr>
              <w:t>Section</w:t>
            </w:r>
          </w:p>
        </w:tc>
        <w:tc>
          <w:tcPr>
            <w:tcW w:w="1612" w:type="dxa"/>
            <w:tcBorders/>
            <w:shd w:color="auto" w:fill="F2F2F2" w:themeFill="background1" w:themeFillShade="f2" w:val="clear"/>
          </w:tcPr>
          <w:p>
            <w:pPr>
              <w:pStyle w:val="NoSpacing"/>
              <w:rPr/>
            </w:pPr>
            <w:r>
              <w:rPr>
                <w:i/>
                <w:iCs/>
              </w:rPr>
              <w:t>18</w:t>
            </w:r>
          </w:p>
        </w:tc>
      </w:tr>
      <w:tr>
        <w:trPr/>
        <w:tc>
          <w:tcPr>
            <w:tcW w:w="6274" w:type="dxa"/>
            <w:tcBorders/>
            <w:shd w:fill="auto" w:val="clear"/>
          </w:tcPr>
          <w:p>
            <w:pPr>
              <w:pStyle w:val="NoSpacing"/>
              <w:rPr/>
            </w:pPr>
            <w:r>
              <w:rPr/>
              <w:t>2.2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2.3</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2.3.3</w:t>
            </w:r>
          </w:p>
        </w:tc>
        <w:tc>
          <w:tcPr>
            <w:tcW w:w="1510" w:type="dxa"/>
            <w:tcBorders/>
            <w:shd w:fill="auto" w:val="clear"/>
          </w:tcPr>
          <w:p>
            <w:pPr>
              <w:pStyle w:val="NoSpacing"/>
              <w:rPr/>
            </w:pPr>
            <w:r>
              <w:rPr/>
              <w:t>Section</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2.3.4</w:t>
            </w:r>
          </w:p>
        </w:tc>
        <w:tc>
          <w:tcPr>
            <w:tcW w:w="1510" w:type="dxa"/>
            <w:tcBorders/>
            <w:shd w:fill="auto" w:val="clear"/>
          </w:tcPr>
          <w:p>
            <w:pPr>
              <w:pStyle w:val="NoSpacing"/>
              <w:rPr/>
            </w:pPr>
            <w:r>
              <w:rPr/>
              <w:t>Section</w:t>
            </w:r>
          </w:p>
        </w:tc>
        <w:tc>
          <w:tcPr>
            <w:tcW w:w="1612" w:type="dxa"/>
            <w:tcBorders/>
            <w:shd w:fill="auto" w:val="clear"/>
          </w:tcPr>
          <w:p>
            <w:pPr>
              <w:pStyle w:val="NoSpacing"/>
              <w:rPr/>
            </w:pPr>
            <w:r>
              <w:rPr/>
              <w:t>5</w:t>
            </w:r>
          </w:p>
        </w:tc>
      </w:tr>
      <w:tr>
        <w:trPr/>
        <w:tc>
          <w:tcPr>
            <w:tcW w:w="6274" w:type="dxa"/>
            <w:tcBorders/>
            <w:shd w:fill="auto" w:val="clear"/>
          </w:tcPr>
          <w:p>
            <w:pPr>
              <w:pStyle w:val="NoSpacing"/>
              <w:rPr/>
            </w:pPr>
            <w:r>
              <w:rPr/>
              <w:t>2.3.5</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2.4</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2.4.2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2.4.4</w:t>
            </w:r>
          </w:p>
        </w:tc>
        <w:tc>
          <w:tcPr>
            <w:tcW w:w="1510" w:type="dxa"/>
            <w:tcBorders/>
            <w:shd w:fill="auto" w:val="clear"/>
          </w:tcPr>
          <w:p>
            <w:pPr>
              <w:pStyle w:val="NoSpacing"/>
              <w:rPr/>
            </w:pPr>
            <w:r>
              <w:rPr/>
              <w:t>Section</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2.5.3</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2.6</w:t>
            </w:r>
          </w:p>
        </w:tc>
        <w:tc>
          <w:tcPr>
            <w:tcW w:w="1510" w:type="dxa"/>
            <w:tcBorders/>
            <w:shd w:fill="auto" w:val="clear"/>
          </w:tcPr>
          <w:p>
            <w:pPr>
              <w:pStyle w:val="NoSpacing"/>
              <w:rPr/>
            </w:pPr>
            <w:r>
              <w:rPr/>
              <w:t>Section</w:t>
            </w:r>
          </w:p>
        </w:tc>
        <w:tc>
          <w:tcPr>
            <w:tcW w:w="1612" w:type="dxa"/>
            <w:tcBorders/>
            <w:shd w:fill="auto" w:val="clear"/>
          </w:tcPr>
          <w:p>
            <w:pPr>
              <w:pStyle w:val="NoSpacing"/>
              <w:rPr/>
            </w:pPr>
            <w:r>
              <w:rPr/>
              <w:t>2</w:t>
            </w:r>
          </w:p>
        </w:tc>
      </w:tr>
      <w:tr>
        <w:trPr/>
        <w:tc>
          <w:tcPr>
            <w:tcW w:w="6274" w:type="dxa"/>
            <w:tcBorders/>
            <w:shd w:fill="EEEEEE" w:val="clear"/>
          </w:tcPr>
          <w:p>
            <w:pPr>
              <w:pStyle w:val="NoSpacing"/>
              <w:rPr/>
            </w:pPr>
            <w:r>
              <w:rPr>
                <w:i/>
                <w:iCs/>
              </w:rPr>
              <w:t>Chapter 3</w:t>
            </w:r>
          </w:p>
        </w:tc>
        <w:tc>
          <w:tcPr>
            <w:tcW w:w="1510" w:type="dxa"/>
            <w:tcBorders/>
            <w:shd w:fill="EEEEEE" w:val="clear"/>
          </w:tcPr>
          <w:p>
            <w:pPr>
              <w:pStyle w:val="NoSpacing"/>
              <w:rPr/>
            </w:pPr>
            <w:r>
              <w:rPr>
                <w:i/>
                <w:iCs/>
              </w:rPr>
              <w:t>Section</w:t>
            </w:r>
          </w:p>
        </w:tc>
        <w:tc>
          <w:tcPr>
            <w:tcW w:w="1612" w:type="dxa"/>
            <w:tcBorders/>
            <w:shd w:fill="EEEEEE" w:val="clear"/>
          </w:tcPr>
          <w:p>
            <w:pPr>
              <w:pStyle w:val="NoSpacing"/>
              <w:rPr/>
            </w:pPr>
            <w:r>
              <w:rPr/>
              <w:t>5</w:t>
            </w:r>
          </w:p>
        </w:tc>
      </w:tr>
      <w:tr>
        <w:trPr/>
        <w:tc>
          <w:tcPr>
            <w:tcW w:w="6274" w:type="dxa"/>
            <w:tcBorders/>
            <w:shd w:fill="auto" w:val="clear"/>
          </w:tcPr>
          <w:p>
            <w:pPr>
              <w:pStyle w:val="NoSpacing"/>
              <w:rPr/>
            </w:pPr>
            <w:r>
              <w:rPr/>
              <w:t>3.6.2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5</w:t>
            </w:r>
          </w:p>
        </w:tc>
      </w:tr>
      <w:tr>
        <w:trPr/>
        <w:tc>
          <w:tcPr>
            <w:tcW w:w="6274" w:type="dxa"/>
            <w:tcBorders/>
            <w:shd w:fill="EEEEEE" w:val="clear"/>
          </w:tcPr>
          <w:p>
            <w:pPr>
              <w:pStyle w:val="NoSpacing"/>
              <w:rPr/>
            </w:pPr>
            <w:r>
              <w:rPr>
                <w:i/>
                <w:iCs/>
              </w:rPr>
              <w:t>Chapter 4</w:t>
            </w:r>
          </w:p>
        </w:tc>
        <w:tc>
          <w:tcPr>
            <w:tcW w:w="1510" w:type="dxa"/>
            <w:tcBorders/>
            <w:shd w:fill="EEEEEE" w:val="clear"/>
          </w:tcPr>
          <w:p>
            <w:pPr>
              <w:pStyle w:val="NoSpacing"/>
              <w:rPr/>
            </w:pPr>
            <w:r>
              <w:rPr>
                <w:i/>
                <w:iCs/>
              </w:rPr>
              <w:t>Section</w:t>
            </w:r>
          </w:p>
        </w:tc>
        <w:tc>
          <w:tcPr>
            <w:tcW w:w="1612" w:type="dxa"/>
            <w:tcBorders/>
            <w:shd w:fill="EEEEEE" w:val="clear"/>
          </w:tcPr>
          <w:p>
            <w:pPr>
              <w:pStyle w:val="NoSpacing"/>
              <w:rPr>
                <w:i/>
                <w:i/>
                <w:iCs/>
              </w:rPr>
            </w:pPr>
            <w:r>
              <w:rPr>
                <w:i/>
                <w:iCs/>
              </w:rPr>
              <w:t>16</w:t>
            </w:r>
          </w:p>
        </w:tc>
      </w:tr>
      <w:tr>
        <w:trPr/>
        <w:tc>
          <w:tcPr>
            <w:tcW w:w="6274" w:type="dxa"/>
            <w:tcBorders/>
            <w:shd w:fill="auto" w:val="clear"/>
          </w:tcPr>
          <w:p>
            <w:pPr>
              <w:pStyle w:val="NoSpacing"/>
              <w:rPr>
                <w:b/>
                <w:b/>
                <w:bCs/>
                <w:color w:val="CE181E"/>
              </w:rPr>
            </w:pPr>
            <w:r>
              <w:rPr/>
              <w:t>4.3</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4.3.1</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4.3.2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4</w:t>
            </w:r>
          </w:p>
        </w:tc>
      </w:tr>
      <w:tr>
        <w:trPr/>
        <w:tc>
          <w:tcPr>
            <w:tcW w:w="6274" w:type="dxa"/>
            <w:tcBorders/>
            <w:shd w:fill="auto" w:val="clear"/>
          </w:tcPr>
          <w:p>
            <w:pPr>
              <w:pStyle w:val="NoSpacing"/>
              <w:rPr/>
            </w:pPr>
            <w:r>
              <w:rPr/>
              <w:t>4.3.7</w:t>
            </w:r>
          </w:p>
        </w:tc>
        <w:tc>
          <w:tcPr>
            <w:tcW w:w="1510" w:type="dxa"/>
            <w:tcBorders/>
            <w:shd w:fill="auto" w:val="clear"/>
          </w:tcPr>
          <w:p>
            <w:pPr>
              <w:pStyle w:val="NoSpacing"/>
              <w:rPr/>
            </w:pPr>
            <w:r>
              <w:rPr/>
              <w:t>Section</w:t>
            </w:r>
          </w:p>
        </w:tc>
        <w:tc>
          <w:tcPr>
            <w:tcW w:w="1612" w:type="dxa"/>
            <w:tcBorders/>
            <w:shd w:fill="auto" w:val="clear"/>
          </w:tcPr>
          <w:p>
            <w:pPr>
              <w:pStyle w:val="NoSpacing"/>
              <w:rPr/>
            </w:pPr>
            <w:r>
              <w:rPr/>
              <w:t>5</w:t>
            </w:r>
          </w:p>
        </w:tc>
      </w:tr>
      <w:tr>
        <w:trPr/>
        <w:tc>
          <w:tcPr>
            <w:tcW w:w="6274" w:type="dxa"/>
            <w:tcBorders/>
            <w:shd w:fill="auto" w:val="clear"/>
          </w:tcPr>
          <w:p>
            <w:pPr>
              <w:pStyle w:val="NoSpacing"/>
              <w:rPr/>
            </w:pPr>
            <w:r>
              <w:rPr/>
              <w:t>4.4.1</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4.4.3</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4.5.2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3</w:t>
            </w:r>
          </w:p>
        </w:tc>
      </w:tr>
      <w:tr>
        <w:trPr/>
        <w:tc>
          <w:tcPr>
            <w:tcW w:w="6274" w:type="dxa"/>
            <w:tcBorders/>
            <w:shd w:fill="EEEEEE" w:val="clear"/>
          </w:tcPr>
          <w:p>
            <w:pPr>
              <w:pStyle w:val="NoSpacing"/>
              <w:rPr/>
            </w:pPr>
            <w:r>
              <w:rPr>
                <w:i/>
                <w:iCs/>
              </w:rPr>
              <w:t>Chapter 5</w:t>
            </w:r>
          </w:p>
        </w:tc>
        <w:tc>
          <w:tcPr>
            <w:tcW w:w="1510" w:type="dxa"/>
            <w:tcBorders/>
            <w:shd w:fill="EEEEEE" w:val="clear"/>
          </w:tcPr>
          <w:p>
            <w:pPr>
              <w:pStyle w:val="NoSpacing"/>
              <w:rPr/>
            </w:pPr>
            <w:r>
              <w:rPr>
                <w:i/>
                <w:iCs/>
              </w:rPr>
              <w:t>Section</w:t>
            </w:r>
          </w:p>
        </w:tc>
        <w:tc>
          <w:tcPr>
            <w:tcW w:w="1612" w:type="dxa"/>
            <w:tcBorders/>
            <w:shd w:fill="EEEEEE" w:val="clear"/>
          </w:tcPr>
          <w:p>
            <w:pPr>
              <w:pStyle w:val="NoSpacing"/>
              <w:rPr>
                <w:i/>
                <w:i/>
                <w:iCs/>
              </w:rPr>
            </w:pPr>
            <w:r>
              <w:rPr>
                <w:i/>
                <w:iCs/>
              </w:rPr>
              <w:t>4</w:t>
            </w:r>
          </w:p>
        </w:tc>
      </w:tr>
      <w:tr>
        <w:trPr/>
        <w:tc>
          <w:tcPr>
            <w:tcW w:w="6274" w:type="dxa"/>
            <w:tcBorders/>
            <w:shd w:fill="auto" w:val="clear"/>
          </w:tcPr>
          <w:p>
            <w:pPr>
              <w:pStyle w:val="NoSpacing"/>
              <w:rPr/>
            </w:pPr>
            <w:r>
              <w:rPr/>
              <w:t>5.4</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5.4.1</w:t>
            </w:r>
          </w:p>
        </w:tc>
        <w:tc>
          <w:tcPr>
            <w:tcW w:w="1510" w:type="dxa"/>
            <w:tcBorders/>
            <w:shd w:fill="auto" w:val="clear"/>
          </w:tcPr>
          <w:p>
            <w:pPr>
              <w:pStyle w:val="NoSpacing"/>
              <w:rPr/>
            </w:pPr>
            <w:r>
              <w:rPr/>
              <w:t>Section</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5.4.2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1</w:t>
            </w:r>
          </w:p>
        </w:tc>
      </w:tr>
      <w:tr>
        <w:trPr/>
        <w:tc>
          <w:tcPr>
            <w:tcW w:w="6274" w:type="dxa"/>
            <w:tcBorders/>
            <w:shd w:color="auto" w:fill="F2F2F2" w:themeFill="background1" w:themeFillShade="f2" w:val="clear"/>
          </w:tcPr>
          <w:p>
            <w:pPr>
              <w:pStyle w:val="NoSpacing"/>
              <w:rPr/>
            </w:pPr>
            <w:r>
              <w:rPr>
                <w:i/>
                <w:iCs/>
              </w:rPr>
              <w:t>Figures</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5</w:t>
            </w:r>
          </w:p>
        </w:tc>
      </w:tr>
      <w:tr>
        <w:trPr/>
        <w:tc>
          <w:tcPr>
            <w:tcW w:w="6274" w:type="dxa"/>
            <w:tcBorders/>
            <w:shd w:fill="auto" w:val="clear"/>
          </w:tcPr>
          <w:p>
            <w:pPr>
              <w:pStyle w:val="NoSpacing"/>
              <w:rPr/>
            </w:pPr>
            <w:r>
              <w:rPr/>
              <w:t>SPM.3b</w:t>
            </w:r>
          </w:p>
        </w:tc>
        <w:tc>
          <w:tcPr>
            <w:tcW w:w="1510" w:type="dxa"/>
            <w:tcBorders/>
            <w:shd w:fill="auto" w:val="clear"/>
          </w:tcPr>
          <w:p>
            <w:pPr>
              <w:pStyle w:val="NoSpacing"/>
              <w:rPr/>
            </w:pPr>
            <w:r>
              <w:rPr/>
              <w:t>Figure</w:t>
            </w:r>
          </w:p>
        </w:tc>
        <w:tc>
          <w:tcPr>
            <w:tcW w:w="1612" w:type="dxa"/>
            <w:tcBorders/>
            <w:shd w:fill="auto" w:val="clear"/>
          </w:tcPr>
          <w:p>
            <w:pPr>
              <w:pStyle w:val="NoSpacing"/>
              <w:rPr/>
            </w:pPr>
            <w:r>
              <w:rPr/>
              <w:t>3</w:t>
            </w:r>
          </w:p>
        </w:tc>
      </w:tr>
      <w:tr>
        <w:trPr/>
        <w:tc>
          <w:tcPr>
            <w:tcW w:w="6274" w:type="dxa"/>
            <w:tcBorders/>
            <w:shd w:fill="auto" w:val="clear"/>
          </w:tcPr>
          <w:p>
            <w:pPr>
              <w:pStyle w:val="NoSpacing"/>
              <w:rPr/>
            </w:pPr>
            <w:r>
              <w:rPr/>
              <w:t>SPM.4b</w:t>
            </w:r>
          </w:p>
        </w:tc>
        <w:tc>
          <w:tcPr>
            <w:tcW w:w="1510" w:type="dxa"/>
            <w:tcBorders/>
            <w:shd w:fill="auto" w:val="clear"/>
          </w:tcPr>
          <w:p>
            <w:pPr>
              <w:pStyle w:val="NoSpacing"/>
              <w:rPr/>
            </w:pPr>
            <w:r>
              <w:rPr/>
              <w:t>Figure</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Figure 5.3</w:t>
            </w:r>
          </w:p>
        </w:tc>
        <w:tc>
          <w:tcPr>
            <w:tcW w:w="1510" w:type="dxa"/>
            <w:tcBorders/>
            <w:shd w:fill="auto" w:val="clear"/>
          </w:tcPr>
          <w:p>
            <w:pPr>
              <w:pStyle w:val="NoSpacing"/>
              <w:rPr/>
            </w:pPr>
            <w:r>
              <w:rPr/>
              <w:t>Figure</w:t>
            </w:r>
          </w:p>
        </w:tc>
        <w:tc>
          <w:tcPr>
            <w:tcW w:w="1612" w:type="dxa"/>
            <w:tcBorders/>
            <w:shd w:fill="auto" w:val="clear"/>
          </w:tcPr>
          <w:p>
            <w:pPr>
              <w:pStyle w:val="NoSpacing"/>
              <w:rPr/>
            </w:pPr>
            <w:r>
              <w:rPr/>
              <w:t>1</w:t>
            </w:r>
          </w:p>
        </w:tc>
      </w:tr>
      <w:tr>
        <w:trPr/>
        <w:tc>
          <w:tcPr>
            <w:tcW w:w="6274" w:type="dxa"/>
            <w:tcBorders/>
            <w:shd w:color="auto" w:fill="F2F2F2" w:themeFill="background1" w:themeFillShade="f2" w:val="clear"/>
          </w:tcPr>
          <w:p>
            <w:pPr>
              <w:pStyle w:val="NoSpacing"/>
              <w:rPr/>
            </w:pPr>
            <w:r>
              <w:rPr>
                <w:i/>
                <w:iCs/>
              </w:rPr>
              <w:t>Tables</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5</w:t>
            </w:r>
          </w:p>
        </w:tc>
      </w:tr>
      <w:tr>
        <w:trPr/>
        <w:tc>
          <w:tcPr>
            <w:tcW w:w="6274" w:type="dxa"/>
            <w:tcBorders/>
            <w:shd w:fill="auto" w:val="clear"/>
          </w:tcPr>
          <w:p>
            <w:pPr>
              <w:pStyle w:val="NoSpacing"/>
              <w:rPr/>
            </w:pPr>
            <w:r>
              <w:rPr/>
              <w:t>Table 2.4</w:t>
            </w:r>
          </w:p>
        </w:tc>
        <w:tc>
          <w:tcPr>
            <w:tcW w:w="1510" w:type="dxa"/>
            <w:tcBorders/>
            <w:shd w:fill="auto" w:val="clear"/>
          </w:tcPr>
          <w:p>
            <w:pPr>
              <w:pStyle w:val="NoSpacing"/>
              <w:rPr/>
            </w:pPr>
            <w:r>
              <w:rPr/>
              <w:t>Table</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Table 4.11</w:t>
            </w:r>
          </w:p>
        </w:tc>
        <w:tc>
          <w:tcPr>
            <w:tcW w:w="1510" w:type="dxa"/>
            <w:tcBorders/>
            <w:shd w:fill="auto" w:val="clear"/>
          </w:tcPr>
          <w:p>
            <w:pPr>
              <w:pStyle w:val="NoSpacing"/>
              <w:rPr/>
            </w:pPr>
            <w:r>
              <w:rPr/>
              <w:t>Table</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Table 5.3</w:t>
            </w:r>
          </w:p>
        </w:tc>
        <w:tc>
          <w:tcPr>
            <w:tcW w:w="1510" w:type="dxa"/>
            <w:tcBorders/>
            <w:shd w:fill="auto" w:val="clear"/>
          </w:tcPr>
          <w:p>
            <w:pPr>
              <w:pStyle w:val="NoSpacing"/>
              <w:rPr/>
            </w:pPr>
            <w:r>
              <w:rPr/>
              <w:t>Table</w:t>
            </w:r>
          </w:p>
        </w:tc>
        <w:tc>
          <w:tcPr>
            <w:tcW w:w="1612" w:type="dxa"/>
            <w:tcBorders/>
            <w:shd w:fill="auto" w:val="clear"/>
          </w:tcPr>
          <w:p>
            <w:pPr>
              <w:pStyle w:val="NoSpacing"/>
              <w:rPr/>
            </w:pPr>
            <w:r>
              <w:rPr/>
              <w:t>1</w:t>
            </w:r>
          </w:p>
        </w:tc>
      </w:tr>
      <w:tr>
        <w:trPr/>
        <w:tc>
          <w:tcPr>
            <w:tcW w:w="6274" w:type="dxa"/>
            <w:tcBorders/>
            <w:shd w:fill="EEEEEE" w:val="clear"/>
          </w:tcPr>
          <w:p>
            <w:pPr>
              <w:pStyle w:val="NoSpacing"/>
              <w:rPr>
                <w:i/>
                <w:i/>
                <w:iCs/>
              </w:rPr>
            </w:pPr>
            <w:r>
              <w:rPr>
                <w:i/>
                <w:iCs/>
              </w:rPr>
              <w:t>Cross-chapter boxes</w:t>
            </w:r>
          </w:p>
        </w:tc>
        <w:tc>
          <w:tcPr>
            <w:tcW w:w="1510" w:type="dxa"/>
            <w:tcBorders/>
            <w:shd w:fill="EEEEEE" w:val="clear"/>
          </w:tcPr>
          <w:p>
            <w:pPr>
              <w:pStyle w:val="NoSpacing"/>
              <w:rPr>
                <w:i/>
                <w:i/>
                <w:iCs/>
              </w:rPr>
            </w:pPr>
            <w:r>
              <w:rPr>
                <w:i/>
                <w:iCs/>
              </w:rPr>
            </w:r>
          </w:p>
        </w:tc>
        <w:tc>
          <w:tcPr>
            <w:tcW w:w="1612" w:type="dxa"/>
            <w:tcBorders/>
            <w:shd w:fill="EEEEEE" w:val="clear"/>
          </w:tcPr>
          <w:p>
            <w:pPr>
              <w:pStyle w:val="NoSpacing"/>
              <w:rPr>
                <w:i/>
                <w:i/>
                <w:iCs/>
              </w:rPr>
            </w:pPr>
            <w:r>
              <w:rPr>
                <w:i/>
                <w:iCs/>
              </w:rPr>
              <w:t>4</w:t>
            </w:r>
          </w:p>
        </w:tc>
      </w:tr>
      <w:tr>
        <w:trPr/>
        <w:tc>
          <w:tcPr>
            <w:tcW w:w="6274" w:type="dxa"/>
            <w:tcBorders/>
            <w:shd w:fill="auto" w:val="clear"/>
          </w:tcPr>
          <w:p>
            <w:pPr>
              <w:pStyle w:val="NoSpacing"/>
              <w:rPr/>
            </w:pPr>
            <w:r>
              <w:rPr/>
              <w:t>3</w:t>
            </w:r>
          </w:p>
        </w:tc>
        <w:tc>
          <w:tcPr>
            <w:tcW w:w="1510" w:type="dxa"/>
            <w:tcBorders/>
            <w:shd w:fill="auto" w:val="clear"/>
          </w:tcPr>
          <w:p>
            <w:pPr>
              <w:pStyle w:val="NoSpacing"/>
              <w:rPr/>
            </w:pPr>
            <w:r>
              <w:rPr/>
              <w:t>CCB</w:t>
            </w:r>
          </w:p>
        </w:tc>
        <w:tc>
          <w:tcPr>
            <w:tcW w:w="1612" w:type="dxa"/>
            <w:tcBorders/>
            <w:shd w:fill="auto" w:val="clear"/>
          </w:tcPr>
          <w:p>
            <w:pPr>
              <w:pStyle w:val="NoSpacing"/>
              <w:rPr/>
            </w:pPr>
            <w:r>
              <w:rPr/>
              <w:t>1</w:t>
            </w:r>
          </w:p>
        </w:tc>
      </w:tr>
      <w:tr>
        <w:trPr/>
        <w:tc>
          <w:tcPr>
            <w:tcW w:w="6274" w:type="dxa"/>
            <w:tcBorders/>
            <w:shd w:fill="auto" w:val="clear"/>
          </w:tcPr>
          <w:p>
            <w:pPr>
              <w:pStyle w:val="NoSpacing"/>
              <w:rPr/>
            </w:pPr>
            <w:r>
              <w:rPr/>
              <w:t>7</w:t>
            </w:r>
          </w:p>
        </w:tc>
        <w:tc>
          <w:tcPr>
            <w:tcW w:w="1510" w:type="dxa"/>
            <w:tcBorders/>
            <w:shd w:fill="auto" w:val="clear"/>
          </w:tcPr>
          <w:p>
            <w:pPr>
              <w:pStyle w:val="NoSpacing"/>
              <w:rPr/>
            </w:pPr>
            <w:r>
              <w:rPr/>
              <w:t>CCB</w:t>
            </w:r>
          </w:p>
        </w:tc>
        <w:tc>
          <w:tcPr>
            <w:tcW w:w="1612" w:type="dxa"/>
            <w:tcBorders/>
            <w:shd w:fill="auto" w:val="clear"/>
          </w:tcPr>
          <w:p>
            <w:pPr>
              <w:pStyle w:val="NoSpacing"/>
              <w:rPr/>
            </w:pPr>
            <w:r>
              <w:rPr/>
              <w:t>2</w:t>
            </w:r>
          </w:p>
        </w:tc>
      </w:tr>
      <w:tr>
        <w:trPr/>
        <w:tc>
          <w:tcPr>
            <w:tcW w:w="6274" w:type="dxa"/>
            <w:tcBorders/>
            <w:shd w:fill="auto" w:val="clear"/>
          </w:tcPr>
          <w:p>
            <w:pPr>
              <w:pStyle w:val="NoSpacing"/>
              <w:rPr/>
            </w:pPr>
            <w:r>
              <w:rPr/>
              <w:t>8</w:t>
            </w:r>
          </w:p>
        </w:tc>
        <w:tc>
          <w:tcPr>
            <w:tcW w:w="1510" w:type="dxa"/>
            <w:tcBorders/>
            <w:shd w:fill="auto" w:val="clear"/>
          </w:tcPr>
          <w:p>
            <w:pPr>
              <w:pStyle w:val="NoSpacing"/>
              <w:rPr/>
            </w:pPr>
            <w:r>
              <w:rPr/>
              <w:t>CCB</w:t>
            </w:r>
          </w:p>
        </w:tc>
        <w:tc>
          <w:tcPr>
            <w:tcW w:w="1612" w:type="dxa"/>
            <w:tcBorders/>
            <w:shd w:fill="auto" w:val="clear"/>
          </w:tcPr>
          <w:p>
            <w:pPr>
              <w:pStyle w:val="NoSpacing"/>
              <w:rPr/>
            </w:pPr>
            <w:r>
              <w:rPr/>
              <w:t>1</w:t>
            </w:r>
          </w:p>
        </w:tc>
      </w:tr>
    </w:tbl>
    <w:p>
      <w:pPr>
        <w:pStyle w:val="Normal"/>
        <w:rPr/>
      </w:pPr>
      <w:r>
        <w:rPr/>
      </w:r>
    </w:p>
    <w:p>
      <w:pPr>
        <w:pStyle w:val="Normal"/>
        <w:rPr/>
      </w:pPr>
      <w:r>
        <w:rPr>
          <w:rStyle w:val="Berschrift1Zchn"/>
        </w:rPr>
        <w:t>Statements</w:t>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528"/>
        <w:gridCol w:w="8289"/>
        <w:gridCol w:w="579"/>
      </w:tblGrid>
      <w:tr>
        <w:trPr/>
        <w:tc>
          <w:tcPr>
            <w:tcW w:w="528" w:type="dxa"/>
            <w:tcBorders/>
            <w:shd w:fill="auto" w:val="clear"/>
          </w:tcPr>
          <w:p>
            <w:pPr>
              <w:pStyle w:val="NoSpacing"/>
              <w:rPr/>
            </w:pPr>
            <w:r>
              <w:rPr>
                <w:b/>
              </w:rPr>
              <w:t>#</w:t>
            </w:r>
          </w:p>
        </w:tc>
        <w:tc>
          <w:tcPr>
            <w:tcW w:w="8289" w:type="dxa"/>
            <w:tcBorders/>
            <w:shd w:fill="auto" w:val="clear"/>
          </w:tcPr>
          <w:p>
            <w:pPr>
              <w:pStyle w:val="NoSpacing"/>
              <w:rPr/>
            </w:pPr>
            <w:r>
              <w:rPr>
                <w:b/>
              </w:rPr>
              <w:t>Statements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All pathways use </w:t>
            </w:r>
            <w:r>
              <w:rPr>
                <w:b w:val="false"/>
                <w:bCs w:val="false"/>
                <w:color w:val="00A65D"/>
              </w:rPr>
              <w:t>Carbon Dioxide Removal (CDR)</w:t>
            </w:r>
            <w:r>
              <w:rPr>
                <w:b w:val="false"/>
                <w:bCs w:val="false"/>
                <w:color w:val="auto"/>
              </w:rPr>
              <w:t xml:space="preserve">, but the amount varies across pathways, as do the relative contributions of </w:t>
            </w:r>
            <w:r>
              <w:rPr>
                <w:b w:val="false"/>
                <w:bCs w:val="false"/>
                <w:color w:val="F58220"/>
              </w:rPr>
              <w:t>Bioenergy with Carbon Capture and Storage (BECCS)</w:t>
            </w:r>
            <w:r>
              <w:rPr>
                <w:b w:val="false"/>
                <w:bCs w:val="false"/>
                <w:color w:val="auto"/>
              </w:rPr>
              <w:t xml:space="preserve"> and removals in the </w:t>
            </w:r>
            <w:r>
              <w:rPr>
                <w:b w:val="false"/>
                <w:bCs w:val="false"/>
                <w:color w:val="0066B3"/>
              </w:rPr>
              <w:t xml:space="preserve">Agriculture, Forestry and Other Land Use (AFOLU) </w:t>
            </w:r>
            <w:r>
              <w:rPr>
                <w:b w:val="false"/>
                <w:bCs w:val="false"/>
                <w:color w:val="auto"/>
              </w:rPr>
              <w:t xml:space="preserve">sector. </w:t>
            </w:r>
          </w:p>
        </w:tc>
        <w:tc>
          <w:tcPr>
            <w:tcW w:w="579" w:type="dxa"/>
            <w:tcBorders/>
            <w:shd w:fill="auto" w:val="clear"/>
          </w:tcPr>
          <w:p>
            <w:pPr>
              <w:pStyle w:val="NoSpacing"/>
              <w:rPr/>
            </w:pPr>
            <w:r>
              <w:rPr/>
            </w:r>
          </w:p>
        </w:tc>
      </w:tr>
      <w:tr>
        <w:trPr/>
        <w:tc>
          <w:tcPr>
            <w:tcW w:w="528" w:type="dxa"/>
            <w:tcBorders/>
            <w:shd w:fill="auto" w:val="clear"/>
          </w:tcPr>
          <w:p>
            <w:pPr>
              <w:pStyle w:val="NoSpacing"/>
              <w:rPr/>
            </w:pPr>
            <w:r>
              <w:rPr/>
              <w:t>2</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All pathways that limit global warming to 1.5°C with limited or no overshoot project the use of </w:t>
            </w:r>
            <w:r>
              <w:rPr>
                <w:b w:val="false"/>
                <w:bCs w:val="false"/>
                <w:color w:val="00A65D"/>
              </w:rPr>
              <w:t>carbon dioxide removal (CDR)</w:t>
            </w:r>
            <w:r>
              <w:rPr>
                <w:b w:val="false"/>
                <w:bCs w:val="false"/>
                <w:color w:val="auto"/>
              </w:rPr>
              <w:t xml:space="preserve"> on the order of 100–1000 GtCO2 over the 21st century </w:t>
            </w:r>
            <w:r>
              <w:rPr>
                <w:b w:val="false"/>
                <w:bCs w:val="false"/>
                <w:color w:val="00A65D"/>
              </w:rPr>
              <w:t>CDR</w:t>
            </w:r>
            <w:r>
              <w:rPr>
                <w:b w:val="false"/>
                <w:bCs w:val="false"/>
                <w:color w:val="auto"/>
              </w:rPr>
              <w:t xml:space="preserve"> would be used to compensate for residual emissions and, in most cases, achieve net </w:t>
            </w:r>
            <w:r>
              <w:rPr>
                <w:b w:val="false"/>
                <w:bCs w:val="false"/>
                <w:color w:val="5C2D91"/>
              </w:rPr>
              <w:t>negative emissions</w:t>
            </w:r>
            <w:r>
              <w:rPr>
                <w:b w:val="false"/>
                <w:bCs w:val="false"/>
                <w:color w:val="auto"/>
              </w:rPr>
              <w:t xml:space="preserve"> to return global warming to 1.5°C following a peak</w:t>
            </w:r>
          </w:p>
        </w:tc>
        <w:tc>
          <w:tcPr>
            <w:tcW w:w="579" w:type="dxa"/>
            <w:tcBorders/>
            <w:shd w:fill="auto" w:val="clear"/>
          </w:tcPr>
          <w:p>
            <w:pPr>
              <w:pStyle w:val="NoSpacing"/>
              <w:rPr/>
            </w:pPr>
            <w:r>
              <w:rPr/>
            </w:r>
          </w:p>
        </w:tc>
      </w:tr>
      <w:tr>
        <w:trPr/>
        <w:tc>
          <w:tcPr>
            <w:tcW w:w="528" w:type="dxa"/>
            <w:tcBorders/>
            <w:shd w:fill="auto" w:val="clear"/>
          </w:tcPr>
          <w:p>
            <w:pPr>
              <w:pStyle w:val="NoSpacing"/>
              <w:rPr/>
            </w:pPr>
            <w:r>
              <w:rPr/>
              <w:t>3</w:t>
            </w:r>
          </w:p>
        </w:tc>
        <w:tc>
          <w:tcPr>
            <w:tcW w:w="8289" w:type="dxa"/>
            <w:tcBorders/>
            <w:shd w:fill="auto" w:val="clear"/>
          </w:tcPr>
          <w:p>
            <w:pPr>
              <w:pStyle w:val="TextBody"/>
              <w:spacing w:before="0" w:after="140"/>
              <w:rPr>
                <w:b w:val="false"/>
                <w:b w:val="false"/>
                <w:bCs w:val="false"/>
              </w:rPr>
            </w:pPr>
            <w:r>
              <w:rPr>
                <w:b w:val="false"/>
                <w:bCs w:val="false"/>
                <w:color w:val="00A65D"/>
              </w:rPr>
              <w:t>CDR</w:t>
            </w:r>
            <w:r>
              <w:rPr>
                <w:b w:val="false"/>
                <w:bCs w:val="false"/>
              </w:rPr>
              <w:t xml:space="preserve"> deployment of several hundreds of GtCO2 is subject to multiple feasibility and sustainability constraints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4</w:t>
            </w:r>
          </w:p>
        </w:tc>
        <w:tc>
          <w:tcPr>
            <w:tcW w:w="8289" w:type="dxa"/>
            <w:tcBorders/>
            <w:shd w:fill="auto" w:val="clear"/>
          </w:tcPr>
          <w:p>
            <w:pPr>
              <w:pStyle w:val="TextBody"/>
              <w:spacing w:before="0" w:after="140"/>
              <w:rPr>
                <w:b w:val="false"/>
                <w:b w:val="false"/>
                <w:bCs w:val="false"/>
              </w:rPr>
            </w:pPr>
            <w:r>
              <w:rPr>
                <w:b w:val="false"/>
                <w:bCs w:val="false"/>
              </w:rPr>
              <w:t xml:space="preserve">Significant near-term emissions reductions and measures to lower energy and land demand can limit </w:t>
            </w:r>
            <w:r>
              <w:rPr>
                <w:b w:val="false"/>
                <w:bCs w:val="false"/>
                <w:color w:val="00A65D"/>
              </w:rPr>
              <w:t>CDR</w:t>
            </w:r>
            <w:r>
              <w:rPr>
                <w:b w:val="false"/>
                <w:bCs w:val="false"/>
              </w:rPr>
              <w:t xml:space="preserve"> deployment to a few hundred GtCO2 without reliance on </w:t>
            </w:r>
            <w:r>
              <w:rPr>
                <w:b w:val="false"/>
                <w:bCs w:val="false"/>
                <w:color w:val="F58220"/>
              </w:rPr>
              <w:t>bioenergy with carbon capture and storage (BECCS)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5</w:t>
            </w:r>
          </w:p>
        </w:tc>
        <w:tc>
          <w:tcPr>
            <w:tcW w:w="8289" w:type="dxa"/>
            <w:tcBorders/>
            <w:shd w:fill="auto" w:val="clear"/>
          </w:tcPr>
          <w:p>
            <w:pPr>
              <w:pStyle w:val="TextBody"/>
              <w:spacing w:before="0" w:after="140"/>
              <w:rPr>
                <w:b w:val="false"/>
                <w:b w:val="false"/>
                <w:bCs w:val="false"/>
              </w:rPr>
            </w:pPr>
            <w:r>
              <w:rPr>
                <w:b w:val="false"/>
                <w:bCs w:val="false"/>
              </w:rPr>
              <w:t xml:space="preserve">Existing and potential </w:t>
            </w:r>
            <w:r>
              <w:rPr>
                <w:b w:val="false"/>
                <w:bCs w:val="false"/>
                <w:color w:val="00A65D"/>
              </w:rPr>
              <w:t>CDR</w:t>
            </w:r>
            <w:r>
              <w:rPr>
                <w:b w:val="false"/>
                <w:bCs w:val="false"/>
              </w:rPr>
              <w:t xml:space="preserve"> measures include </w:t>
            </w:r>
            <w:r>
              <w:rPr>
                <w:b w:val="false"/>
                <w:bCs w:val="false"/>
                <w:color w:val="0066B3"/>
              </w:rPr>
              <w:t>afforestation and reforestation</w:t>
            </w:r>
            <w:r>
              <w:rPr>
                <w:b w:val="false"/>
                <w:bCs w:val="false"/>
              </w:rPr>
              <w:t xml:space="preserve">, land restoration and soil carbon sequestration, </w:t>
            </w:r>
            <w:r>
              <w:rPr>
                <w:b w:val="false"/>
                <w:bCs w:val="false"/>
                <w:color w:val="F58220"/>
              </w:rPr>
              <w:t>BECCS</w:t>
            </w:r>
            <w:r>
              <w:rPr>
                <w:b w:val="false"/>
                <w:bCs w:val="false"/>
              </w:rPr>
              <w:t>, direct air carbon capture and storage (DACCS), enhanced weathering and ocean alkalinization. These differ widely in terms of maturity, potentials, costs, risks, co-benefits and trade-offs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6</w:t>
            </w:r>
          </w:p>
        </w:tc>
        <w:tc>
          <w:tcPr>
            <w:tcW w:w="8289" w:type="dxa"/>
            <w:tcBorders/>
            <w:shd w:fill="auto" w:val="clear"/>
          </w:tcPr>
          <w:p>
            <w:pPr>
              <w:pStyle w:val="TextBody"/>
              <w:spacing w:before="0" w:after="140"/>
              <w:rPr>
                <w:b w:val="false"/>
                <w:b w:val="false"/>
                <w:bCs w:val="false"/>
              </w:rPr>
            </w:pPr>
            <w:r>
              <w:rPr>
                <w:b w:val="false"/>
                <w:bCs w:val="false"/>
              </w:rPr>
              <w:t xml:space="preserve">To date, only a few published pathways include </w:t>
            </w:r>
            <w:r>
              <w:rPr>
                <w:b w:val="false"/>
                <w:bCs w:val="false"/>
                <w:color w:val="00A65D"/>
              </w:rPr>
              <w:t>CDR</w:t>
            </w:r>
            <w:r>
              <w:rPr>
                <w:b w:val="false"/>
                <w:bCs w:val="false"/>
              </w:rPr>
              <w:t xml:space="preserve"> measures other than afforestation and </w:t>
            </w:r>
            <w:r>
              <w:rPr>
                <w:b w:val="false"/>
                <w:bCs w:val="false"/>
                <w:color w:val="F58220"/>
              </w:rPr>
              <w:t>BECCS</w:t>
            </w:r>
            <w:r>
              <w:rPr>
                <w:b w:val="false"/>
                <w:bCs w:val="false"/>
              </w:rPr>
              <w:t>.</w:t>
            </w:r>
          </w:p>
        </w:tc>
        <w:tc>
          <w:tcPr>
            <w:tcW w:w="579" w:type="dxa"/>
            <w:tcBorders/>
            <w:shd w:fill="auto" w:val="clear"/>
          </w:tcPr>
          <w:p>
            <w:pPr>
              <w:pStyle w:val="NoSpacing"/>
              <w:rPr/>
            </w:pPr>
            <w:r>
              <w:rPr/>
            </w:r>
          </w:p>
        </w:tc>
      </w:tr>
      <w:tr>
        <w:trPr/>
        <w:tc>
          <w:tcPr>
            <w:tcW w:w="528" w:type="dxa"/>
            <w:tcBorders/>
            <w:shd w:fill="auto" w:val="clear"/>
          </w:tcPr>
          <w:p>
            <w:pPr>
              <w:pStyle w:val="NoSpacing"/>
              <w:rPr/>
            </w:pPr>
            <w:r>
              <w:rPr/>
              <w:t>7</w:t>
            </w:r>
          </w:p>
        </w:tc>
        <w:tc>
          <w:tcPr>
            <w:tcW w:w="8289" w:type="dxa"/>
            <w:tcBorders/>
            <w:shd w:fill="auto" w:val="clear"/>
          </w:tcPr>
          <w:p>
            <w:pPr>
              <w:pStyle w:val="TextBody"/>
              <w:spacing w:before="0" w:after="140"/>
              <w:rPr>
                <w:b w:val="false"/>
                <w:b w:val="false"/>
                <w:bCs w:val="false"/>
              </w:rPr>
            </w:pPr>
            <w:r>
              <w:rPr>
                <w:b w:val="false"/>
                <w:bCs w:val="false"/>
              </w:rPr>
              <w:t xml:space="preserve">In pathways limiting global warming to 1.5°C with limited or no overshoot, </w:t>
            </w:r>
            <w:r>
              <w:rPr>
                <w:b w:val="false"/>
                <w:bCs w:val="false"/>
                <w:color w:val="F58220"/>
              </w:rPr>
              <w:t>BECCS</w:t>
            </w:r>
            <w:r>
              <w:rPr>
                <w:b w:val="false"/>
                <w:bCs w:val="false"/>
              </w:rPr>
              <w:t xml:space="preserve"> deployment is projected to range from 0–1, 0–8, and 0–16 GtCO2 yr −1 in 2030, 2050, and 2100, respectively, while </w:t>
            </w:r>
            <w:r>
              <w:rPr>
                <w:b w:val="false"/>
                <w:bCs w:val="false"/>
                <w:color w:val="0066B3"/>
              </w:rPr>
              <w:t>agriculture, forestry and land-use (AFOLU) related CDR</w:t>
            </w:r>
            <w:r>
              <w:rPr>
                <w:b w:val="false"/>
                <w:bCs w:val="false"/>
              </w:rPr>
              <w:t xml:space="preserve"> measures are projected to remove 0–5, 1–11, and 1–5 GtCO2 yr −1 in these years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8</w:t>
            </w:r>
          </w:p>
        </w:tc>
        <w:tc>
          <w:tcPr>
            <w:tcW w:w="8289" w:type="dxa"/>
            <w:tcBorders/>
            <w:shd w:fill="auto" w:val="clear"/>
          </w:tcPr>
          <w:p>
            <w:pPr>
              <w:pStyle w:val="TextBody"/>
              <w:spacing w:before="0" w:after="140"/>
              <w:rPr>
                <w:b w:val="false"/>
                <w:b w:val="false"/>
                <w:bCs w:val="false"/>
              </w:rPr>
            </w:pPr>
            <w:r>
              <w:rPr>
                <w:b w:val="false"/>
                <w:bCs w:val="false"/>
              </w:rPr>
              <w:t xml:space="preserve">The upper end of these deployment ranges by mid-century exceeds the </w:t>
            </w:r>
            <w:r>
              <w:rPr>
                <w:b w:val="false"/>
                <w:bCs w:val="false"/>
                <w:color w:val="F58220"/>
              </w:rPr>
              <w:t>BECCS</w:t>
            </w:r>
            <w:r>
              <w:rPr>
                <w:b w:val="false"/>
                <w:bCs w:val="false"/>
              </w:rPr>
              <w:t xml:space="preserve"> potential of up to 5 GtCO 2 yr −1 and </w:t>
            </w:r>
            <w:r>
              <w:rPr>
                <w:b w:val="false"/>
                <w:bCs w:val="false"/>
                <w:color w:val="0066B3"/>
              </w:rPr>
              <w:t>afforestation</w:t>
            </w:r>
            <w:r>
              <w:rPr>
                <w:b w:val="false"/>
                <w:bCs w:val="false"/>
              </w:rPr>
              <w:t xml:space="preserve"> potential of up to 3.6 GtCO2 yr −1 assessed based on recent literature</w:t>
            </w:r>
          </w:p>
        </w:tc>
        <w:tc>
          <w:tcPr>
            <w:tcW w:w="579" w:type="dxa"/>
            <w:tcBorders/>
            <w:shd w:fill="auto" w:val="clear"/>
          </w:tcPr>
          <w:p>
            <w:pPr>
              <w:pStyle w:val="NoSpacing"/>
              <w:rPr/>
            </w:pPr>
            <w:r>
              <w:rPr/>
            </w:r>
          </w:p>
        </w:tc>
      </w:tr>
      <w:tr>
        <w:trPr/>
        <w:tc>
          <w:tcPr>
            <w:tcW w:w="528" w:type="dxa"/>
            <w:tcBorders/>
            <w:shd w:fill="auto" w:val="clear"/>
          </w:tcPr>
          <w:p>
            <w:pPr>
              <w:pStyle w:val="NoSpacing"/>
              <w:rPr/>
            </w:pPr>
            <w:r>
              <w:rPr/>
              <w:t>9</w:t>
            </w:r>
          </w:p>
        </w:tc>
        <w:tc>
          <w:tcPr>
            <w:tcW w:w="8289" w:type="dxa"/>
            <w:tcBorders/>
            <w:shd w:fill="auto" w:val="clear"/>
          </w:tcPr>
          <w:p>
            <w:pPr>
              <w:pStyle w:val="TextBody"/>
              <w:spacing w:before="0" w:after="140"/>
              <w:rPr>
                <w:b w:val="false"/>
                <w:b w:val="false"/>
                <w:bCs w:val="false"/>
              </w:rPr>
            </w:pPr>
            <w:r>
              <w:rPr>
                <w:b w:val="false"/>
                <w:bCs w:val="false"/>
              </w:rPr>
              <w:t xml:space="preserve">The use of bioenergy can be as high or even higher when </w:t>
            </w:r>
            <w:r>
              <w:rPr>
                <w:b w:val="false"/>
                <w:bCs w:val="false"/>
                <w:color w:val="F58220"/>
              </w:rPr>
              <w:t>BECCS</w:t>
            </w:r>
            <w:r>
              <w:rPr>
                <w:b w:val="false"/>
                <w:bCs w:val="false"/>
              </w:rPr>
              <w:t xml:space="preserve"> is excluded compared to when it is included due to its potential for replacing fossil fuels across sectors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10</w:t>
            </w:r>
          </w:p>
        </w:tc>
        <w:tc>
          <w:tcPr>
            <w:tcW w:w="8289" w:type="dxa"/>
            <w:tcBorders/>
            <w:shd w:fill="auto" w:val="clear"/>
          </w:tcPr>
          <w:p>
            <w:pPr>
              <w:pStyle w:val="TextBody"/>
              <w:spacing w:before="0" w:after="140"/>
              <w:rPr>
                <w:b w:val="false"/>
                <w:b w:val="false"/>
                <w:bCs w:val="false"/>
              </w:rPr>
            </w:pPr>
            <w:r>
              <w:rPr>
                <w:b w:val="false"/>
                <w:bCs w:val="false"/>
              </w:rPr>
              <w:t xml:space="preserve">Pathways that overshoot 1.5°C of global warming rely on </w:t>
            </w:r>
            <w:r>
              <w:rPr>
                <w:b w:val="false"/>
                <w:bCs w:val="false"/>
                <w:color w:val="00A65D"/>
              </w:rPr>
              <w:t>CDR</w:t>
            </w:r>
            <w:r>
              <w:rPr>
                <w:b w:val="false"/>
                <w:bCs w:val="false"/>
              </w:rPr>
              <w:t xml:space="preserve"> exceeding residual CO2 emissions later in the century to return to below 1.5°C by 2100, with larger overshoots requiring greater amounts of </w:t>
            </w:r>
            <w:r>
              <w:rPr>
                <w:b w:val="false"/>
                <w:bCs w:val="false"/>
                <w:color w:val="00A65D"/>
              </w:rPr>
              <w:t>CDR</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11</w:t>
            </w:r>
          </w:p>
        </w:tc>
        <w:tc>
          <w:tcPr>
            <w:tcW w:w="8289" w:type="dxa"/>
            <w:tcBorders/>
            <w:shd w:fill="auto" w:val="clear"/>
          </w:tcPr>
          <w:p>
            <w:pPr>
              <w:pStyle w:val="TextBody"/>
              <w:spacing w:before="0" w:after="140"/>
              <w:rPr>
                <w:b w:val="false"/>
                <w:b w:val="false"/>
                <w:bCs w:val="false"/>
              </w:rPr>
            </w:pPr>
            <w:r>
              <w:rPr>
                <w:b w:val="false"/>
                <w:bCs w:val="false"/>
              </w:rPr>
              <w:t xml:space="preserve">Limitations on the speed, scale, and societal acceptability of </w:t>
            </w:r>
            <w:r>
              <w:rPr>
                <w:b w:val="false"/>
                <w:bCs w:val="false"/>
                <w:color w:val="00A65D"/>
              </w:rPr>
              <w:t>CDR</w:t>
            </w:r>
            <w:r>
              <w:rPr>
                <w:b w:val="false"/>
                <w:bCs w:val="false"/>
              </w:rPr>
              <w:t xml:space="preserve"> deployment hence determine the ability to return global warming to below 1.5°C following an overshoot. Carbon cycle and climate system understanding is still limited about the effectiveness of net negative emissions to reduce temperatures after they peak</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12</w:t>
            </w:r>
          </w:p>
        </w:tc>
        <w:tc>
          <w:tcPr>
            <w:tcW w:w="8289" w:type="dxa"/>
            <w:tcBorders/>
            <w:shd w:fill="auto" w:val="clear"/>
          </w:tcPr>
          <w:p>
            <w:pPr>
              <w:pStyle w:val="TextBody"/>
              <w:spacing w:before="0" w:after="140"/>
              <w:rPr>
                <w:b w:val="false"/>
                <w:b w:val="false"/>
                <w:bCs w:val="false"/>
              </w:rPr>
            </w:pPr>
            <w:r>
              <w:rPr>
                <w:b w:val="false"/>
                <w:bCs w:val="false"/>
              </w:rPr>
              <w:t xml:space="preserve">Most current and potential </w:t>
            </w:r>
            <w:r>
              <w:rPr>
                <w:b w:val="false"/>
                <w:bCs w:val="false"/>
                <w:color w:val="00A65D"/>
              </w:rPr>
              <w:t>CDR</w:t>
            </w:r>
            <w:r>
              <w:rPr>
                <w:b w:val="false"/>
                <w:bCs w:val="false"/>
              </w:rPr>
              <w:t xml:space="preserve"> measures could have significant impacts on land, energy, water or nutrients if deployed at large scale</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13</w:t>
            </w:r>
          </w:p>
        </w:tc>
        <w:tc>
          <w:tcPr>
            <w:tcW w:w="8289" w:type="dxa"/>
            <w:tcBorders/>
            <w:shd w:fill="auto" w:val="clear"/>
          </w:tcPr>
          <w:p>
            <w:pPr>
              <w:pStyle w:val="TextBody"/>
              <w:spacing w:before="0" w:after="140"/>
              <w:rPr>
                <w:b w:val="false"/>
                <w:b w:val="false"/>
                <w:bCs w:val="false"/>
              </w:rPr>
            </w:pPr>
            <w:r>
              <w:rPr>
                <w:b w:val="false"/>
                <w:bCs w:val="false"/>
                <w:color w:val="0066B3"/>
              </w:rPr>
              <w:t>Afforestation</w:t>
            </w:r>
            <w:r>
              <w:rPr>
                <w:b w:val="false"/>
                <w:bCs w:val="false"/>
              </w:rPr>
              <w:t xml:space="preserve"> and </w:t>
            </w:r>
            <w:r>
              <w:rPr>
                <w:b w:val="false"/>
                <w:bCs w:val="false"/>
                <w:color w:val="F58220"/>
              </w:rPr>
              <w:t>bioenergy</w:t>
            </w:r>
            <w:r>
              <w:rPr>
                <w:b w:val="false"/>
                <w:bCs w:val="false"/>
              </w:rPr>
              <w:t xml:space="preserve"> may compete with other land uses and may have significant impacts on agricultural and food systems, biodiversity, and other ecosystem functions and services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14</w:t>
            </w:r>
          </w:p>
        </w:tc>
        <w:tc>
          <w:tcPr>
            <w:tcW w:w="8289" w:type="dxa"/>
            <w:tcBorders/>
            <w:shd w:fill="auto" w:val="clear"/>
          </w:tcPr>
          <w:p>
            <w:pPr>
              <w:pStyle w:val="TextBody"/>
              <w:spacing w:before="0" w:after="140"/>
              <w:rPr>
                <w:b w:val="false"/>
                <w:b w:val="false"/>
                <w:bCs w:val="false"/>
              </w:rPr>
            </w:pPr>
            <w:r>
              <w:rPr>
                <w:b w:val="false"/>
                <w:bCs w:val="false"/>
              </w:rPr>
              <w:t xml:space="preserve">Effective governance is needed to limit such trade-offs and ensure permanence of </w:t>
            </w:r>
            <w:r>
              <w:rPr>
                <w:b w:val="false"/>
                <w:bCs w:val="false"/>
                <w:color w:val="00A65D"/>
              </w:rPr>
              <w:t>carbon removal</w:t>
            </w:r>
            <w:r>
              <w:rPr>
                <w:b w:val="false"/>
                <w:bCs w:val="false"/>
              </w:rPr>
              <w:t xml:space="preserve"> in terrestrial, geological and ocean reservoirs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15</w:t>
            </w:r>
          </w:p>
        </w:tc>
        <w:tc>
          <w:tcPr>
            <w:tcW w:w="8289" w:type="dxa"/>
            <w:tcBorders/>
            <w:shd w:fill="auto" w:val="clear"/>
          </w:tcPr>
          <w:p>
            <w:pPr>
              <w:pStyle w:val="TextBody"/>
              <w:spacing w:before="0" w:after="140"/>
              <w:rPr>
                <w:b w:val="false"/>
                <w:b w:val="false"/>
                <w:bCs w:val="false"/>
              </w:rPr>
            </w:pPr>
            <w:r>
              <w:rPr>
                <w:b w:val="false"/>
                <w:bCs w:val="false"/>
              </w:rPr>
              <w:t xml:space="preserve">Feasibility and sustainability of </w:t>
            </w:r>
            <w:r>
              <w:rPr>
                <w:b w:val="false"/>
                <w:bCs w:val="false"/>
                <w:color w:val="00A65D"/>
              </w:rPr>
              <w:t>CDR</w:t>
            </w:r>
            <w:r>
              <w:rPr>
                <w:b w:val="false"/>
                <w:bCs w:val="false"/>
              </w:rPr>
              <w:t xml:space="preserve"> use could be enhanced by a portfolio of options deployed at substantial, but lesser scales, rather than a single option at very large scale</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16</w:t>
            </w:r>
          </w:p>
        </w:tc>
        <w:tc>
          <w:tcPr>
            <w:tcW w:w="8289" w:type="dxa"/>
            <w:tcBorders/>
            <w:shd w:fill="auto" w:val="clear"/>
          </w:tcPr>
          <w:p>
            <w:pPr>
              <w:pStyle w:val="TextBody"/>
              <w:spacing w:before="0" w:after="140"/>
              <w:rPr>
                <w:b w:val="false"/>
                <w:b w:val="false"/>
                <w:bCs w:val="false"/>
              </w:rPr>
            </w:pPr>
            <w:r>
              <w:rPr>
                <w:b w:val="false"/>
                <w:bCs w:val="false"/>
              </w:rPr>
              <w:t xml:space="preserve">Some </w:t>
            </w:r>
            <w:r>
              <w:rPr>
                <w:b w:val="false"/>
                <w:bCs w:val="false"/>
                <w:color w:val="0066B3"/>
              </w:rPr>
              <w:t>AFOLU-related CDR</w:t>
            </w:r>
            <w:r>
              <w:rPr>
                <w:b w:val="false"/>
                <w:bCs w:val="false"/>
              </w:rPr>
              <w:t xml:space="preserve"> measures such as restoration of natural ecosystems and soil carbon sequestration could provide co-benefits such as improved biodiversity, soil quality, and local food security. If deployed at large scale, they would require governance systems enabling sustainable land management to conserve and protect land carbon stocks and other ecosystem functions and services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17</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Avoiding overshoot and reliance on future large-scale deployment of </w:t>
            </w:r>
            <w:r>
              <w:rPr>
                <w:b/>
                <w:bCs/>
                <w:color w:val="00A65D"/>
              </w:rPr>
              <w:t>carbon dioxide removal (CDR)</w:t>
            </w:r>
            <w:r>
              <w:rPr>
                <w:b w:val="false"/>
                <w:bCs w:val="false"/>
                <w:color w:val="auto"/>
              </w:rPr>
              <w:t xml:space="preserve"> can only be achieved if global CO2 emissions start to decline well before 2030</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18</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Reversing warming after an overshoot of 0.2°C or larger during this century would require upscaling and deployment of </w:t>
            </w:r>
            <w:r>
              <w:rPr>
                <w:b/>
                <w:bCs/>
                <w:color w:val="00A65D"/>
              </w:rPr>
              <w:t>CDR</w:t>
            </w:r>
            <w:r>
              <w:rPr>
                <w:b w:val="false"/>
                <w:bCs w:val="false"/>
                <w:color w:val="auto"/>
              </w:rPr>
              <w:t xml:space="preserve"> at rates and volumes that might not be achievable given considerable implementation challenges</w:t>
            </w:r>
          </w:p>
        </w:tc>
        <w:tc>
          <w:tcPr>
            <w:tcW w:w="579" w:type="dxa"/>
            <w:tcBorders/>
            <w:shd w:fill="auto" w:val="clear"/>
          </w:tcPr>
          <w:p>
            <w:pPr>
              <w:pStyle w:val="NoSpacing"/>
              <w:rPr/>
            </w:pPr>
            <w:r>
              <w:rPr/>
            </w:r>
          </w:p>
        </w:tc>
      </w:tr>
      <w:tr>
        <w:trPr/>
        <w:tc>
          <w:tcPr>
            <w:tcW w:w="528" w:type="dxa"/>
            <w:tcBorders/>
            <w:shd w:fill="auto" w:val="clear"/>
          </w:tcPr>
          <w:p>
            <w:pPr>
              <w:pStyle w:val="NoSpacing"/>
              <w:rPr/>
            </w:pPr>
            <w:r>
              <w:rPr/>
              <w:t>19</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Trade-offs between mitigation and adaptation, when limiting global warming to 1.5°C, such as when </w:t>
            </w:r>
            <w:r>
              <w:rPr>
                <w:b w:val="false"/>
                <w:bCs w:val="false"/>
                <w:color w:val="F58220"/>
              </w:rPr>
              <w:t>bioenergy</w:t>
            </w:r>
            <w:r>
              <w:rPr>
                <w:b w:val="false"/>
                <w:bCs w:val="false"/>
                <w:color w:val="auto"/>
              </w:rPr>
              <w:t xml:space="preserve"> crops, reforestation or </w:t>
            </w:r>
            <w:r>
              <w:rPr>
                <w:b/>
                <w:bCs/>
                <w:color w:val="0066B3"/>
              </w:rPr>
              <w:t>afforestation</w:t>
            </w:r>
            <w:r>
              <w:rPr>
                <w:b w:val="false"/>
                <w:bCs w:val="false"/>
                <w:color w:val="auto"/>
              </w:rPr>
              <w:t xml:space="preserve"> encroach on land needed for agricultural adaptation, can undermine food security, livelihoods, ecosystem functions and services and other aspects of sustainable development.</w:t>
            </w:r>
          </w:p>
        </w:tc>
        <w:tc>
          <w:tcPr>
            <w:tcW w:w="579" w:type="dxa"/>
            <w:tcBorders/>
            <w:shd w:fill="auto" w:val="clear"/>
          </w:tcPr>
          <w:p>
            <w:pPr>
              <w:pStyle w:val="NoSpacing"/>
              <w:rPr/>
            </w:pPr>
            <w:r>
              <w:rPr/>
            </w:r>
          </w:p>
        </w:tc>
      </w:tr>
      <w:tr>
        <w:trPr/>
        <w:tc>
          <w:tcPr>
            <w:tcW w:w="528" w:type="dxa"/>
            <w:tcBorders/>
            <w:shd w:fill="auto" w:val="clear"/>
          </w:tcPr>
          <w:p>
            <w:pPr>
              <w:pStyle w:val="NoSpacing"/>
              <w:rPr/>
            </w:pPr>
            <w:r>
              <w:rPr/>
              <w:t>20</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Such pathways [1.5°C pathways with low energy demand, low material consumption, low GHG-intensive food consumption] would reduce dependence on </w:t>
            </w:r>
            <w:r>
              <w:rPr>
                <w:b/>
                <w:bCs/>
                <w:color w:val="00A65D"/>
              </w:rPr>
              <w:t>CDR</w:t>
            </w:r>
            <w:r>
              <w:rPr>
                <w:b w:val="false"/>
                <w:bCs w:val="false"/>
                <w:color w:val="auto"/>
              </w:rPr>
              <w:t>. In modelled pathways, sustainable development, eradicating poverty and reducing inequality can support limiting warming to 1.5°C</w:t>
            </w:r>
          </w:p>
        </w:tc>
        <w:tc>
          <w:tcPr>
            <w:tcW w:w="579" w:type="dxa"/>
            <w:tcBorders/>
            <w:shd w:fill="auto" w:val="clear"/>
          </w:tcPr>
          <w:p>
            <w:pPr>
              <w:pStyle w:val="NoSpacing"/>
              <w:rPr/>
            </w:pPr>
            <w:r>
              <w:rPr/>
            </w:r>
          </w:p>
        </w:tc>
      </w:tr>
      <w:tr>
        <w:trPr/>
        <w:tc>
          <w:tcPr>
            <w:tcW w:w="528" w:type="dxa"/>
            <w:tcBorders/>
            <w:shd w:fill="auto" w:val="clear"/>
          </w:tcPr>
          <w:p>
            <w:pPr>
              <w:pStyle w:val="NoSpacing"/>
              <w:rPr/>
            </w:pPr>
            <w:r>
              <w:rPr/>
              <w:t>21</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The impacts of </w:t>
            </w:r>
            <w:r>
              <w:rPr>
                <w:b/>
                <w:bCs/>
                <w:color w:val="00A65D"/>
              </w:rPr>
              <w:t>carbon dioxide removal (CDR)</w:t>
            </w:r>
            <w:r>
              <w:rPr>
                <w:b w:val="false"/>
                <w:bCs w:val="false"/>
                <w:color w:val="auto"/>
              </w:rPr>
              <w:t xml:space="preserve"> options on SDGs depend on the type of options and the scale of deployment</w:t>
            </w:r>
          </w:p>
        </w:tc>
        <w:tc>
          <w:tcPr>
            <w:tcW w:w="579" w:type="dxa"/>
            <w:tcBorders/>
            <w:shd w:fill="auto" w:val="clear"/>
          </w:tcPr>
          <w:p>
            <w:pPr>
              <w:pStyle w:val="NoSpacing"/>
              <w:rPr/>
            </w:pPr>
            <w:r>
              <w:rPr/>
            </w:r>
          </w:p>
        </w:tc>
      </w:tr>
      <w:tr>
        <w:trPr/>
        <w:tc>
          <w:tcPr>
            <w:tcW w:w="528" w:type="dxa"/>
            <w:tcBorders/>
            <w:shd w:fill="auto" w:val="clear"/>
          </w:tcPr>
          <w:p>
            <w:pPr>
              <w:pStyle w:val="NoSpacing"/>
              <w:rPr/>
            </w:pPr>
            <w:r>
              <w:rPr/>
              <w:t>22</w:t>
            </w:r>
          </w:p>
        </w:tc>
        <w:tc>
          <w:tcPr>
            <w:tcW w:w="8289" w:type="dxa"/>
            <w:tcBorders/>
            <w:shd w:fill="auto" w:val="clear"/>
          </w:tcPr>
          <w:p>
            <w:pPr>
              <w:pStyle w:val="TextBody"/>
              <w:spacing w:before="0" w:after="140"/>
              <w:rPr>
                <w:b w:val="false"/>
                <w:b w:val="false"/>
                <w:bCs w:val="false"/>
                <w:color w:val="auto"/>
              </w:rPr>
            </w:pPr>
            <w:r>
              <w:rPr>
                <w:b w:val="false"/>
                <w:bCs w:val="false"/>
                <w:color w:val="auto"/>
              </w:rPr>
              <w:t xml:space="preserve">If poorly implemented, </w:t>
            </w:r>
            <w:r>
              <w:rPr>
                <w:b/>
                <w:bCs/>
                <w:color w:val="00A65D"/>
              </w:rPr>
              <w:t>CDR</w:t>
            </w:r>
            <w:r>
              <w:rPr>
                <w:b w:val="false"/>
                <w:bCs w:val="false"/>
                <w:color w:val="auto"/>
              </w:rPr>
              <w:t xml:space="preserve"> options such as </w:t>
            </w:r>
            <w:r>
              <w:rPr>
                <w:b/>
                <w:bCs/>
                <w:color w:val="F58220"/>
              </w:rPr>
              <w:t>BECCS</w:t>
            </w:r>
            <w:r>
              <w:rPr>
                <w:b w:val="false"/>
                <w:bCs w:val="false"/>
                <w:color w:val="auto"/>
              </w:rPr>
              <w:t xml:space="preserve"> and </w:t>
            </w:r>
            <w:r>
              <w:rPr>
                <w:b/>
                <w:bCs/>
                <w:color w:val="0066B3"/>
              </w:rPr>
              <w:t>AFOLU</w:t>
            </w:r>
            <w:r>
              <w:rPr>
                <w:b w:val="false"/>
                <w:bCs w:val="false"/>
                <w:color w:val="auto"/>
              </w:rPr>
              <w:t xml:space="preserve"> options would lead to trade-offs. Context-relevant design and implementation requires considering people’s needs, biodiversity, and other sustainable development dimensions</w:t>
            </w:r>
          </w:p>
        </w:tc>
        <w:tc>
          <w:tcPr>
            <w:tcW w:w="579" w:type="dxa"/>
            <w:tcBorders/>
            <w:shd w:fill="auto" w:val="clear"/>
          </w:tcPr>
          <w:p>
            <w:pPr>
              <w:pStyle w:val="NoSpacing"/>
              <w:rPr/>
            </w:pPr>
            <w:r>
              <w:rPr/>
            </w:r>
          </w:p>
        </w:tc>
      </w:tr>
    </w:tbl>
    <w:p>
      <w:pPr>
        <w:pStyle w:val="Normal"/>
        <w:rPr/>
      </w:pPr>
      <w:r>
        <w:rPr/>
      </w:r>
    </w:p>
    <w:p>
      <w:pPr>
        <w:pStyle w:val="Normal"/>
        <w:rPr>
          <w:rStyle w:val="Berschrift1Zchn"/>
        </w:rPr>
      </w:pPr>
      <w:r>
        <w:rPr/>
      </w:r>
    </w:p>
    <w:p>
      <w:pPr>
        <w:pStyle w:val="Normal"/>
        <w:rPr/>
      </w:pPr>
      <w:r>
        <w:rPr>
          <w:rStyle w:val="Berschrift1Zchn"/>
        </w:rPr>
        <w:t>C. Emission Pathways and System Transitions Consistent with 1.5°C Global Warming</w:t>
      </w:r>
    </w:p>
    <w:p>
      <w:pPr>
        <w:pStyle w:val="Heading2"/>
        <w:rPr/>
      </w:pPr>
      <w:r>
        <w:rPr/>
        <w:t>Characteristics of four illustrative model pathways</w:t>
      </w:r>
    </w:p>
    <w:p>
      <w:pPr>
        <w:pStyle w:val="TextBody"/>
        <w:rPr/>
      </w:pPr>
      <w:r>
        <w:rPr/>
        <w:t xml:space="preserve">Different mitigation strategies can achieve the net emissions reductions that would be required to follow a pathway that limits global warming to 1.5°C with no or limited overshoot. All pathways use </w:t>
      </w:r>
      <w:r>
        <w:rPr>
          <w:b/>
          <w:bCs/>
          <w:color w:val="00A65D"/>
        </w:rPr>
        <w:t>Carbon Dioxide Removal (CDR)</w:t>
      </w:r>
      <w:r>
        <w:rPr/>
        <w:t xml:space="preserve">, but the amount varies across pathways, as do the relative contributions of </w:t>
      </w:r>
      <w:r>
        <w:rPr>
          <w:b/>
          <w:bCs/>
          <w:color w:val="F58220"/>
        </w:rPr>
        <w:t>Bioenergy with Carbon Capture and Storage (BECCS)</w:t>
      </w:r>
      <w:r>
        <w:rPr/>
        <w:t xml:space="preserve"> and </w:t>
      </w:r>
      <w:r>
        <w:rPr>
          <w:b/>
          <w:bCs/>
          <w:color w:val="0066B3"/>
        </w:rPr>
        <w:t>removals in the</w:t>
      </w:r>
      <w:r>
        <w:rPr/>
        <w:t xml:space="preserve"> </w:t>
      </w:r>
      <w:r>
        <w:rPr>
          <w:b/>
          <w:bCs/>
          <w:color w:val="0066B3"/>
        </w:rPr>
        <w:t xml:space="preserve">Agriculture, Forestry and Other Land Use (AFOLU) </w:t>
      </w:r>
      <w:r>
        <w:rPr/>
        <w:t>sector. This has implications for emissions and several other pathway characteristics.</w:t>
      </w:r>
    </w:p>
    <w:p>
      <w:pPr>
        <w:pStyle w:val="TextBody"/>
        <w:rPr/>
      </w:pPr>
      <w:r>
        <w:rPr/>
      </w:r>
    </w:p>
    <w:p>
      <w:pPr>
        <w:pStyle w:val="Heading2"/>
        <w:rPr/>
      </w:pPr>
      <w:r>
        <w:rPr/>
        <w:t>C.3</w:t>
      </w:r>
    </w:p>
    <w:p>
      <w:pPr>
        <w:pStyle w:val="TextBody"/>
        <w:rPr/>
      </w:pPr>
      <w:r>
        <w:rPr>
          <w:b/>
          <w:bCs/>
        </w:rPr>
        <w:t xml:space="preserve">All pathways that limit global warming to 1.5°C with limited or no overshoot project the use of </w:t>
      </w:r>
      <w:r>
        <w:rPr>
          <w:b/>
          <w:bCs/>
          <w:color w:val="00A65D"/>
          <w:highlight w:val="yellow"/>
        </w:rPr>
        <w:t>carbon dioxide removal (CDR)</w:t>
      </w:r>
      <w:r>
        <w:rPr>
          <w:b/>
          <w:bCs/>
        </w:rPr>
        <w:t xml:space="preserve"> on the order of 100–1000 GtCO2 over the 21st century </w:t>
      </w:r>
      <w:r>
        <w:rPr>
          <w:b/>
          <w:bCs/>
          <w:color w:val="00A65D"/>
          <w:highlight w:val="yellow"/>
        </w:rPr>
        <w:t>CDR</w:t>
      </w:r>
      <w:r>
        <w:rPr>
          <w:b/>
          <w:bCs/>
        </w:rPr>
        <w:t xml:space="preserve"> would be used to compensate for residual emissions and, in most cases, achieve net </w:t>
      </w:r>
      <w:r>
        <w:rPr>
          <w:b/>
          <w:bCs/>
          <w:color w:val="5C2D91"/>
          <w:highlight w:val="yellow"/>
        </w:rPr>
        <w:t>negative emissions</w:t>
      </w:r>
      <w:r>
        <w:rPr>
          <w:b/>
          <w:bCs/>
        </w:rPr>
        <w:t xml:space="preserve"> to return global warming to 1.5°C following a peak</w:t>
      </w:r>
      <w:r>
        <w:rPr/>
        <w:t xml:space="preserve"> (high confidence). </w:t>
      </w:r>
      <w:r>
        <w:rPr>
          <w:b/>
          <w:bCs/>
          <w:color w:val="00A65D"/>
          <w:highlight w:val="yellow"/>
        </w:rPr>
        <w:t>CDR</w:t>
      </w:r>
      <w:r>
        <w:rPr>
          <w:b/>
          <w:bCs/>
        </w:rPr>
        <w:t xml:space="preserve"> deployment of several hundreds of GtCO 2 is subject to multiple feasibility and sustainability constraints</w:t>
      </w:r>
      <w:r>
        <w:rPr/>
        <w:t xml:space="preserve"> (high confidence). </w:t>
      </w:r>
      <w:r>
        <w:rPr>
          <w:b/>
          <w:bCs/>
        </w:rPr>
        <w:t xml:space="preserve">Significant near-term emissions reductions and measures to lower energy and land demand can limit </w:t>
      </w:r>
      <w:r>
        <w:rPr>
          <w:b/>
          <w:bCs/>
          <w:color w:val="00A65D"/>
          <w:highlight w:val="yellow"/>
        </w:rPr>
        <w:t>CDR</w:t>
      </w:r>
      <w:r>
        <w:rPr>
          <w:b/>
          <w:bCs/>
        </w:rPr>
        <w:t xml:space="preserve"> deployment to a few hundred GtCO 2 without reliance on </w:t>
      </w:r>
      <w:r>
        <w:rPr>
          <w:b/>
          <w:bCs/>
          <w:color w:val="F58220"/>
          <w:highlight w:val="yellow"/>
        </w:rPr>
        <w:t>bioenergy with carbon capture and storage (BECCS)</w:t>
      </w:r>
      <w:r>
        <w:rPr/>
        <w:t xml:space="preserve"> (high confidence). </w:t>
      </w:r>
      <w:r>
        <w:rPr>
          <w:b/>
          <w:bCs/>
          <w:color w:val="CE181E"/>
        </w:rPr>
        <w:t>{2.3, 2.4, 3.6.2, 4.3, 5.4}</w:t>
      </w:r>
    </w:p>
    <w:p>
      <w:pPr>
        <w:pStyle w:val="Heading2"/>
        <w:rPr/>
      </w:pPr>
      <w:r>
        <w:rPr/>
        <w:t>C.3.1</w:t>
      </w:r>
    </w:p>
    <w:p>
      <w:pPr>
        <w:pStyle w:val="TextBody"/>
        <w:rPr/>
      </w:pPr>
      <w:r>
        <w:rPr>
          <w:b/>
          <w:bCs/>
        </w:rPr>
        <w:t xml:space="preserve">Existing and potential </w:t>
      </w:r>
      <w:r>
        <w:rPr>
          <w:b/>
          <w:bCs/>
          <w:color w:val="00A65D"/>
        </w:rPr>
        <w:t>CDR</w:t>
      </w:r>
      <w:r>
        <w:rPr>
          <w:b/>
          <w:bCs/>
        </w:rPr>
        <w:t xml:space="preserve"> measures include </w:t>
      </w:r>
      <w:r>
        <w:rPr>
          <w:b/>
          <w:bCs/>
          <w:color w:val="0066B3"/>
        </w:rPr>
        <w:t>afforestation and reforestation</w:t>
      </w:r>
      <w:r>
        <w:rPr>
          <w:b/>
          <w:bCs/>
        </w:rPr>
        <w:t xml:space="preserve">, land restoration and soil carbon sequestration, </w:t>
      </w:r>
      <w:r>
        <w:rPr>
          <w:b/>
          <w:bCs/>
          <w:color w:val="F58220"/>
        </w:rPr>
        <w:t>BECCS</w:t>
      </w:r>
      <w:r>
        <w:rPr>
          <w:b/>
          <w:bCs/>
        </w:rPr>
        <w:t>, direct air carbon capture and storage (DACCS), enhanced weathering and ocean alkalinization. These differ widely in terms of maturity, potentials, costs, risks, co-benefits and trade-offs</w:t>
      </w:r>
      <w:r>
        <w:rPr/>
        <w:t xml:space="preserve"> (high confidence). </w:t>
      </w:r>
      <w:r>
        <w:rPr>
          <w:b/>
          <w:bCs/>
        </w:rPr>
        <w:t xml:space="preserve">To date, only a few published pathways include </w:t>
      </w:r>
      <w:r>
        <w:rPr>
          <w:b/>
          <w:bCs/>
          <w:color w:val="00A65D"/>
        </w:rPr>
        <w:t>CDR</w:t>
      </w:r>
      <w:r>
        <w:rPr>
          <w:b/>
          <w:bCs/>
        </w:rPr>
        <w:t xml:space="preserve"> measures other than </w:t>
      </w:r>
      <w:r>
        <w:rPr>
          <w:b/>
          <w:bCs/>
          <w:color w:val="0066B3"/>
        </w:rPr>
        <w:t>afforestation</w:t>
      </w:r>
      <w:r>
        <w:rPr>
          <w:b/>
          <w:bCs/>
        </w:rPr>
        <w:t xml:space="preserve"> and </w:t>
      </w:r>
      <w:r>
        <w:rPr>
          <w:b/>
          <w:bCs/>
          <w:color w:val="F58220"/>
        </w:rPr>
        <w:t>BECCS</w:t>
      </w:r>
      <w:r>
        <w:rPr>
          <w:b/>
          <w:bCs/>
        </w:rPr>
        <w:t>.</w:t>
      </w:r>
      <w:r>
        <w:rPr/>
        <w:t xml:space="preserve"> </w:t>
      </w:r>
      <w:r>
        <w:rPr>
          <w:b/>
          <w:bCs/>
          <w:color w:val="CE181E"/>
        </w:rPr>
        <w:t>{2.3.4, 3.6.2, 4.3.2, 4.3.7}</w:t>
      </w:r>
    </w:p>
    <w:p>
      <w:pPr>
        <w:pStyle w:val="Heading2"/>
        <w:rPr/>
      </w:pPr>
      <w:r>
        <w:rPr/>
        <w:t>C.3.2</w:t>
      </w:r>
    </w:p>
    <w:p>
      <w:pPr>
        <w:pStyle w:val="TextBody"/>
        <w:rPr/>
      </w:pPr>
      <w:r>
        <w:rPr>
          <w:b/>
          <w:bCs/>
        </w:rPr>
        <w:t xml:space="preserve">In pathways limiting global warming to 1.5°C with limited or no overshoot, </w:t>
      </w:r>
      <w:r>
        <w:rPr>
          <w:b/>
          <w:bCs/>
          <w:color w:val="F58220"/>
        </w:rPr>
        <w:t>BECCS</w:t>
      </w:r>
      <w:r>
        <w:rPr>
          <w:b/>
          <w:bCs/>
        </w:rPr>
        <w:t xml:space="preserve"> deployment is projected to range from 0–1, 0–8, and 0–16 GtCO 2 yr −1 in 2030, 2050, and 2100, respectively, while </w:t>
      </w:r>
      <w:r>
        <w:rPr>
          <w:b/>
          <w:bCs/>
          <w:color w:val="0066B3"/>
        </w:rPr>
        <w:t>agriculture, forestry and land-use (AFOLU) related</w:t>
      </w:r>
      <w:r>
        <w:rPr>
          <w:b/>
          <w:bCs/>
        </w:rPr>
        <w:t xml:space="preserve"> </w:t>
      </w:r>
      <w:r>
        <w:rPr>
          <w:b/>
          <w:bCs/>
          <w:color w:val="00A65D"/>
        </w:rPr>
        <w:t>CDR</w:t>
      </w:r>
      <w:r>
        <w:rPr>
          <w:b/>
          <w:bCs/>
        </w:rPr>
        <w:t xml:space="preserve"> measures are projected to remove 0–5, 1–11, and 1–5 GtCO 2 yr −1 in these years</w:t>
      </w:r>
      <w:r>
        <w:rPr/>
        <w:t xml:space="preserve"> (medium confidence). </w:t>
      </w:r>
      <w:r>
        <w:rPr>
          <w:b/>
          <w:bCs/>
        </w:rPr>
        <w:t xml:space="preserve">The upper end of these deployment ranges by mid-century exceeds the </w:t>
      </w:r>
      <w:r>
        <w:rPr>
          <w:b/>
          <w:bCs/>
          <w:color w:val="F58220"/>
        </w:rPr>
        <w:t>BECCS</w:t>
      </w:r>
      <w:r>
        <w:rPr>
          <w:b/>
          <w:bCs/>
        </w:rPr>
        <w:t xml:space="preserve"> potential of up to 5 GtCO 2 yr −1 and </w:t>
      </w:r>
      <w:r>
        <w:rPr>
          <w:b/>
          <w:bCs/>
          <w:color w:val="0066B3"/>
        </w:rPr>
        <w:t>afforestation</w:t>
      </w:r>
      <w:r>
        <w:rPr>
          <w:b/>
          <w:bCs/>
        </w:rPr>
        <w:t xml:space="preserve"> potential of up to 3.6 GtCO 2 yr −1 assessed based on recent literature</w:t>
      </w:r>
      <w:r>
        <w:rPr/>
        <w:t xml:space="preserve"> (medium confidence). </w:t>
      </w:r>
      <w:r>
        <w:rPr>
          <w:b/>
          <w:bCs/>
        </w:rPr>
        <w:t xml:space="preserve">Some pathways avoid </w:t>
      </w:r>
      <w:r>
        <w:rPr>
          <w:b/>
          <w:bCs/>
          <w:color w:val="F58220"/>
        </w:rPr>
        <w:t>BECCS</w:t>
      </w:r>
      <w:r>
        <w:rPr>
          <w:b/>
          <w:bCs/>
        </w:rPr>
        <w:t xml:space="preserve"> deployment completely through demand-side measures and greater reliance on </w:t>
      </w:r>
      <w:r>
        <w:rPr>
          <w:b/>
          <w:bCs/>
          <w:color w:val="0066B3"/>
        </w:rPr>
        <w:t>AFOLU-related</w:t>
      </w:r>
      <w:r>
        <w:rPr>
          <w:b/>
          <w:bCs/>
        </w:rPr>
        <w:t xml:space="preserve"> </w:t>
      </w:r>
      <w:r>
        <w:rPr>
          <w:b/>
          <w:bCs/>
          <w:color w:val="0066B3"/>
        </w:rPr>
        <w:t>CDR</w:t>
      </w:r>
      <w:r>
        <w:rPr>
          <w:b/>
          <w:bCs/>
        </w:rPr>
        <w:t xml:space="preserve"> measures</w:t>
      </w:r>
      <w:r>
        <w:rPr/>
        <w:t xml:space="preserve"> (medium confidence). </w:t>
      </w:r>
      <w:r>
        <w:rPr>
          <w:b/>
          <w:bCs/>
        </w:rPr>
        <w:t xml:space="preserve">The use of bioenergy can be as high or even higher when </w:t>
      </w:r>
      <w:r>
        <w:rPr>
          <w:b/>
          <w:bCs/>
          <w:color w:val="F58220"/>
        </w:rPr>
        <w:t>BECCS</w:t>
      </w:r>
      <w:r>
        <w:rPr>
          <w:b/>
          <w:bCs/>
        </w:rPr>
        <w:t xml:space="preserve"> is excluded compared to when it is included due to its potential for replacing fossil fuels across sectors</w:t>
      </w:r>
      <w:r>
        <w:rPr/>
        <w:t xml:space="preserve"> (high confidence). (</w:t>
      </w:r>
      <w:r>
        <w:rPr>
          <w:b/>
          <w:bCs/>
          <w:color w:val="CE181E"/>
        </w:rPr>
        <w:t>Figure SPM.3b</w:t>
      </w:r>
      <w:r>
        <w:rPr/>
        <w:t xml:space="preserve">) </w:t>
      </w:r>
      <w:r>
        <w:rPr>
          <w:b/>
          <w:bCs/>
          <w:color w:val="CE181E"/>
        </w:rPr>
        <w:t>{2.3.3, 2.3.4, 2.4.2, 3.6.2, 4.3.1, 4.2.3, 4.3.2, 4.3.7, 4.4.3, Table 2.4}</w:t>
      </w:r>
    </w:p>
    <w:p>
      <w:pPr>
        <w:pStyle w:val="Heading2"/>
        <w:rPr/>
      </w:pPr>
      <w:r>
        <w:rPr/>
        <w:t>C.3.3</w:t>
      </w:r>
    </w:p>
    <w:p>
      <w:pPr>
        <w:pStyle w:val="TextBody"/>
        <w:rPr/>
      </w:pPr>
      <w:r>
        <w:rPr>
          <w:b/>
          <w:bCs/>
        </w:rPr>
        <w:t xml:space="preserve">Pathways that overshoot 1.5°C of global warming rely on </w:t>
      </w:r>
      <w:r>
        <w:rPr>
          <w:b/>
          <w:bCs/>
          <w:color w:val="00A65D"/>
        </w:rPr>
        <w:t>CDR</w:t>
      </w:r>
      <w:r>
        <w:rPr>
          <w:b/>
          <w:bCs/>
        </w:rPr>
        <w:t xml:space="preserve"> exceeding residual CO2 emissions later in the century to return to below 1.5°C by 2100, with larger overshoots requiring greater amounts of </w:t>
      </w:r>
      <w:r>
        <w:rPr>
          <w:b/>
          <w:bCs/>
          <w:color w:val="00A65D"/>
        </w:rPr>
        <w:t>CDR</w:t>
      </w:r>
      <w:r>
        <w:rPr/>
        <w:t xml:space="preserve"> (</w:t>
      </w:r>
      <w:r>
        <w:rPr>
          <w:b/>
          <w:bCs/>
          <w:color w:val="CE181E"/>
        </w:rPr>
        <w:t>Figure SPM.3b</w:t>
      </w:r>
      <w:r>
        <w:rPr/>
        <w:t xml:space="preserve">) (high confidence). </w:t>
      </w:r>
      <w:r>
        <w:rPr>
          <w:b/>
          <w:bCs/>
        </w:rPr>
        <w:t xml:space="preserve">Limitations on the speed, scale, and societal acceptability of </w:t>
      </w:r>
      <w:r>
        <w:rPr>
          <w:b/>
          <w:bCs/>
          <w:color w:val="00A65D"/>
        </w:rPr>
        <w:t>CDR</w:t>
      </w:r>
      <w:r>
        <w:rPr>
          <w:b/>
          <w:bCs/>
        </w:rPr>
        <w:t xml:space="preserve"> deployment hence determine the ability to return global warming to below 1.5°C following an overshoot. Carbon cycle and climate system understanding is still limited about the effectiveness of net </w:t>
      </w:r>
      <w:r>
        <w:rPr>
          <w:b/>
          <w:bCs/>
          <w:color w:val="5C2D91"/>
        </w:rPr>
        <w:t>negative emissions</w:t>
      </w:r>
      <w:r>
        <w:rPr>
          <w:b/>
          <w:bCs/>
        </w:rPr>
        <w:t xml:space="preserve"> to reduce temperatures after they peak</w:t>
      </w:r>
      <w:r>
        <w:rPr/>
        <w:t xml:space="preserve"> (high confidence). </w:t>
      </w:r>
      <w:r>
        <w:rPr>
          <w:b/>
          <w:bCs/>
          <w:color w:val="CE181E"/>
        </w:rPr>
        <w:t>{2.2, 2.3.4, 2.3.5, 2.6, 4.3.7, 4.5.2, Table 4.11}</w:t>
      </w:r>
    </w:p>
    <w:p>
      <w:pPr>
        <w:pStyle w:val="Heading2"/>
        <w:rPr/>
      </w:pPr>
      <w:r>
        <w:rPr/>
        <w:t>C.3.4</w:t>
      </w:r>
    </w:p>
    <w:p>
      <w:pPr>
        <w:pStyle w:val="TextBody"/>
        <w:rPr/>
      </w:pPr>
      <w:r>
        <w:rPr>
          <w:b/>
          <w:bCs/>
        </w:rPr>
        <w:t xml:space="preserve">Most current and potential </w:t>
      </w:r>
      <w:r>
        <w:rPr>
          <w:b/>
          <w:bCs/>
          <w:color w:val="00A65D"/>
        </w:rPr>
        <w:t>CDR</w:t>
      </w:r>
      <w:r>
        <w:rPr>
          <w:b/>
          <w:bCs/>
        </w:rPr>
        <w:t xml:space="preserve"> measures could have significant impacts on land, energy, water or nutrients if deployed at large scale</w:t>
      </w:r>
      <w:r>
        <w:rPr/>
        <w:t xml:space="preserve"> (high confidence). </w:t>
      </w:r>
      <w:r>
        <w:rPr>
          <w:b/>
          <w:bCs/>
          <w:color w:val="0066B3"/>
        </w:rPr>
        <w:t>Afforestation</w:t>
      </w:r>
      <w:r>
        <w:rPr>
          <w:b/>
          <w:bCs/>
        </w:rPr>
        <w:t xml:space="preserve"> and bioenergy may compete with other land uses and may have significant impacts on agricultural and food systems, biodiversity, and other ecosystem functions and services</w:t>
      </w:r>
      <w:r>
        <w:rPr/>
        <w:t xml:space="preserve"> (high confidence). </w:t>
      </w:r>
      <w:r>
        <w:rPr>
          <w:b/>
          <w:bCs/>
        </w:rPr>
        <w:t xml:space="preserve">Effective governance is needed to limit such trade-offs and ensure permanence of </w:t>
      </w:r>
      <w:r>
        <w:rPr>
          <w:b/>
          <w:bCs/>
          <w:color w:val="00A65D"/>
        </w:rPr>
        <w:t>carbon removal</w:t>
      </w:r>
      <w:r>
        <w:rPr>
          <w:b/>
          <w:bCs/>
        </w:rPr>
        <w:t xml:space="preserve"> in terrestrial, geological and ocean reservoirs</w:t>
      </w:r>
      <w:r>
        <w:rPr/>
        <w:t xml:space="preserve"> (high confidence). </w:t>
      </w:r>
      <w:r>
        <w:rPr>
          <w:b/>
          <w:bCs/>
        </w:rPr>
        <w:t xml:space="preserve">Feasibility and sustainability of </w:t>
      </w:r>
      <w:r>
        <w:rPr>
          <w:b/>
          <w:bCs/>
          <w:color w:val="00A65D"/>
        </w:rPr>
        <w:t>CDR</w:t>
      </w:r>
      <w:r>
        <w:rPr>
          <w:b/>
          <w:bCs/>
        </w:rPr>
        <w:t xml:space="preserve"> use could be enhanced by a portfolio of options deployed at substantial, but lesser scales, rather than a single option at very large scale</w:t>
      </w:r>
      <w:r>
        <w:rPr/>
        <w:t xml:space="preserve"> (high confidence). (</w:t>
      </w:r>
      <w:r>
        <w:rPr>
          <w:b/>
          <w:bCs/>
          <w:color w:val="CE181E"/>
        </w:rPr>
        <w:t>Figure SPM.3b</w:t>
      </w:r>
      <w:r>
        <w:rPr/>
        <w:t xml:space="preserve">) </w:t>
      </w:r>
      <w:r>
        <w:rPr>
          <w:b/>
          <w:bCs/>
          <w:color w:val="CE181E"/>
        </w:rPr>
        <w:t>{2.3.4, 2.4.4, 2.5.3, 2.6, 3.6.2, 4.3.2, 4.3.7, 4.5.2, 5.4.1, 5.4.2; Cross-Chapter Boxes 7 and 8 in Chapter 3, Table 4.11, Table 5.3, Figure 5.3}</w:t>
      </w:r>
    </w:p>
    <w:p>
      <w:pPr>
        <w:pStyle w:val="Heading2"/>
        <w:rPr/>
      </w:pPr>
      <w:r>
        <w:rPr/>
        <w:t>C.3.5</w:t>
      </w:r>
    </w:p>
    <w:p>
      <w:pPr>
        <w:pStyle w:val="TextBody"/>
        <w:rPr/>
      </w:pPr>
      <w:r>
        <w:rPr>
          <w:highlight w:val="yellow"/>
        </w:rPr>
        <w:t xml:space="preserve">Some </w:t>
      </w:r>
      <w:r>
        <w:rPr>
          <w:b/>
          <w:bCs/>
          <w:color w:val="0066B3"/>
          <w:highlight w:val="yellow"/>
        </w:rPr>
        <w:t>AFOLU-related</w:t>
      </w:r>
      <w:r>
        <w:rPr>
          <w:color w:val="0066B3"/>
          <w:highlight w:val="yellow"/>
        </w:rPr>
        <w:t xml:space="preserve"> </w:t>
      </w:r>
      <w:r>
        <w:rPr>
          <w:b/>
          <w:bCs/>
          <w:color w:val="0066B3"/>
          <w:highlight w:val="yellow"/>
        </w:rPr>
        <w:t>CDR</w:t>
      </w:r>
      <w:r>
        <w:rPr>
          <w:highlight w:val="yellow"/>
        </w:rPr>
        <w:t xml:space="preserve"> measures such as restoration of natural ecosystems and soil carbon sequestration could provide co-benefits such as improved biodiversity, soil quality, and local food security. If deployed at large scale, they would require governance systems enabling sustainable land management to conserve and protect land carbon stocks and other ecosystem functions and services</w:t>
      </w:r>
      <w:r>
        <w:rPr/>
        <w:t xml:space="preserve"> (medium confidence). (</w:t>
      </w:r>
      <w:r>
        <w:rPr>
          <w:b/>
          <w:bCs/>
          <w:color w:val="CE181E"/>
        </w:rPr>
        <w:t>Figure SPM.4</w:t>
      </w:r>
      <w:r>
        <w:rPr/>
        <w:t xml:space="preserve">) </w:t>
      </w:r>
      <w:r>
        <w:rPr>
          <w:b/>
          <w:bCs/>
          <w:color w:val="CE181E"/>
        </w:rPr>
        <w:t>{2.3.3, 2.3.4, 2.4.2, 2.4.4, 3.6.2, 5.4.1, Cross-Chapter Boxes 3 in Chapter 1 and 7 in Chapter 3, 4.3.2, 4.3.7, 4.4.1, 4.5.2, Table 2.4}</w:t>
      </w:r>
    </w:p>
    <w:p>
      <w:pPr>
        <w:pStyle w:val="TextBody"/>
        <w:rPr>
          <w:b/>
          <w:b/>
          <w:bCs/>
          <w:color w:val="CE181E"/>
        </w:rPr>
      </w:pPr>
      <w:r>
        <w:rPr>
          <w:b/>
          <w:bCs/>
          <w:color w:val="CE181E"/>
        </w:rPr>
      </w:r>
    </w:p>
    <w:p>
      <w:pPr>
        <w:pStyle w:val="Heading1"/>
        <w:rPr/>
      </w:pPr>
      <w:r>
        <w:rPr/>
        <w:t>D. Strengthening the Global Response in the Context of Sustainable Development and Efforts to Eradicate Poverty</w:t>
      </w:r>
    </w:p>
    <w:p>
      <w:pPr>
        <w:pStyle w:val="Heading2"/>
        <w:rPr/>
      </w:pPr>
      <w:r>
        <w:rPr/>
        <w:t>D.1</w:t>
      </w:r>
    </w:p>
    <w:p>
      <w:pPr>
        <w:pStyle w:val="TextBody"/>
        <w:rPr>
          <w:b w:val="false"/>
          <w:b w:val="false"/>
          <w:bCs w:val="false"/>
          <w:color w:val="auto"/>
        </w:rPr>
      </w:pPr>
      <w:r>
        <w:rPr>
          <w:b w:val="false"/>
          <w:bCs w:val="false"/>
          <w:color w:val="auto"/>
        </w:rPr>
        <w:t xml:space="preserve">Estimates of the global emissions outcome of current nationally stated mitigation ambitions as submitted under the Paris Agreement would lead to global greenhouse gas emissions 18 in 2030 of 52–58 GtCO 2 eq yr −1 (medium confidence). Pathways reflecting these ambitions would not limit global warming to 1.5°C, even if supplemented by very challenging increases in the scale an ambition of emissions reductions after 2030 (high confidence). </w:t>
      </w:r>
      <w:r>
        <w:rPr>
          <w:b/>
          <w:bCs/>
          <w:color w:val="auto"/>
        </w:rPr>
        <w:t xml:space="preserve">Avoiding overshoot and reliance on future large-scale deployment of </w:t>
      </w:r>
      <w:r>
        <w:rPr>
          <w:b/>
          <w:bCs/>
          <w:color w:val="00A65D"/>
        </w:rPr>
        <w:t>carbon dioxide removal (CDR)</w:t>
      </w:r>
      <w:r>
        <w:rPr>
          <w:b/>
          <w:bCs/>
          <w:color w:val="auto"/>
        </w:rPr>
        <w:t xml:space="preserve"> can only be achieved if global CO2 emissions start to decline well before 2030</w:t>
      </w:r>
      <w:r>
        <w:rPr>
          <w:b w:val="false"/>
          <w:bCs w:val="false"/>
          <w:color w:val="auto"/>
        </w:rPr>
        <w:t xml:space="preserve"> (high confidence). </w:t>
      </w:r>
      <w:r>
        <w:rPr>
          <w:b/>
          <w:bCs/>
          <w:color w:val="CE181E"/>
        </w:rPr>
        <w:t>{1.2, 2.3, 3.3, 3.4, 4.2, 4.4, Cross-Chapter Box 11 in Chapter 4}</w:t>
      </w:r>
    </w:p>
    <w:p>
      <w:pPr>
        <w:pStyle w:val="TextBody"/>
        <w:rPr>
          <w:b w:val="false"/>
          <w:b w:val="false"/>
          <w:bCs w:val="false"/>
          <w:color w:val="auto"/>
        </w:rPr>
      </w:pPr>
      <w:r>
        <w:rPr>
          <w:b w:val="false"/>
          <w:bCs w:val="false"/>
          <w:color w:val="auto"/>
        </w:rPr>
      </w:r>
    </w:p>
    <w:p>
      <w:pPr>
        <w:pStyle w:val="Heading2"/>
        <w:rPr/>
      </w:pPr>
      <w:r>
        <w:rPr/>
        <w:t>D.1.2</w:t>
      </w:r>
    </w:p>
    <w:p>
      <w:pPr>
        <w:pStyle w:val="TextBody"/>
        <w:rPr>
          <w:b w:val="false"/>
          <w:b w:val="false"/>
          <w:bCs w:val="false"/>
          <w:color w:val="auto"/>
        </w:rPr>
      </w:pPr>
      <w:r>
        <w:rPr>
          <w:b w:val="false"/>
          <w:bCs w:val="false"/>
          <w:color w:val="auto"/>
        </w:rPr>
        <w:t xml:space="preserve">Overshoot trajectories result in higher impacts and associated challenges compared to pathways that limit global warming to 1.5°C with no or limited overshoot (high confidence). </w:t>
      </w:r>
      <w:r>
        <w:rPr>
          <w:b/>
          <w:bCs/>
          <w:color w:val="auto"/>
        </w:rPr>
        <w:t xml:space="preserve">Reversing warming after an overshoot of 0.2°C or larger during this century would require upscaling and deployment of </w:t>
      </w:r>
      <w:r>
        <w:rPr>
          <w:b/>
          <w:bCs/>
          <w:color w:val="00A65D"/>
        </w:rPr>
        <w:t>CDR</w:t>
      </w:r>
      <w:r>
        <w:rPr>
          <w:b/>
          <w:bCs/>
          <w:color w:val="auto"/>
        </w:rPr>
        <w:t xml:space="preserve"> at rates and volumes that might not be achievable given considerable implementation challenges</w:t>
      </w:r>
      <w:r>
        <w:rPr>
          <w:b w:val="false"/>
          <w:bCs w:val="false"/>
          <w:color w:val="auto"/>
        </w:rPr>
        <w:t xml:space="preserve"> (medium confidence). </w:t>
      </w:r>
      <w:r>
        <w:rPr>
          <w:b/>
          <w:bCs/>
          <w:color w:val="CE181E"/>
        </w:rPr>
        <w:t>{1.3.3, 2.3.4, 2.3.5, 2.5.1, 3.3, 4.3.7, Cross-Chapter Box 8 in Chapter 3, Cross-Chapter Box 11 in Chapter 4}</w:t>
      </w:r>
    </w:p>
    <w:p>
      <w:pPr>
        <w:pStyle w:val="TextBody"/>
        <w:rPr>
          <w:b/>
          <w:b/>
          <w:bCs/>
          <w:color w:val="CE181E"/>
        </w:rPr>
      </w:pPr>
      <w:r>
        <w:rPr>
          <w:b/>
          <w:bCs/>
          <w:color w:val="CE181E"/>
        </w:rPr>
      </w:r>
    </w:p>
    <w:p>
      <w:pPr>
        <w:pStyle w:val="Heading2"/>
        <w:rPr/>
      </w:pPr>
      <w:r>
        <w:rPr/>
        <w:t xml:space="preserve">D.3.4 </w:t>
      </w:r>
    </w:p>
    <w:p>
      <w:pPr>
        <w:pStyle w:val="TextBody"/>
        <w:rPr/>
      </w:pPr>
      <w:r>
        <w:rPr/>
        <w:t xml:space="preserve">Adaptation options that also mitigate emissions can provide synergies and cost savings in most sectors and system transitions, such as when land management reduces emissions and disaster risk, or when low-carbon buildings are also designed for efficient cooling. </w:t>
      </w:r>
      <w:r>
        <w:rPr>
          <w:b/>
          <w:bCs/>
        </w:rPr>
        <w:t xml:space="preserve">Trade-offs between mitigation and adaptation, when limiting global warming to 1.5°C, such as when bioenergy crops, reforestation or </w:t>
      </w:r>
      <w:r>
        <w:rPr>
          <w:b/>
          <w:bCs/>
          <w:color w:val="0066B3"/>
        </w:rPr>
        <w:t>afforestation</w:t>
      </w:r>
      <w:r>
        <w:rPr>
          <w:b/>
          <w:bCs/>
        </w:rPr>
        <w:t xml:space="preserve"> encroach on land needed for agricultural adaptation, can undermine food security, livelihoods, ecosystem functions and services and other aspects of sustainable development.</w:t>
      </w:r>
      <w:r>
        <w:rPr/>
        <w:t xml:space="preserve"> (high confidence) </w:t>
      </w:r>
      <w:r>
        <w:rPr>
          <w:b/>
          <w:bCs/>
          <w:color w:val="CE181E"/>
        </w:rPr>
        <w:t>{3.4.3, 4.3.2, 4.3.4, 4.4.1, 4.5.2, 4.5.3, 4.5.4}</w:t>
      </w:r>
    </w:p>
    <w:p>
      <w:pPr>
        <w:pStyle w:val="Heading2"/>
        <w:rPr/>
      </w:pPr>
      <w:r>
        <w:rPr/>
      </w:r>
    </w:p>
    <w:p>
      <w:pPr>
        <w:pStyle w:val="Heading2"/>
        <w:rPr/>
      </w:pPr>
      <w:r>
        <w:rPr/>
        <w:t>D.4.2</w:t>
      </w:r>
    </w:p>
    <w:p>
      <w:pPr>
        <w:pStyle w:val="TextBody"/>
        <w:rPr>
          <w:b w:val="false"/>
          <w:b w:val="false"/>
          <w:bCs w:val="false"/>
          <w:color w:val="auto"/>
        </w:rPr>
      </w:pPr>
      <w:r>
        <w:rPr>
          <w:b w:val="false"/>
          <w:bCs w:val="false"/>
          <w:color w:val="auto"/>
        </w:rPr>
        <w:t>1.5°C pathways that include low energy demand (e.g., see P1 in Figure SPM.3a and SPM.3b), low material consumption, and l</w:t>
      </w:r>
      <w:bookmarkStart w:id="1" w:name="__DdeLink__6687_2763565828"/>
      <w:r>
        <w:rPr>
          <w:b w:val="false"/>
          <w:bCs w:val="false"/>
          <w:color w:val="auto"/>
        </w:rPr>
        <w:t>ow GHG-intensive food consumption</w:t>
      </w:r>
      <w:bookmarkEnd w:id="1"/>
      <w:r>
        <w:rPr>
          <w:b w:val="false"/>
          <w:bCs w:val="false"/>
          <w:color w:val="auto"/>
        </w:rPr>
        <w:t xml:space="preserve"> have the most pronounced synergies and the lowest number of trade-offs with respect to sustainable development and the SDGs (high confidence). </w:t>
      </w:r>
      <w:r>
        <w:rPr>
          <w:b/>
          <w:bCs/>
          <w:color w:val="auto"/>
        </w:rPr>
        <w:t xml:space="preserve">Such pathways would reduce dependence on </w:t>
      </w:r>
      <w:r>
        <w:rPr>
          <w:b/>
          <w:bCs/>
          <w:color w:val="00A65D"/>
        </w:rPr>
        <w:t>CDR</w:t>
      </w:r>
      <w:r>
        <w:rPr>
          <w:b/>
          <w:bCs/>
          <w:color w:val="auto"/>
        </w:rPr>
        <w:t>. In modelled pathways, sustainable development, eradicating poverty and reducing inequality can support limiting warming to 1.5°C</w:t>
      </w:r>
      <w:r>
        <w:rPr>
          <w:b w:val="false"/>
          <w:bCs w:val="false"/>
          <w:color w:val="auto"/>
        </w:rPr>
        <w:t xml:space="preserve"> (high confidence). </w:t>
      </w:r>
      <w:r>
        <w:rPr>
          <w:b/>
          <w:bCs/>
          <w:color w:val="CE181E"/>
        </w:rPr>
        <w:t>(Figure SPM.3b, Figure SPM.4) {2.4.3, 2.5.1, 2.5.3, Figure 2.4, Figure 2.28, 5.4.1, 5.4.2, Figure 5.4}</w:t>
      </w:r>
    </w:p>
    <w:p>
      <w:pPr>
        <w:pStyle w:val="TextBody"/>
        <w:rPr>
          <w:b/>
          <w:b/>
          <w:bCs/>
          <w:color w:val="CE181E"/>
        </w:rPr>
      </w:pPr>
      <w:r>
        <w:rPr>
          <w:b/>
          <w:bCs/>
          <w:color w:val="CE181E"/>
        </w:rPr>
      </w:r>
    </w:p>
    <w:p>
      <w:pPr>
        <w:pStyle w:val="Heading2"/>
        <w:rPr/>
      </w:pPr>
      <w:r>
        <w:rPr/>
        <w:t>D.4.3</w:t>
      </w:r>
    </w:p>
    <w:p>
      <w:pPr>
        <w:pStyle w:val="TextBody"/>
        <w:rPr>
          <w:b w:val="false"/>
          <w:b w:val="false"/>
          <w:bCs w:val="false"/>
          <w:color w:val="auto"/>
        </w:rPr>
      </w:pPr>
      <w:r>
        <w:rPr>
          <w:b w:val="false"/>
          <w:bCs w:val="false"/>
          <w:color w:val="auto"/>
        </w:rPr>
        <w:t xml:space="preserve">1.5°C and 2°C modelled pathways often rely on the deployment of large-scale land-related measures like afforestation and bioenergy supply, which, if poorly managed, can compete with food production and hence raise food security concerns (high confidence). </w:t>
      </w:r>
      <w:r>
        <w:rPr>
          <w:b/>
          <w:bCs/>
          <w:color w:val="auto"/>
        </w:rPr>
        <w:t xml:space="preserve">The impacts of </w:t>
      </w:r>
      <w:r>
        <w:rPr>
          <w:b/>
          <w:bCs/>
          <w:color w:val="00A65D"/>
        </w:rPr>
        <w:t>carbon dioxide removal (CDR)</w:t>
      </w:r>
      <w:r>
        <w:rPr>
          <w:b/>
          <w:bCs/>
          <w:color w:val="auto"/>
        </w:rPr>
        <w:t xml:space="preserve"> options on SDGs depend on the type of options and the scale of deployment</w:t>
      </w:r>
      <w:r>
        <w:rPr>
          <w:b w:val="false"/>
          <w:bCs w:val="false"/>
          <w:color w:val="auto"/>
        </w:rPr>
        <w:t xml:space="preserve"> (high confidence). </w:t>
      </w:r>
      <w:r>
        <w:rPr>
          <w:b/>
          <w:bCs/>
          <w:color w:val="auto"/>
        </w:rPr>
        <w:t xml:space="preserve">If poorly implemented, </w:t>
      </w:r>
      <w:r>
        <w:rPr>
          <w:b/>
          <w:bCs/>
          <w:color w:val="00A65D"/>
        </w:rPr>
        <w:t>CDR</w:t>
      </w:r>
      <w:r>
        <w:rPr>
          <w:b/>
          <w:bCs/>
          <w:color w:val="auto"/>
        </w:rPr>
        <w:t xml:space="preserve"> options such as </w:t>
      </w:r>
      <w:r>
        <w:rPr>
          <w:b/>
          <w:bCs/>
          <w:color w:val="F58220"/>
        </w:rPr>
        <w:t>BECCS</w:t>
      </w:r>
      <w:r>
        <w:rPr>
          <w:b/>
          <w:bCs/>
          <w:color w:val="auto"/>
        </w:rPr>
        <w:t xml:space="preserve"> and </w:t>
      </w:r>
      <w:r>
        <w:rPr>
          <w:b/>
          <w:bCs/>
          <w:color w:val="0066B3"/>
        </w:rPr>
        <w:t>AFOLU</w:t>
      </w:r>
      <w:r>
        <w:rPr>
          <w:b/>
          <w:bCs/>
          <w:color w:val="auto"/>
        </w:rPr>
        <w:t xml:space="preserve"> options would lead to trade-offs. Context-relevant design and implementation requires considering people’s needs, biodiversity, and other sustainable development dimensions</w:t>
      </w:r>
      <w:r>
        <w:rPr>
          <w:b w:val="false"/>
          <w:bCs w:val="false"/>
          <w:color w:val="auto"/>
        </w:rPr>
        <w:t xml:space="preserve"> (very high confidence). </w:t>
      </w:r>
      <w:r>
        <w:rPr>
          <w:b/>
          <w:bCs/>
          <w:color w:val="CE181E"/>
        </w:rPr>
        <w:t>(Figure SPM.4) {5.4.1.3, Cross-Chapter Box 7 in Chapter 3}</w:t>
      </w:r>
    </w:p>
    <w:p>
      <w:pPr>
        <w:pStyle w:val="TextBody"/>
        <w:rPr>
          <w:b/>
          <w:b/>
          <w:bCs/>
          <w:color w:val="CE181E"/>
        </w:rPr>
      </w:pPr>
      <w:r>
        <w:rPr>
          <w:b/>
          <w:bCs/>
          <w:color w:val="CE181E"/>
        </w:rPr>
      </w:r>
    </w:p>
    <w:p>
      <w:pPr>
        <w:pStyle w:val="Heading1"/>
        <w:rPr/>
      </w:pPr>
      <w:r>
        <w:rPr/>
        <w:t>Box SPM.1: Core Concepts Central to this Special Report</w:t>
      </w:r>
    </w:p>
    <w:p>
      <w:pPr>
        <w:sectPr>
          <w:type w:val="nextPage"/>
          <w:pgSz w:w="11906" w:h="16838"/>
          <w:pgMar w:left="1134" w:right="1134" w:header="0" w:top="1134" w:footer="0" w:bottom="1134" w:gutter="0"/>
          <w:pgNumType w:fmt="decimal"/>
          <w:formProt w:val="false"/>
          <w:textDirection w:val="lrTb"/>
          <w:docGrid w:type="default" w:linePitch="100" w:charSpace="0"/>
        </w:sectPr>
        <w:pStyle w:val="TextBody"/>
        <w:spacing w:before="0" w:after="140"/>
        <w:rPr/>
      </w:pPr>
      <w:r>
        <w:rPr>
          <w:b/>
          <w:bCs/>
          <w:color w:val="00A65D"/>
        </w:rPr>
        <w:t>Carbon dioxide removal (CDR)</w:t>
      </w:r>
      <w:r>
        <w:rPr>
          <w:b w:val="false"/>
          <w:bCs w:val="false"/>
          <w:color w:val="auto"/>
        </w:rPr>
        <w:t>: Anthropogenic activities removing CO2 from the atmosphere and durably storing it in geological, terrestrial, or ocean reservoirs, or in products. It includes existing and potential anthropogenic enhancement of biological or geochemical sinks and direct air capture and storage, but excludes natural CO2 uptake not directly caused by human activities.</w:t>
      </w:r>
    </w:p>
    <w:p>
      <w:pPr>
        <w:pStyle w:val="Heading1"/>
        <w:spacing w:before="480" w:after="0"/>
        <w:rPr/>
      </w:pPr>
      <w:bookmarkStart w:id="2" w:name="_Toc5252984341"/>
      <w:r>
        <w:rPr/>
        <w:t>IPCC SR1.5 – SPM</w:t>
      </w:r>
      <w:bookmarkEnd w:id="2"/>
    </w:p>
    <w:p>
      <w:pPr>
        <w:pStyle w:val="NoSpacing"/>
        <w:rPr/>
      </w:pPr>
      <w:r>
        <w:rPr>
          <w:rStyle w:val="Berschrift1Zchn"/>
        </w:rPr>
        <w:t>Statistics</w:t>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7572"/>
        <w:gridCol w:w="1823"/>
      </w:tblGrid>
      <w:tr>
        <w:trPr/>
        <w:tc>
          <w:tcPr>
            <w:tcW w:w="7572" w:type="dxa"/>
            <w:tcBorders/>
            <w:shd w:fill="auto" w:val="clear"/>
          </w:tcPr>
          <w:p>
            <w:pPr>
              <w:pStyle w:val="NoSpacing"/>
              <w:rPr/>
            </w:pPr>
            <w:r>
              <w:rPr>
                <w:b/>
              </w:rPr>
              <w:t>Search term</w:t>
            </w:r>
          </w:p>
        </w:tc>
        <w:tc>
          <w:tcPr>
            <w:tcW w:w="1823" w:type="dxa"/>
            <w:tcBorders/>
            <w:shd w:fill="auto" w:val="clear"/>
          </w:tcPr>
          <w:p>
            <w:pPr>
              <w:pStyle w:val="NoSpacing"/>
              <w:rPr/>
            </w:pPr>
            <w:r>
              <w:rPr>
                <w:b/>
              </w:rPr>
              <w:t>Count</w:t>
            </w:r>
          </w:p>
        </w:tc>
      </w:tr>
      <w:tr>
        <w:trPr/>
        <w:tc>
          <w:tcPr>
            <w:tcW w:w="7572" w:type="dxa"/>
            <w:tcBorders/>
            <w:shd w:fill="auto" w:val="clear"/>
          </w:tcPr>
          <w:p>
            <w:pPr>
              <w:pStyle w:val="NoSpacing"/>
              <w:rPr/>
            </w:pPr>
            <w:r>
              <w:rPr>
                <w:b/>
                <w:color w:val="7030A0"/>
              </w:rPr>
              <w:t>Negative emission, NETs</w:t>
            </w:r>
          </w:p>
        </w:tc>
        <w:tc>
          <w:tcPr>
            <w:tcW w:w="1823" w:type="dxa"/>
            <w:tcBorders/>
            <w:shd w:fill="auto" w:val="clear"/>
          </w:tcPr>
          <w:p>
            <w:pPr>
              <w:pStyle w:val="NoSpacing"/>
              <w:rPr/>
            </w:pPr>
            <w:r>
              <w:rPr/>
              <w:t>1</w:t>
            </w:r>
          </w:p>
        </w:tc>
      </w:tr>
      <w:tr>
        <w:trPr/>
        <w:tc>
          <w:tcPr>
            <w:tcW w:w="7572" w:type="dxa"/>
            <w:tcBorders/>
            <w:shd w:fill="auto" w:val="clear"/>
          </w:tcPr>
          <w:p>
            <w:pPr>
              <w:pStyle w:val="NoSpacing"/>
              <w:rPr/>
            </w:pPr>
            <w:r>
              <w:rPr>
                <w:b/>
                <w:color w:val="00B050"/>
              </w:rPr>
              <w:t>Carbon dioxide removal, CDR, carbon removal</w:t>
            </w:r>
          </w:p>
        </w:tc>
        <w:tc>
          <w:tcPr>
            <w:tcW w:w="1823" w:type="dxa"/>
            <w:tcBorders/>
            <w:shd w:fill="auto" w:val="clear"/>
          </w:tcPr>
          <w:p>
            <w:pPr>
              <w:pStyle w:val="NoSpacing"/>
              <w:rPr/>
            </w:pPr>
            <w:r>
              <w:rPr/>
              <w:t>130</w:t>
            </w:r>
          </w:p>
        </w:tc>
      </w:tr>
      <w:tr>
        <w:trPr/>
        <w:tc>
          <w:tcPr>
            <w:tcW w:w="7572" w:type="dxa"/>
            <w:tcBorders/>
            <w:shd w:fill="auto" w:val="clear"/>
          </w:tcPr>
          <w:p>
            <w:pPr>
              <w:pStyle w:val="NoSpacing"/>
              <w:rPr/>
            </w:pPr>
            <w:r>
              <w:rPr>
                <w:b/>
                <w:color w:val="F79646" w:themeColor="accent6"/>
              </w:rPr>
              <w:t>Bioenergy with carbon and capture, BECCS, bioenergy</w:t>
            </w:r>
          </w:p>
        </w:tc>
        <w:tc>
          <w:tcPr>
            <w:tcW w:w="1823" w:type="dxa"/>
            <w:tcBorders/>
            <w:shd w:fill="auto" w:val="clear"/>
          </w:tcPr>
          <w:p>
            <w:pPr>
              <w:pStyle w:val="NoSpacing"/>
              <w:rPr/>
            </w:pPr>
            <w:r>
              <w:rPr/>
              <w:t>43</w:t>
            </w:r>
          </w:p>
        </w:tc>
      </w:tr>
      <w:tr>
        <w:trPr/>
        <w:tc>
          <w:tcPr>
            <w:tcW w:w="7572" w:type="dxa"/>
            <w:tcBorders/>
            <w:shd w:fill="auto" w:val="clear"/>
          </w:tcPr>
          <w:p>
            <w:pPr>
              <w:pStyle w:val="NoSpacing"/>
              <w:rPr/>
            </w:pPr>
            <w:r>
              <w:rPr>
                <w:b/>
                <w:bCs/>
                <w:color w:val="0066B3"/>
              </w:rPr>
              <w:t>Afforestation</w:t>
            </w:r>
            <w:r>
              <w:rPr>
                <w:b/>
                <w:color w:val="0070C0"/>
              </w:rPr>
              <w:t>, AFOLU, AFOLU-related CDR</w:t>
            </w:r>
          </w:p>
        </w:tc>
        <w:tc>
          <w:tcPr>
            <w:tcW w:w="1823" w:type="dxa"/>
            <w:tcBorders/>
            <w:shd w:fill="auto" w:val="clear"/>
          </w:tcPr>
          <w:p>
            <w:pPr>
              <w:pStyle w:val="NoSpacing"/>
              <w:rPr/>
            </w:pPr>
            <w:r>
              <w:rPr/>
              <w:t>36</w:t>
            </w:r>
          </w:p>
        </w:tc>
      </w:tr>
    </w:tbl>
    <w:p>
      <w:pPr>
        <w:pStyle w:val="Normal"/>
        <w:rPr>
          <w:b/>
          <w:b/>
          <w:bCs/>
          <w:color w:val="CE181E"/>
        </w:rPr>
      </w:pPr>
      <w:r>
        <w:rPr>
          <w:b/>
          <w:bCs/>
          <w:color w:val="CE181E"/>
        </w:rPr>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6274"/>
        <w:gridCol w:w="1510"/>
        <w:gridCol w:w="1612"/>
      </w:tblGrid>
      <w:tr>
        <w:trPr/>
        <w:tc>
          <w:tcPr>
            <w:tcW w:w="6274" w:type="dxa"/>
            <w:tcBorders/>
            <w:shd w:fill="auto" w:val="clear"/>
          </w:tcPr>
          <w:p>
            <w:pPr>
              <w:pStyle w:val="NoSpacing"/>
              <w:rPr/>
            </w:pPr>
            <w:r>
              <w:rPr>
                <w:b/>
              </w:rPr>
              <w:t>IPCC references</w:t>
            </w:r>
          </w:p>
        </w:tc>
        <w:tc>
          <w:tcPr>
            <w:tcW w:w="1510" w:type="dxa"/>
            <w:tcBorders/>
            <w:shd w:fill="auto" w:val="clear"/>
          </w:tcPr>
          <w:p>
            <w:pPr>
              <w:pStyle w:val="NoSpacing"/>
              <w:rPr/>
            </w:pPr>
            <w:r>
              <w:rPr>
                <w:b/>
              </w:rPr>
              <w:t>Type</w:t>
            </w:r>
          </w:p>
        </w:tc>
        <w:tc>
          <w:tcPr>
            <w:tcW w:w="1612" w:type="dxa"/>
            <w:tcBorders/>
            <w:shd w:fill="auto" w:val="clear"/>
          </w:tcPr>
          <w:p>
            <w:pPr>
              <w:pStyle w:val="NoSpacing"/>
              <w:rPr/>
            </w:pPr>
            <w:r>
              <w:rPr>
                <w:b/>
              </w:rPr>
              <w:t>Count</w:t>
            </w:r>
          </w:p>
        </w:tc>
      </w:tr>
      <w:tr>
        <w:trPr/>
        <w:tc>
          <w:tcPr>
            <w:tcW w:w="6274" w:type="dxa"/>
            <w:tcBorders/>
            <w:shd w:color="auto" w:fill="F2F2F2" w:themeFill="background1" w:themeFillShade="f2" w:val="clear"/>
          </w:tcPr>
          <w:p>
            <w:pPr>
              <w:pStyle w:val="NoSpacing"/>
              <w:rPr/>
            </w:pPr>
            <w:r>
              <w:rPr>
                <w:i/>
                <w:iCs/>
              </w:rPr>
              <w:t>Sections in Chapter 2</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43</w:t>
            </w:r>
          </w:p>
        </w:tc>
      </w:tr>
      <w:tr>
        <w:trPr/>
        <w:tc>
          <w:tcPr>
            <w:tcW w:w="6274" w:type="dxa"/>
            <w:tcBorders/>
            <w:shd w:color="auto" w:fill="F2F2F2" w:themeFill="background1" w:themeFillShade="f2" w:val="clear"/>
          </w:tcPr>
          <w:p>
            <w:pPr>
              <w:pStyle w:val="NoSpacing"/>
              <w:rPr/>
            </w:pPr>
            <w:r>
              <w:rPr>
                <w:i/>
                <w:iCs/>
              </w:rPr>
              <w:t>Executive Summary</w:t>
            </w:r>
          </w:p>
        </w:tc>
        <w:tc>
          <w:tcPr>
            <w:tcW w:w="1510" w:type="dxa"/>
            <w:tcBorders/>
            <w:shd w:color="auto" w:fill="F2F2F2" w:themeFill="background1" w:themeFillShade="f2" w:val="clear"/>
          </w:tcPr>
          <w:p>
            <w:pPr>
              <w:pStyle w:val="NoSpacing"/>
              <w:rPr/>
            </w:pPr>
            <w:r>
              <w:rPr>
                <w:i/>
                <w:iCs/>
              </w:rPr>
              <w:t>Section</w:t>
            </w:r>
          </w:p>
        </w:tc>
        <w:tc>
          <w:tcPr>
            <w:tcW w:w="1612" w:type="dxa"/>
            <w:tcBorders/>
            <w:shd w:color="auto" w:fill="F2F2F2" w:themeFill="background1" w:themeFillShade="f2" w:val="clear"/>
          </w:tcPr>
          <w:p>
            <w:pPr>
              <w:pStyle w:val="NoSpacing"/>
              <w:rPr/>
            </w:pPr>
            <w:r>
              <w:rPr>
                <w:i/>
                <w:iCs/>
              </w:rPr>
              <w:t>18</w:t>
            </w:r>
          </w:p>
        </w:tc>
      </w:tr>
      <w:tr>
        <w:trPr/>
        <w:tc>
          <w:tcPr>
            <w:tcW w:w="6274" w:type="dxa"/>
            <w:tcBorders/>
            <w:shd w:fill="auto" w:val="clear"/>
          </w:tcPr>
          <w:p>
            <w:pPr>
              <w:pStyle w:val="NoSpacing"/>
              <w:rPr/>
            </w:pPr>
            <w:r>
              <w:rPr/>
            </w:r>
          </w:p>
        </w:tc>
        <w:tc>
          <w:tcPr>
            <w:tcW w:w="1510" w:type="dxa"/>
            <w:tcBorders/>
            <w:shd w:fill="auto" w:val="clear"/>
          </w:tcPr>
          <w:p>
            <w:pPr>
              <w:pStyle w:val="NoSpacing"/>
              <w:rPr/>
            </w:pPr>
            <w:r>
              <w:rPr/>
              <w:t>Section</w:t>
            </w:r>
          </w:p>
        </w:tc>
        <w:tc>
          <w:tcPr>
            <w:tcW w:w="1612" w:type="dxa"/>
            <w:tcBorders/>
            <w:shd w:fill="auto" w:val="clear"/>
          </w:tcPr>
          <w:p>
            <w:pPr>
              <w:pStyle w:val="NoSpacing"/>
              <w:rPr/>
            </w:pPr>
            <w:r>
              <w:rPr/>
            </w:r>
          </w:p>
        </w:tc>
      </w:tr>
      <w:tr>
        <w:trPr/>
        <w:tc>
          <w:tcPr>
            <w:tcW w:w="6274" w:type="dxa"/>
            <w:tcBorders/>
            <w:shd w:fill="EEEEEE" w:val="clear"/>
          </w:tcPr>
          <w:p>
            <w:pPr>
              <w:pStyle w:val="NoSpacing"/>
              <w:rPr/>
            </w:pPr>
            <w:r>
              <w:rPr>
                <w:i/>
                <w:iCs/>
              </w:rPr>
              <w:t>Chapter 3</w:t>
            </w:r>
          </w:p>
        </w:tc>
        <w:tc>
          <w:tcPr>
            <w:tcW w:w="1510" w:type="dxa"/>
            <w:tcBorders/>
            <w:shd w:fill="EEEEEE" w:val="clear"/>
          </w:tcPr>
          <w:p>
            <w:pPr>
              <w:pStyle w:val="NoSpacing"/>
              <w:rPr/>
            </w:pPr>
            <w:r>
              <w:rPr>
                <w:i/>
                <w:iCs/>
              </w:rPr>
              <w:t>Section</w:t>
            </w:r>
          </w:p>
        </w:tc>
        <w:tc>
          <w:tcPr>
            <w:tcW w:w="1612" w:type="dxa"/>
            <w:tcBorders/>
            <w:shd w:fill="EEEEEE" w:val="clear"/>
          </w:tcPr>
          <w:p>
            <w:pPr>
              <w:pStyle w:val="NoSpacing"/>
              <w:rPr/>
            </w:pPr>
            <w:r>
              <w:rPr/>
              <w:t>5</w:t>
            </w:r>
          </w:p>
        </w:tc>
      </w:tr>
      <w:tr>
        <w:trPr/>
        <w:tc>
          <w:tcPr>
            <w:tcW w:w="6274" w:type="dxa"/>
            <w:tcBorders/>
            <w:shd w:fill="auto" w:val="clear"/>
          </w:tcPr>
          <w:p>
            <w:pPr>
              <w:pStyle w:val="NoSpacing"/>
              <w:rPr/>
            </w:pPr>
            <w:r>
              <w:rPr/>
              <w:t>3.6.2</w:t>
            </w:r>
          </w:p>
        </w:tc>
        <w:tc>
          <w:tcPr>
            <w:tcW w:w="1510" w:type="dxa"/>
            <w:tcBorders/>
            <w:shd w:fill="auto" w:val="clear"/>
          </w:tcPr>
          <w:p>
            <w:pPr>
              <w:pStyle w:val="NoSpacing"/>
              <w:rPr/>
            </w:pPr>
            <w:r>
              <w:rPr/>
              <w:t>Section</w:t>
            </w:r>
          </w:p>
        </w:tc>
        <w:tc>
          <w:tcPr>
            <w:tcW w:w="1612" w:type="dxa"/>
            <w:tcBorders/>
            <w:shd w:fill="auto" w:val="clear"/>
          </w:tcPr>
          <w:p>
            <w:pPr>
              <w:pStyle w:val="NoSpacing"/>
              <w:rPr/>
            </w:pPr>
            <w:r>
              <w:rPr/>
              <w:t>5</w:t>
            </w:r>
          </w:p>
        </w:tc>
      </w:tr>
      <w:tr>
        <w:trPr/>
        <w:tc>
          <w:tcPr>
            <w:tcW w:w="6274" w:type="dxa"/>
            <w:tcBorders/>
            <w:shd w:color="auto" w:fill="F2F2F2" w:themeFill="background1" w:themeFillShade="f2" w:val="clear"/>
          </w:tcPr>
          <w:p>
            <w:pPr>
              <w:pStyle w:val="NoSpacing"/>
              <w:rPr/>
            </w:pPr>
            <w:r>
              <w:rPr>
                <w:i/>
                <w:iCs/>
              </w:rPr>
              <w:t>Figures</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5</w:t>
            </w:r>
          </w:p>
        </w:tc>
      </w:tr>
      <w:tr>
        <w:trPr/>
        <w:tc>
          <w:tcPr>
            <w:tcW w:w="6274" w:type="dxa"/>
            <w:tcBorders/>
            <w:shd w:fill="auto" w:val="clear"/>
          </w:tcPr>
          <w:p>
            <w:pPr>
              <w:pStyle w:val="NoSpacing"/>
              <w:rPr/>
            </w:pPr>
            <w:r>
              <w:rPr/>
            </w:r>
          </w:p>
        </w:tc>
        <w:tc>
          <w:tcPr>
            <w:tcW w:w="1510" w:type="dxa"/>
            <w:tcBorders/>
            <w:shd w:fill="auto" w:val="clear"/>
          </w:tcPr>
          <w:p>
            <w:pPr>
              <w:pStyle w:val="NoSpacing"/>
              <w:rPr/>
            </w:pPr>
            <w:r>
              <w:rPr/>
              <w:t>Figure</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Figure</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Figure</w:t>
            </w:r>
          </w:p>
        </w:tc>
        <w:tc>
          <w:tcPr>
            <w:tcW w:w="1612" w:type="dxa"/>
            <w:tcBorders/>
            <w:shd w:fill="auto" w:val="clear"/>
          </w:tcPr>
          <w:p>
            <w:pPr>
              <w:pStyle w:val="NoSpacing"/>
              <w:rPr/>
            </w:pPr>
            <w:r>
              <w:rPr/>
            </w:r>
          </w:p>
        </w:tc>
      </w:tr>
      <w:tr>
        <w:trPr/>
        <w:tc>
          <w:tcPr>
            <w:tcW w:w="6274" w:type="dxa"/>
            <w:tcBorders/>
            <w:shd w:color="auto" w:fill="F2F2F2" w:themeFill="background1" w:themeFillShade="f2" w:val="clear"/>
          </w:tcPr>
          <w:p>
            <w:pPr>
              <w:pStyle w:val="NoSpacing"/>
              <w:rPr/>
            </w:pPr>
            <w:r>
              <w:rPr>
                <w:i/>
                <w:iCs/>
              </w:rPr>
              <w:t>Tables</w:t>
            </w:r>
          </w:p>
        </w:tc>
        <w:tc>
          <w:tcPr>
            <w:tcW w:w="1510" w:type="dxa"/>
            <w:tcBorders/>
            <w:shd w:color="auto" w:fill="F2F2F2" w:themeFill="background1" w:themeFillShade="f2" w:val="clear"/>
          </w:tcPr>
          <w:p>
            <w:pPr>
              <w:pStyle w:val="NoSpacing"/>
              <w:rPr>
                <w:i/>
                <w:i/>
                <w:iCs/>
              </w:rPr>
            </w:pPr>
            <w:r>
              <w:rPr>
                <w:i/>
                <w:iCs/>
              </w:rPr>
            </w:r>
          </w:p>
        </w:tc>
        <w:tc>
          <w:tcPr>
            <w:tcW w:w="1612" w:type="dxa"/>
            <w:tcBorders/>
            <w:shd w:color="auto" w:fill="F2F2F2" w:themeFill="background1" w:themeFillShade="f2" w:val="clear"/>
          </w:tcPr>
          <w:p>
            <w:pPr>
              <w:pStyle w:val="NoSpacing"/>
              <w:rPr/>
            </w:pPr>
            <w:r>
              <w:rPr>
                <w:i/>
                <w:iCs/>
              </w:rPr>
              <w:t>5</w:t>
            </w:r>
          </w:p>
        </w:tc>
      </w:tr>
      <w:tr>
        <w:trPr/>
        <w:tc>
          <w:tcPr>
            <w:tcW w:w="6274" w:type="dxa"/>
            <w:tcBorders/>
            <w:shd w:fill="auto" w:val="clear"/>
          </w:tcPr>
          <w:p>
            <w:pPr>
              <w:pStyle w:val="NoSpacing"/>
              <w:rPr/>
            </w:pPr>
            <w:r>
              <w:rPr/>
            </w:r>
          </w:p>
        </w:tc>
        <w:tc>
          <w:tcPr>
            <w:tcW w:w="1510" w:type="dxa"/>
            <w:tcBorders/>
            <w:shd w:fill="auto" w:val="clear"/>
          </w:tcPr>
          <w:p>
            <w:pPr>
              <w:pStyle w:val="NoSpacing"/>
              <w:rPr/>
            </w:pPr>
            <w:r>
              <w:rPr/>
              <w:t>Table</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Table</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Table</w:t>
            </w:r>
          </w:p>
        </w:tc>
        <w:tc>
          <w:tcPr>
            <w:tcW w:w="1612" w:type="dxa"/>
            <w:tcBorders/>
            <w:shd w:fill="auto" w:val="clear"/>
          </w:tcPr>
          <w:p>
            <w:pPr>
              <w:pStyle w:val="NoSpacing"/>
              <w:rPr/>
            </w:pPr>
            <w:r>
              <w:rPr/>
            </w:r>
          </w:p>
        </w:tc>
      </w:tr>
      <w:tr>
        <w:trPr/>
        <w:tc>
          <w:tcPr>
            <w:tcW w:w="6274" w:type="dxa"/>
            <w:tcBorders/>
            <w:shd w:fill="EEEEEE" w:val="clear"/>
          </w:tcPr>
          <w:p>
            <w:pPr>
              <w:pStyle w:val="NoSpacing"/>
              <w:rPr/>
            </w:pPr>
            <w:r>
              <w:rPr>
                <w:i/>
                <w:iCs/>
              </w:rPr>
              <w:t>Cross-chapter boxes</w:t>
            </w:r>
          </w:p>
        </w:tc>
        <w:tc>
          <w:tcPr>
            <w:tcW w:w="1510" w:type="dxa"/>
            <w:tcBorders/>
            <w:shd w:fill="EEEEEE" w:val="clear"/>
          </w:tcPr>
          <w:p>
            <w:pPr>
              <w:pStyle w:val="NoSpacing"/>
              <w:rPr>
                <w:i/>
                <w:i/>
                <w:iCs/>
              </w:rPr>
            </w:pPr>
            <w:r>
              <w:rPr>
                <w:i/>
                <w:iCs/>
              </w:rPr>
            </w:r>
          </w:p>
        </w:tc>
        <w:tc>
          <w:tcPr>
            <w:tcW w:w="1612" w:type="dxa"/>
            <w:tcBorders/>
            <w:shd w:fill="EEEEEE" w:val="clear"/>
          </w:tcPr>
          <w:p>
            <w:pPr>
              <w:pStyle w:val="NoSpacing"/>
              <w:rPr/>
            </w:pPr>
            <w:r>
              <w:rPr>
                <w:i/>
                <w:iCs/>
              </w:rPr>
              <w:t>4</w:t>
            </w:r>
          </w:p>
        </w:tc>
      </w:tr>
      <w:tr>
        <w:trPr/>
        <w:tc>
          <w:tcPr>
            <w:tcW w:w="6274" w:type="dxa"/>
            <w:tcBorders/>
            <w:shd w:fill="auto" w:val="clear"/>
          </w:tcPr>
          <w:p>
            <w:pPr>
              <w:pStyle w:val="NoSpacing"/>
              <w:rPr/>
            </w:pPr>
            <w:r>
              <w:rPr/>
            </w:r>
          </w:p>
        </w:tc>
        <w:tc>
          <w:tcPr>
            <w:tcW w:w="1510" w:type="dxa"/>
            <w:tcBorders/>
            <w:shd w:fill="auto" w:val="clear"/>
          </w:tcPr>
          <w:p>
            <w:pPr>
              <w:pStyle w:val="NoSpacing"/>
              <w:rPr/>
            </w:pPr>
            <w:r>
              <w:rPr/>
              <w:t>CCB</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CCB</w:t>
            </w:r>
          </w:p>
        </w:tc>
        <w:tc>
          <w:tcPr>
            <w:tcW w:w="1612" w:type="dxa"/>
            <w:tcBorders/>
            <w:shd w:fill="auto" w:val="clear"/>
          </w:tcPr>
          <w:p>
            <w:pPr>
              <w:pStyle w:val="NoSpacing"/>
              <w:rPr/>
            </w:pPr>
            <w:r>
              <w:rPr/>
            </w:r>
          </w:p>
        </w:tc>
      </w:tr>
      <w:tr>
        <w:trPr/>
        <w:tc>
          <w:tcPr>
            <w:tcW w:w="6274" w:type="dxa"/>
            <w:tcBorders/>
            <w:shd w:fill="auto" w:val="clear"/>
          </w:tcPr>
          <w:p>
            <w:pPr>
              <w:pStyle w:val="NoSpacing"/>
              <w:rPr/>
            </w:pPr>
            <w:r>
              <w:rPr/>
            </w:r>
          </w:p>
        </w:tc>
        <w:tc>
          <w:tcPr>
            <w:tcW w:w="1510" w:type="dxa"/>
            <w:tcBorders/>
            <w:shd w:fill="auto" w:val="clear"/>
          </w:tcPr>
          <w:p>
            <w:pPr>
              <w:pStyle w:val="NoSpacing"/>
              <w:rPr/>
            </w:pPr>
            <w:r>
              <w:rPr/>
              <w:t>CCB</w:t>
            </w:r>
          </w:p>
        </w:tc>
        <w:tc>
          <w:tcPr>
            <w:tcW w:w="1612" w:type="dxa"/>
            <w:tcBorders/>
            <w:shd w:fill="auto" w:val="clear"/>
          </w:tcPr>
          <w:p>
            <w:pPr>
              <w:pStyle w:val="NoSpacing"/>
              <w:rPr/>
            </w:pPr>
            <w:r>
              <w:rPr/>
            </w:r>
          </w:p>
        </w:tc>
      </w:tr>
    </w:tbl>
    <w:p>
      <w:pPr>
        <w:pStyle w:val="Normal"/>
        <w:rPr/>
      </w:pPr>
      <w:r>
        <w:rPr/>
      </w:r>
    </w:p>
    <w:p>
      <w:pPr>
        <w:pStyle w:val="Normal"/>
        <w:rPr/>
      </w:pPr>
      <w:r>
        <w:rPr>
          <w:rStyle w:val="Berschrift1Zchn"/>
        </w:rPr>
        <w:t>Statements</w:t>
      </w:r>
    </w:p>
    <w:tbl>
      <w:tblPr>
        <w:tblStyle w:val="Tabellenraster"/>
        <w:tblW w:w="9396" w:type="dxa"/>
        <w:jc w:val="left"/>
        <w:tblInd w:w="0" w:type="dxa"/>
        <w:tblBorders/>
        <w:tblCellMar>
          <w:top w:w="0" w:type="dxa"/>
          <w:left w:w="108" w:type="dxa"/>
          <w:bottom w:w="0" w:type="dxa"/>
          <w:right w:w="108" w:type="dxa"/>
        </w:tblCellMar>
        <w:tblLook w:noVBand="1" w:val="04a0" w:noHBand="0" w:lastColumn="0" w:firstColumn="1" w:lastRow="0" w:firstRow="1"/>
      </w:tblPr>
      <w:tblGrid>
        <w:gridCol w:w="528"/>
        <w:gridCol w:w="8200"/>
        <w:gridCol w:w="668"/>
      </w:tblGrid>
      <w:tr>
        <w:trPr/>
        <w:tc>
          <w:tcPr>
            <w:tcW w:w="528" w:type="dxa"/>
            <w:tcBorders/>
            <w:shd w:fill="auto" w:val="clear"/>
          </w:tcPr>
          <w:p>
            <w:pPr>
              <w:pStyle w:val="NoSpacing"/>
              <w:rPr>
                <w:sz w:val="20"/>
                <w:szCs w:val="20"/>
              </w:rPr>
            </w:pPr>
            <w:r>
              <w:rPr>
                <w:b/>
                <w:sz w:val="20"/>
                <w:szCs w:val="20"/>
              </w:rPr>
              <w:t>#</w:t>
            </w:r>
          </w:p>
        </w:tc>
        <w:tc>
          <w:tcPr>
            <w:tcW w:w="8200" w:type="dxa"/>
            <w:tcBorders/>
            <w:shd w:fill="auto" w:val="clear"/>
          </w:tcPr>
          <w:p>
            <w:pPr>
              <w:pStyle w:val="NoSpacing"/>
              <w:rPr/>
            </w:pPr>
            <w:r>
              <w:rPr>
                <w:b/>
              </w:rPr>
              <w:t>Statements</w:t>
            </w:r>
          </w:p>
        </w:tc>
        <w:tc>
          <w:tcPr>
            <w:tcW w:w="668" w:type="dxa"/>
            <w:tcBorders/>
            <w:shd w:fill="auto" w:val="clear"/>
          </w:tcPr>
          <w:p>
            <w:pPr>
              <w:pStyle w:val="NoSpacing"/>
              <w:rPr/>
            </w:pPr>
            <w:r>
              <w:rPr/>
            </w:r>
          </w:p>
        </w:tc>
      </w:tr>
      <w:tr>
        <w:trPr/>
        <w:tc>
          <w:tcPr>
            <w:tcW w:w="528" w:type="dxa"/>
            <w:tcBorders/>
            <w:shd w:fill="auto" w:val="clear"/>
          </w:tcPr>
          <w:p>
            <w:pPr>
              <w:pStyle w:val="NoSpacing"/>
              <w:rPr>
                <w:sz w:val="20"/>
                <w:szCs w:val="20"/>
              </w:rPr>
            </w:pPr>
            <w:r>
              <w:rPr>
                <w:sz w:val="20"/>
                <w:szCs w:val="20"/>
              </w:rPr>
              <w:t>1</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Pathways that aim for limiting warming to 1.5°C by 2100 after a temporary temperature overshoot rely on large-scale deployment of </w:t>
            </w:r>
            <w:r>
              <w:rPr>
                <w:rStyle w:val="Berschrift1Zchn"/>
                <w:b/>
                <w:bCs/>
                <w:color w:val="00A65D"/>
                <w:sz w:val="24"/>
                <w:szCs w:val="24"/>
              </w:rPr>
              <w:t>carbon dioxide removal (CDR)</w:t>
            </w:r>
            <w:r>
              <w:rPr>
                <w:rStyle w:val="Berschrift1Zchn"/>
                <w:b w:val="false"/>
                <w:bCs w:val="false"/>
                <w:color w:val="000000"/>
                <w:sz w:val="24"/>
                <w:szCs w:val="24"/>
              </w:rPr>
              <w:t xml:space="preserve"> measures, which are uncertain and entail clear risks.</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2</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Such mitigation pathways </w:t>
            </w:r>
            <w:r>
              <w:rPr>
                <w:rStyle w:val="Berschrift1Zchn"/>
                <w:b w:val="false"/>
                <w:bCs w:val="false"/>
                <w:i/>
                <w:iCs/>
                <w:color w:val="000000"/>
                <w:sz w:val="24"/>
                <w:szCs w:val="24"/>
              </w:rPr>
              <w:t>[limiting warming to 1.5°C]</w:t>
            </w:r>
            <w:r>
              <w:rPr>
                <w:rStyle w:val="Berschrift1Zchn"/>
                <w:b w:val="false"/>
                <w:bCs w:val="false"/>
                <w:color w:val="000000"/>
                <w:sz w:val="24"/>
                <w:szCs w:val="24"/>
              </w:rPr>
              <w:t xml:space="preserve"> are characterized by energy- demand reductions, decarbonization of electricity and other fuels, electrification of energy end use, deep reductions in agricultural emissions, and some form of </w:t>
            </w:r>
            <w:r>
              <w:rPr>
                <w:rStyle w:val="Berschrift1Zchn"/>
                <w:b/>
                <w:bCs/>
                <w:color w:val="00A65D"/>
                <w:sz w:val="24"/>
                <w:szCs w:val="24"/>
              </w:rPr>
              <w:t>CDR</w:t>
            </w:r>
            <w:r>
              <w:rPr>
                <w:rStyle w:val="Berschrift1Zchn"/>
                <w:b w:val="false"/>
                <w:bCs w:val="false"/>
                <w:color w:val="000000"/>
                <w:sz w:val="24"/>
                <w:szCs w:val="24"/>
              </w:rPr>
              <w:t xml:space="preserve"> with carbon storage on land or sequestration in geological reservoirs.</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3</w:t>
            </w:r>
          </w:p>
        </w:tc>
        <w:tc>
          <w:tcPr>
            <w:tcW w:w="8200" w:type="dxa"/>
            <w:tcBorders/>
            <w:shd w:fill="auto" w:val="clear"/>
          </w:tcPr>
          <w:p>
            <w:pPr>
              <w:pStyle w:val="TextBody"/>
              <w:spacing w:before="0" w:after="140"/>
              <w:rPr/>
            </w:pPr>
            <w:r>
              <w:rPr>
                <w:rStyle w:val="Berschrift1Zchn"/>
                <w:b/>
                <w:bCs/>
                <w:color w:val="000000"/>
                <w:sz w:val="24"/>
                <w:szCs w:val="24"/>
              </w:rPr>
              <w:t xml:space="preserve">All analysed pathways limiting warming to 1.5°C with no or limited overshoot use </w:t>
            </w: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 xml:space="preserve">to some extent to neutralize emissions from sources for which no mitigation measures have been identified and, in most cases, also to achieve net negative emissions to return global warming to 1.5°C following a peak (high confidence).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4</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The faster reduction of net CO2 emissions in 1.5°C compared to 2°C pathways is predominantly achieved by measures that result in less CO2 being produced and emitted, and only to a smaller degree through additional </w:t>
            </w:r>
            <w:r>
              <w:rPr>
                <w:rStyle w:val="Berschrift1Zchn"/>
                <w:b/>
                <w:bCs/>
                <w:color w:val="00A65D"/>
                <w:sz w:val="24"/>
                <w:szCs w:val="24"/>
              </w:rPr>
              <w:t>CDR</w:t>
            </w:r>
            <w:r>
              <w:rPr>
                <w:rStyle w:val="Berschrift1Zchn"/>
                <w:b w:val="false"/>
                <w:bCs w:val="false"/>
                <w:color w:val="000000"/>
                <w:sz w:val="24"/>
                <w:szCs w:val="24"/>
              </w:rPr>
              <w:t xml:space="preserve">.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5</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Limitations on the speed, scale and societal acceptability of </w:t>
            </w:r>
            <w:r>
              <w:rPr>
                <w:rStyle w:val="Berschrift1Zchn"/>
                <w:b/>
                <w:bCs/>
                <w:color w:val="00A65D"/>
                <w:sz w:val="24"/>
                <w:szCs w:val="24"/>
              </w:rPr>
              <w:t>CDR</w:t>
            </w:r>
            <w:r>
              <w:rPr>
                <w:rStyle w:val="Berschrift1Zchn"/>
                <w:b w:val="false"/>
                <w:bCs w:val="false"/>
                <w:color w:val="000000"/>
                <w:sz w:val="24"/>
                <w:szCs w:val="24"/>
              </w:rPr>
              <w:t xml:space="preserve"> deployment also limit the conceivable extent of temperature overshoot.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6</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Limits to our understanding of how the carbon cycle responds to net negative emissions increase the uncertainty about the effectiveness of </w:t>
            </w:r>
            <w:r>
              <w:rPr>
                <w:rStyle w:val="Berschrift1Zchn"/>
                <w:b/>
                <w:bCs/>
                <w:color w:val="00A65D"/>
                <w:sz w:val="24"/>
                <w:szCs w:val="24"/>
              </w:rPr>
              <w:t>CDR</w:t>
            </w:r>
            <w:r>
              <w:rPr>
                <w:rStyle w:val="Berschrift1Zchn"/>
                <w:b w:val="false"/>
                <w:bCs w:val="false"/>
                <w:color w:val="000000"/>
                <w:sz w:val="24"/>
                <w:szCs w:val="24"/>
              </w:rPr>
              <w:t xml:space="preserve"> to decline temperatures after a peak.</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7</w:t>
            </w:r>
          </w:p>
        </w:tc>
        <w:tc>
          <w:tcPr>
            <w:tcW w:w="8200" w:type="dxa"/>
            <w:tcBorders/>
            <w:shd w:fill="auto" w:val="clear"/>
          </w:tcPr>
          <w:p>
            <w:pPr>
              <w:pStyle w:val="TextBody"/>
              <w:spacing w:before="0" w:after="140"/>
              <w:rPr/>
            </w:pP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deployed at scale is unproven, and reliance on such technology is a major risk in the ability to limit warming to 1.5°C</w:t>
            </w:r>
            <w:r>
              <w:rPr>
                <w:rStyle w:val="Berschrift1Zchn"/>
                <w:b w:val="false"/>
                <w:bCs w:val="false"/>
                <w:color w:val="000000"/>
                <w:sz w:val="24"/>
                <w:szCs w:val="24"/>
              </w:rPr>
              <w:t>.</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8</w:t>
            </w:r>
          </w:p>
        </w:tc>
        <w:tc>
          <w:tcPr>
            <w:tcW w:w="8200" w:type="dxa"/>
            <w:tcBorders/>
            <w:shd w:fill="auto" w:val="clear"/>
          </w:tcPr>
          <w:p>
            <w:pPr>
              <w:pStyle w:val="TextBody"/>
              <w:spacing w:before="0" w:after="140"/>
              <w:rPr/>
            </w:pP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 xml:space="preserve">is needed less in pathways with particularly strong emphasis on energy efficiency and low demand.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9</w:t>
            </w:r>
          </w:p>
        </w:tc>
        <w:tc>
          <w:tcPr>
            <w:tcW w:w="8200" w:type="dxa"/>
            <w:tcBorders/>
            <w:shd w:fill="auto" w:val="clear"/>
          </w:tcPr>
          <w:p>
            <w:pPr>
              <w:pStyle w:val="TextBody"/>
              <w:spacing w:before="0" w:after="140"/>
              <w:rPr/>
            </w:pPr>
            <w:r>
              <w:rPr>
                <w:rStyle w:val="Berschrift1Zchn"/>
                <w:b/>
                <w:bCs/>
                <w:color w:val="000000"/>
                <w:sz w:val="24"/>
                <w:szCs w:val="24"/>
              </w:rPr>
              <w:t>The scale and type of</w:t>
            </w:r>
            <w:r>
              <w:rPr>
                <w:rStyle w:val="Berschrift1Zchn"/>
                <w:b w:val="false"/>
                <w:bCs w:val="false"/>
                <w:color w:val="000000"/>
                <w:sz w:val="24"/>
                <w:szCs w:val="24"/>
              </w:rPr>
              <w:t xml:space="preserve"> </w:t>
            </w: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deployment varies widely across 1.5°C pathways, with different consequences for achieving sustainable development objectives (high confidence).</w:t>
            </w:r>
            <w:r>
              <w:rPr>
                <w:rStyle w:val="Berschrift1Zchn"/>
                <w:b w:val="false"/>
                <w:bCs w:val="false"/>
                <w:color w:val="000000"/>
                <w:sz w:val="24"/>
                <w:szCs w:val="24"/>
              </w:rPr>
              <w:t xml:space="preserve">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10</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Some pathways rely more on </w:t>
            </w:r>
            <w:r>
              <w:rPr>
                <w:rStyle w:val="Berschrift1Zchn"/>
                <w:b/>
                <w:bCs/>
                <w:color w:val="F58220"/>
                <w:sz w:val="24"/>
                <w:szCs w:val="24"/>
              </w:rPr>
              <w:t>bioenergy with carbon capture and storage (BECCS)</w:t>
            </w:r>
            <w:r>
              <w:rPr>
                <w:rStyle w:val="Berschrift1Zchn"/>
                <w:b w:val="false"/>
                <w:bCs w:val="false"/>
                <w:color w:val="000000"/>
                <w:sz w:val="24"/>
                <w:szCs w:val="24"/>
              </w:rPr>
              <w:t xml:space="preserve">, while others rely more on </w:t>
            </w:r>
            <w:r>
              <w:rPr>
                <w:rStyle w:val="Berschrift1Zchn"/>
                <w:b/>
                <w:bCs/>
                <w:color w:val="0066B3"/>
                <w:sz w:val="24"/>
                <w:szCs w:val="24"/>
              </w:rPr>
              <w:t>afforestation</w:t>
            </w:r>
            <w:r>
              <w:rPr>
                <w:rStyle w:val="Berschrift1Zchn"/>
                <w:b w:val="false"/>
                <w:bCs w:val="false"/>
                <w:color w:val="000000"/>
                <w:sz w:val="24"/>
                <w:szCs w:val="24"/>
              </w:rPr>
              <w:t xml:space="preserve">, which are the two </w:t>
            </w:r>
            <w:r>
              <w:rPr>
                <w:rStyle w:val="Berschrift1Zchn"/>
                <w:b/>
                <w:bCs/>
                <w:color w:val="00A65D"/>
                <w:sz w:val="24"/>
                <w:szCs w:val="24"/>
              </w:rPr>
              <w:t>CDR</w:t>
            </w:r>
            <w:r>
              <w:rPr>
                <w:rStyle w:val="Berschrift1Zchn"/>
                <w:b w:val="false"/>
                <w:bCs w:val="false"/>
                <w:color w:val="000000"/>
                <w:sz w:val="24"/>
                <w:szCs w:val="24"/>
              </w:rPr>
              <w:t xml:space="preserve"> methods most often included in integrated pathways. </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11</w:t>
            </w:r>
          </w:p>
        </w:tc>
        <w:tc>
          <w:tcPr>
            <w:tcW w:w="8200" w:type="dxa"/>
            <w:tcBorders/>
            <w:shd w:fill="auto" w:val="clear"/>
          </w:tcPr>
          <w:p>
            <w:pPr>
              <w:pStyle w:val="TextBody"/>
              <w:spacing w:before="0" w:after="140"/>
              <w:rPr/>
            </w:pPr>
            <w:r>
              <w:rPr>
                <w:rStyle w:val="Berschrift1Zchn"/>
                <w:b w:val="false"/>
                <w:bCs w:val="false"/>
                <w:color w:val="000000"/>
                <w:sz w:val="24"/>
                <w:szCs w:val="24"/>
              </w:rPr>
              <w:t xml:space="preserve">Bioenergy use is substantial in 1.5°C pathways with or without </w:t>
            </w:r>
            <w:r>
              <w:rPr>
                <w:rStyle w:val="Berschrift1Zchn"/>
                <w:b/>
                <w:bCs/>
                <w:color w:val="F58220"/>
                <w:sz w:val="24"/>
                <w:szCs w:val="24"/>
              </w:rPr>
              <w:t>BECCS</w:t>
            </w:r>
            <w:r>
              <w:rPr>
                <w:rStyle w:val="Berschrift1Zchn"/>
                <w:b w:val="false"/>
                <w:bCs w:val="false"/>
                <w:color w:val="000000"/>
                <w:sz w:val="24"/>
                <w:szCs w:val="24"/>
              </w:rPr>
              <w:t xml:space="preserve"> due to its multiple roles in decarbonizing energy use.</w:t>
            </w:r>
          </w:p>
        </w:tc>
        <w:tc>
          <w:tcPr>
            <w:tcW w:w="668" w:type="dxa"/>
            <w:tcBorders/>
            <w:shd w:fill="auto" w:val="clear"/>
          </w:tcPr>
          <w:p>
            <w:pPr>
              <w:pStyle w:val="NoSpacing"/>
              <w:rPr>
                <w:sz w:val="16"/>
                <w:szCs w:val="16"/>
              </w:rPr>
            </w:pPr>
            <w:r>
              <w:rPr>
                <w:sz w:val="16"/>
                <w:szCs w:val="16"/>
              </w:rPr>
              <w:t>ES</w:t>
            </w:r>
          </w:p>
        </w:tc>
      </w:tr>
      <w:tr>
        <w:trPr/>
        <w:tc>
          <w:tcPr>
            <w:tcW w:w="528" w:type="dxa"/>
            <w:tcBorders/>
            <w:shd w:fill="auto" w:val="clear"/>
          </w:tcPr>
          <w:p>
            <w:pPr>
              <w:pStyle w:val="NoSpacing"/>
              <w:rPr>
                <w:sz w:val="20"/>
                <w:szCs w:val="20"/>
              </w:rPr>
            </w:pPr>
            <w:r>
              <w:rPr>
                <w:sz w:val="20"/>
                <w:szCs w:val="20"/>
              </w:rPr>
              <w:t>12</w:t>
            </w:r>
          </w:p>
        </w:tc>
        <w:tc>
          <w:tcPr>
            <w:tcW w:w="8200" w:type="dxa"/>
            <w:tcBorders/>
            <w:shd w:fill="auto" w:val="clear"/>
          </w:tcPr>
          <w:p>
            <w:pPr>
              <w:pStyle w:val="TextBody"/>
              <w:spacing w:before="0" w:after="140"/>
              <w:rPr/>
            </w:pPr>
            <w:r>
              <w:rPr>
                <w:b w:val="false"/>
                <w:bCs w:val="false"/>
              </w:rPr>
              <w:t xml:space="preserve">Those scenarios explore 1.5°C-consistent pathways from multiple perspectives Chapter 2 (see Supplementary Material 2.SM.1.3), examining sensitivity to assumptions regarding </w:t>
            </w:r>
            <w:r>
              <w:rPr>
                <w:b w:val="false"/>
                <w:bCs w:val="false"/>
                <w:i/>
                <w:iCs/>
              </w:rPr>
              <w:t>[…]</w:t>
            </w:r>
            <w:r>
              <w:rPr>
                <w:b w:val="false"/>
                <w:bCs w:val="false"/>
              </w:rPr>
              <w:t xml:space="preserve"> the use of bioenergy and the availability and desirability of </w:t>
            </w:r>
            <w:r>
              <w:rPr>
                <w:b/>
                <w:bCs/>
                <w:color w:val="00A65D"/>
              </w:rPr>
              <w:t>carbon dioxide removal (CDR)</w:t>
            </w:r>
            <w:r>
              <w:rPr>
                <w:b w:val="false"/>
                <w:bCs w:val="false"/>
              </w:rPr>
              <w:t xml:space="preserve"> technologies.</w:t>
            </w:r>
          </w:p>
        </w:tc>
        <w:tc>
          <w:tcPr>
            <w:tcW w:w="668" w:type="dxa"/>
            <w:tcBorders/>
            <w:shd w:fill="auto" w:val="clear"/>
          </w:tcPr>
          <w:p>
            <w:pPr>
              <w:pStyle w:val="NoSpacing"/>
              <w:rPr>
                <w:sz w:val="16"/>
                <w:szCs w:val="16"/>
              </w:rPr>
            </w:pPr>
            <w:r>
              <w:rPr>
                <w:sz w:val="16"/>
                <w:szCs w:val="16"/>
              </w:rPr>
              <w:t>2.1.3</w:t>
            </w:r>
          </w:p>
        </w:tc>
      </w:tr>
      <w:tr>
        <w:trPr/>
        <w:tc>
          <w:tcPr>
            <w:tcW w:w="528" w:type="dxa"/>
            <w:tcBorders/>
            <w:shd w:fill="auto" w:val="clear"/>
          </w:tcPr>
          <w:p>
            <w:pPr>
              <w:pStyle w:val="NoSpacing"/>
              <w:rPr>
                <w:sz w:val="20"/>
                <w:szCs w:val="20"/>
              </w:rPr>
            </w:pPr>
            <w:r>
              <w:rPr>
                <w:sz w:val="20"/>
                <w:szCs w:val="20"/>
              </w:rPr>
              <w:t>13</w:t>
            </w:r>
          </w:p>
        </w:tc>
        <w:tc>
          <w:tcPr>
            <w:tcW w:w="8200" w:type="dxa"/>
            <w:tcBorders/>
            <w:shd w:fill="auto" w:val="clear"/>
          </w:tcPr>
          <w:p>
            <w:pPr>
              <w:pStyle w:val="TextBody"/>
              <w:spacing w:before="0" w:after="140"/>
              <w:rPr/>
            </w:pPr>
            <w:r>
              <w:rPr>
                <w:b w:val="false"/>
                <w:bCs w:val="false"/>
              </w:rPr>
              <w:t xml:space="preserve">These are chosen in particular to illustrate the spectrum of CO2 emissions reduction patterns consistent with 1.5°C, ranging from very rapid and deep near-term decreases, facilitated by efficiency and demand-side measures that lead to limited </w:t>
            </w:r>
            <w:r>
              <w:rPr>
                <w:b/>
                <w:bCs/>
                <w:color w:val="00A65D"/>
              </w:rPr>
              <w:t>CDR</w:t>
            </w:r>
            <w:r>
              <w:rPr>
                <w:b w:val="false"/>
                <w:bCs w:val="false"/>
              </w:rPr>
              <w:t xml:space="preserve"> requirements, to relatively slower but still rapid emissions reductions that lead to a temperature overshoot and necessitate large </w:t>
            </w:r>
            <w:r>
              <w:rPr>
                <w:b/>
                <w:bCs/>
                <w:color w:val="00A65D"/>
              </w:rPr>
              <w:t>CDR</w:t>
            </w:r>
            <w:r>
              <w:rPr>
                <w:b w:val="false"/>
                <w:bCs w:val="false"/>
              </w:rPr>
              <w:t xml:space="preserve"> deployment later in the century </w:t>
            </w:r>
            <w:r>
              <w:rPr>
                <w:b/>
                <w:bCs/>
                <w:color w:val="CE181E"/>
              </w:rPr>
              <w:t>(Section 2.3)</w:t>
            </w:r>
            <w:r>
              <w:rPr>
                <w:b w:val="false"/>
                <w:bCs w:val="false"/>
              </w:rPr>
              <w:t>.</w:t>
            </w:r>
          </w:p>
        </w:tc>
        <w:tc>
          <w:tcPr>
            <w:tcW w:w="668" w:type="dxa"/>
            <w:tcBorders/>
            <w:shd w:fill="auto" w:val="clear"/>
          </w:tcPr>
          <w:p>
            <w:pPr>
              <w:pStyle w:val="NoSpacing"/>
              <w:rPr>
                <w:sz w:val="16"/>
                <w:szCs w:val="16"/>
              </w:rPr>
            </w:pPr>
            <w:r>
              <w:rPr>
                <w:sz w:val="16"/>
                <w:szCs w:val="16"/>
              </w:rPr>
              <w:t>2.1.3</w:t>
            </w:r>
          </w:p>
        </w:tc>
      </w:tr>
      <w:tr>
        <w:trPr/>
        <w:tc>
          <w:tcPr>
            <w:tcW w:w="528" w:type="dxa"/>
            <w:tcBorders/>
            <w:shd w:fill="auto" w:val="clear"/>
          </w:tcPr>
          <w:p>
            <w:pPr>
              <w:pStyle w:val="NoSpacing"/>
              <w:rPr>
                <w:sz w:val="20"/>
                <w:szCs w:val="20"/>
              </w:rPr>
            </w:pPr>
            <w:r>
              <w:rPr>
                <w:sz w:val="20"/>
                <w:szCs w:val="20"/>
              </w:rPr>
              <w:t>14</w:t>
            </w:r>
          </w:p>
        </w:tc>
        <w:tc>
          <w:tcPr>
            <w:tcW w:w="8200" w:type="dxa"/>
            <w:tcBorders/>
            <w:shd w:fill="auto" w:val="clear"/>
          </w:tcPr>
          <w:p>
            <w:pPr>
              <w:pStyle w:val="TextBody"/>
              <w:spacing w:before="0" w:after="140"/>
              <w:rPr/>
            </w:pPr>
            <w:r>
              <w:rPr>
                <w:b w:val="false"/>
                <w:bCs w:val="false"/>
              </w:rPr>
              <w:t xml:space="preserve">This includes low-demand scenarios (Grubler et al., 2018; van Vuuren et al., 2018), scenarios taking into account a larger set of sustainable development goals (Bertram et al., 2018), scenarios with restricted availability of </w:t>
            </w:r>
            <w:r>
              <w:rPr>
                <w:b/>
                <w:bCs/>
                <w:color w:val="00A65D"/>
              </w:rPr>
              <w:t>CDR</w:t>
            </w:r>
            <w:r>
              <w:rPr>
                <w:b w:val="false"/>
                <w:bCs w:val="false"/>
              </w:rPr>
              <w:t xml:space="preserve"> technologies (Bauer et al., 2018; Grubler et al., 2018; Holz et al., 2018b; Kriegler et al., 2018a; Strefler et al., 2018b; van Vuuren et al., 2018), scenarios with near-term action dominated by regulatory policies (Kriegler et al., 2018a) and scenario variations across the SSPs (Riahi et al., 2017; Rogelj et al., 2018). </w:t>
            </w:r>
          </w:p>
        </w:tc>
        <w:tc>
          <w:tcPr>
            <w:tcW w:w="668" w:type="dxa"/>
            <w:tcBorders/>
            <w:shd w:fill="auto" w:val="clear"/>
          </w:tcPr>
          <w:p>
            <w:pPr>
              <w:pStyle w:val="NoSpacing"/>
              <w:rPr>
                <w:sz w:val="16"/>
                <w:szCs w:val="16"/>
              </w:rPr>
            </w:pPr>
            <w:r>
              <w:rPr>
                <w:sz w:val="16"/>
                <w:szCs w:val="16"/>
              </w:rPr>
              <w:t>2.1.4</w:t>
            </w:r>
          </w:p>
        </w:tc>
      </w:tr>
      <w:tr>
        <w:trPr/>
        <w:tc>
          <w:tcPr>
            <w:tcW w:w="528" w:type="dxa"/>
            <w:tcBorders/>
            <w:shd w:fill="auto" w:val="clear"/>
          </w:tcPr>
          <w:p>
            <w:pPr>
              <w:pStyle w:val="NoSpacing"/>
              <w:rPr>
                <w:sz w:val="20"/>
                <w:szCs w:val="20"/>
              </w:rPr>
            </w:pPr>
            <w:r>
              <w:rPr>
                <w:sz w:val="20"/>
                <w:szCs w:val="20"/>
              </w:rPr>
              <w:t>15</w:t>
            </w:r>
          </w:p>
        </w:tc>
        <w:tc>
          <w:tcPr>
            <w:tcW w:w="8200" w:type="dxa"/>
            <w:tcBorders/>
            <w:shd w:fill="auto" w:val="clear"/>
          </w:tcPr>
          <w:p>
            <w:pPr>
              <w:pStyle w:val="TextBody"/>
              <w:spacing w:before="0" w:after="140"/>
              <w:rPr/>
            </w:pPr>
            <w:r>
              <w:rPr>
                <w:b w:val="false"/>
                <w:bCs w:val="false"/>
              </w:rPr>
              <w:t xml:space="preserve">IAM results depend upon multiple underlying assumptions, for example, the extent to which global markets and economies are assumed to operate frictionless and policies are cost-optimized, assumptions about technological progress and availability and costs of mitigation and </w:t>
            </w:r>
            <w:r>
              <w:rPr>
                <w:b/>
                <w:bCs/>
                <w:color w:val="00A65D"/>
              </w:rPr>
              <w:t>CDR</w:t>
            </w:r>
            <w:r>
              <w:rPr>
                <w:b w:val="false"/>
                <w:bCs w:val="false"/>
              </w:rPr>
              <w:t xml:space="preserve"> measures, assumptions about underlying socio-economic developments and future energy, food and materials demand, and assumptions about the geographic and temporal pattern of future regulatory and carbon pricing policies (see </w:t>
            </w:r>
            <w:r>
              <w:rPr>
                <w:b/>
                <w:bCs/>
                <w:color w:val="CE181E"/>
              </w:rPr>
              <w:t>Supplementary Material 2.SM.1.2</w:t>
            </w:r>
            <w:r>
              <w:rPr>
                <w:b w:val="false"/>
                <w:bCs w:val="false"/>
              </w:rPr>
              <w:t xml:space="preserve"> for additional discussion on IAMs and their limitations).</w:t>
            </w:r>
          </w:p>
        </w:tc>
        <w:tc>
          <w:tcPr>
            <w:tcW w:w="668" w:type="dxa"/>
            <w:tcBorders/>
            <w:shd w:fill="auto" w:val="clear"/>
          </w:tcPr>
          <w:p>
            <w:pPr>
              <w:pStyle w:val="NoSpacing"/>
              <w:rPr>
                <w:sz w:val="16"/>
                <w:szCs w:val="16"/>
              </w:rPr>
            </w:pPr>
            <w:r>
              <w:rPr>
                <w:sz w:val="16"/>
                <w:szCs w:val="16"/>
              </w:rPr>
              <w:t>2.1.4</w:t>
            </w:r>
          </w:p>
        </w:tc>
      </w:tr>
      <w:tr>
        <w:trPr/>
        <w:tc>
          <w:tcPr>
            <w:tcW w:w="528" w:type="dxa"/>
            <w:tcBorders/>
            <w:shd w:fill="auto" w:val="clear"/>
          </w:tcPr>
          <w:p>
            <w:pPr>
              <w:pStyle w:val="NoSpacing"/>
              <w:rPr>
                <w:sz w:val="20"/>
                <w:szCs w:val="20"/>
              </w:rPr>
            </w:pPr>
            <w:r>
              <w:rPr>
                <w:sz w:val="20"/>
                <w:szCs w:val="20"/>
              </w:rPr>
              <w:t>16</w:t>
            </w:r>
          </w:p>
        </w:tc>
        <w:tc>
          <w:tcPr>
            <w:tcW w:w="8200" w:type="dxa"/>
            <w:tcBorders/>
            <w:shd w:fill="auto" w:val="clear"/>
          </w:tcPr>
          <w:p>
            <w:pPr>
              <w:pStyle w:val="TextBody"/>
              <w:spacing w:before="0" w:after="140"/>
              <w:rPr/>
            </w:pPr>
            <w:r>
              <w:rPr>
                <w:b w:val="false"/>
                <w:bCs w:val="false"/>
              </w:rPr>
              <w:t xml:space="preserve">However, if these budgets are exceeded and the use of </w:t>
            </w:r>
            <w:r>
              <w:rPr>
                <w:b/>
                <w:bCs/>
                <w:color w:val="00A65D"/>
              </w:rPr>
              <w:t>CDR</w:t>
            </w:r>
            <w:r>
              <w:rPr>
                <w:b w:val="false"/>
                <w:bCs w:val="false"/>
              </w:rPr>
              <w:t xml:space="preserve"> (see </w:t>
            </w:r>
            <w:r>
              <w:rPr>
                <w:b/>
                <w:bCs/>
                <w:color w:val="CE181E"/>
              </w:rPr>
              <w:t>Sections 2.3 and 2.4</w:t>
            </w:r>
            <w:r>
              <w:rPr>
                <w:b w:val="false"/>
                <w:bCs w:val="false"/>
              </w:rPr>
              <w:t>) is envisaged to return cumulative CO2 emissions to within the carbon budget at a later point in time, additional uncertainties apply because the TCRE is different under increasing and decreasing atmospheric CO2 concentrations due to ocean thermal and carbon cycle inertia (Herrington and Zickfeld, 2014; Krasting et al., 2014; Zickfeld et al., 2016).</w:t>
            </w:r>
          </w:p>
        </w:tc>
        <w:tc>
          <w:tcPr>
            <w:tcW w:w="668" w:type="dxa"/>
            <w:tcBorders/>
            <w:shd w:fill="auto" w:val="clear"/>
          </w:tcPr>
          <w:p>
            <w:pPr>
              <w:pStyle w:val="NoSpacing"/>
              <w:rPr>
                <w:sz w:val="16"/>
                <w:szCs w:val="16"/>
              </w:rPr>
            </w:pPr>
            <w:r>
              <w:rPr>
                <w:sz w:val="16"/>
                <w:szCs w:val="16"/>
              </w:rPr>
              <w:t>2.2.2.2</w:t>
            </w:r>
          </w:p>
        </w:tc>
      </w:tr>
      <w:tr>
        <w:trPr/>
        <w:tc>
          <w:tcPr>
            <w:tcW w:w="528" w:type="dxa"/>
            <w:tcBorders/>
            <w:shd w:fill="auto" w:val="clear"/>
          </w:tcPr>
          <w:p>
            <w:pPr>
              <w:pStyle w:val="NoSpacing"/>
              <w:rPr>
                <w:sz w:val="20"/>
                <w:szCs w:val="20"/>
              </w:rPr>
            </w:pPr>
            <w:r>
              <w:rPr>
                <w:sz w:val="20"/>
                <w:szCs w:val="20"/>
              </w:rPr>
              <w:t>17</w:t>
            </w:r>
          </w:p>
        </w:tc>
        <w:tc>
          <w:tcPr>
            <w:tcW w:w="8200" w:type="dxa"/>
            <w:tcBorders/>
            <w:shd w:fill="auto" w:val="clear"/>
          </w:tcPr>
          <w:p>
            <w:pPr>
              <w:pStyle w:val="TextBody"/>
              <w:spacing w:before="0" w:after="140"/>
              <w:rPr/>
            </w:pPr>
            <w:r>
              <w:rPr>
                <w:b w:val="false"/>
                <w:bCs w:val="false"/>
                <w:color w:val="auto"/>
              </w:rPr>
              <w:t xml:space="preserve">IAMs include a wide variety of mitigation options, as well as measures that achieve </w:t>
            </w:r>
            <w:r>
              <w:rPr>
                <w:b/>
                <w:bCs/>
                <w:color w:val="00A65D"/>
              </w:rPr>
              <w:t>CDR</w:t>
            </w:r>
            <w:r>
              <w:rPr>
                <w:b w:val="false"/>
                <w:bCs w:val="false"/>
                <w:color w:val="auto"/>
              </w:rPr>
              <w:t xml:space="preserve"> from the atmosphere (Krey et al., 2014a, b) (see </w:t>
            </w:r>
            <w:r>
              <w:rPr>
                <w:b/>
                <w:bCs/>
                <w:color w:val="CE181E"/>
              </w:rPr>
              <w:t>Chapter 4, Section 4.3</w:t>
            </w:r>
            <w:r>
              <w:rPr>
                <w:b w:val="false"/>
                <w:bCs w:val="false"/>
                <w:color w:val="auto"/>
              </w:rPr>
              <w:t xml:space="preserve"> for a broad assessment of available mitigation measures).</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18</w:t>
            </w:r>
          </w:p>
        </w:tc>
        <w:tc>
          <w:tcPr>
            <w:tcW w:w="8200" w:type="dxa"/>
            <w:tcBorders/>
            <w:shd w:fill="auto" w:val="clear"/>
          </w:tcPr>
          <w:p>
            <w:pPr>
              <w:pStyle w:val="TextBody"/>
              <w:spacing w:before="0" w:after="140"/>
              <w:rPr/>
            </w:pPr>
            <w:r>
              <w:rPr>
                <w:b w:val="false"/>
                <w:bCs w:val="false"/>
                <w:color w:val="auto"/>
              </w:rPr>
              <w:t xml:space="preserve">The literature on the many diverse </w:t>
            </w:r>
            <w:r>
              <w:rPr>
                <w:b/>
                <w:bCs/>
                <w:color w:val="00A65D"/>
              </w:rPr>
              <w:t>CDR</w:t>
            </w:r>
            <w:r>
              <w:rPr>
                <w:b w:val="false"/>
                <w:bCs w:val="false"/>
                <w:color w:val="auto"/>
              </w:rPr>
              <w:t xml:space="preserve"> options only recently started to develop strongly (Minx et al., 2017)</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19</w:t>
            </w:r>
          </w:p>
        </w:tc>
        <w:tc>
          <w:tcPr>
            <w:tcW w:w="8200" w:type="dxa"/>
            <w:tcBorders/>
            <w:shd w:fill="auto" w:val="clear"/>
          </w:tcPr>
          <w:p>
            <w:pPr>
              <w:pStyle w:val="TextBody"/>
              <w:spacing w:before="0" w:after="140"/>
              <w:rPr/>
            </w:pPr>
            <w:r>
              <w:rPr>
                <w:b w:val="false"/>
                <w:bCs w:val="false"/>
                <w:color w:val="auto"/>
              </w:rPr>
              <w:t xml:space="preserve">IAMs mostly incorporate </w:t>
            </w:r>
            <w:r>
              <w:rPr>
                <w:b/>
                <w:bCs/>
                <w:color w:val="0066B3"/>
              </w:rPr>
              <w:t>afforestation</w:t>
            </w:r>
            <w:r>
              <w:rPr>
                <w:b w:val="false"/>
                <w:bCs w:val="false"/>
                <w:color w:val="auto"/>
              </w:rPr>
              <w:t xml:space="preserve"> and </w:t>
            </w:r>
            <w:r>
              <w:rPr>
                <w:b/>
                <w:bCs/>
                <w:color w:val="F58220"/>
              </w:rPr>
              <w:t>bioenergy with carbon capture and storage (BECCS)</w:t>
            </w:r>
            <w:r>
              <w:rPr>
                <w:b w:val="false"/>
                <w:bCs w:val="false"/>
                <w:color w:val="auto"/>
              </w:rPr>
              <w:t xml:space="preserve"> and only in few cases also include direct air capture with CCS (DACCS) (Chen and Tavoni, 2013; Marcucci et al., 2017; Strefler et al., 2018b).</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20</w:t>
            </w:r>
          </w:p>
        </w:tc>
        <w:tc>
          <w:tcPr>
            <w:tcW w:w="8200" w:type="dxa"/>
            <w:tcBorders/>
            <w:shd w:fill="auto" w:val="clear"/>
          </w:tcPr>
          <w:p>
            <w:pPr>
              <w:pStyle w:val="TextBody"/>
              <w:spacing w:before="0" w:after="140"/>
              <w:rPr/>
            </w:pPr>
            <w:r>
              <w:rPr>
                <w:b w:val="false"/>
                <w:bCs w:val="false"/>
                <w:color w:val="auto"/>
              </w:rPr>
              <w:t xml:space="preserve">Several studies have either directly or indirectly explored the dependence of 1.5°C-consistent pathways on specific (sets of) mitigation and </w:t>
            </w:r>
            <w:r>
              <w:rPr>
                <w:b/>
                <w:bCs/>
                <w:color w:val="00A65D"/>
              </w:rPr>
              <w:t>CDR</w:t>
            </w:r>
            <w:r>
              <w:rPr>
                <w:b w:val="false"/>
                <w:bCs w:val="false"/>
                <w:color w:val="auto"/>
              </w:rPr>
              <w:t xml:space="preserve"> technologies (Bauer et al., 2018; Grubler et al., 2018; Holz et al., 2018b; Kriegler et al., 2018a; Liu et al., 2018; Rogelj et al., 2018; Strefler et al., 2018b; van Vuuren et al., 2018). </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21</w:t>
            </w:r>
          </w:p>
        </w:tc>
        <w:tc>
          <w:tcPr>
            <w:tcW w:w="8200" w:type="dxa"/>
            <w:tcBorders/>
            <w:shd w:fill="auto" w:val="clear"/>
          </w:tcPr>
          <w:p>
            <w:pPr>
              <w:pStyle w:val="TextBody"/>
              <w:spacing w:before="0" w:after="140"/>
              <w:rPr/>
            </w:pPr>
            <w:r>
              <w:rPr>
                <w:b w:val="false"/>
                <w:bCs w:val="false"/>
                <w:color w:val="auto"/>
              </w:rPr>
              <w:t xml:space="preserve">Enhancing carbon sequestration in soils (Paustian et al., 2016; Frank et al., 2017; Zomer et al., 2017) can provide the dual benefit of </w:t>
            </w:r>
            <w:r>
              <w:rPr>
                <w:b/>
                <w:bCs/>
                <w:color w:val="00A65D"/>
              </w:rPr>
              <w:t>CDR</w:t>
            </w:r>
            <w:r>
              <w:rPr>
                <w:b w:val="false"/>
                <w:bCs w:val="false"/>
                <w:color w:val="auto"/>
              </w:rPr>
              <w:t xml:space="preserve"> and improved soil quality. </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22</w:t>
            </w:r>
          </w:p>
        </w:tc>
        <w:tc>
          <w:tcPr>
            <w:tcW w:w="8200" w:type="dxa"/>
            <w:tcBorders/>
            <w:shd w:fill="auto" w:val="clear"/>
          </w:tcPr>
          <w:p>
            <w:pPr>
              <w:pStyle w:val="TextBody"/>
              <w:spacing w:before="0" w:after="140"/>
              <w:rPr/>
            </w:pPr>
            <w:r>
              <w:rPr>
                <w:b w:val="false"/>
                <w:bCs w:val="false"/>
                <w:color w:val="auto"/>
              </w:rPr>
              <w:t xml:space="preserve">In addition, the literature discusses </w:t>
            </w:r>
            <w:r>
              <w:rPr>
                <w:b/>
                <w:bCs/>
                <w:color w:val="00A65D"/>
              </w:rPr>
              <w:t>CDR</w:t>
            </w:r>
            <w:r>
              <w:rPr>
                <w:b w:val="false"/>
                <w:bCs w:val="false"/>
                <w:color w:val="auto"/>
              </w:rPr>
              <w:t xml:space="preserve"> measures to permanently sequester atmospheric carbon in rocks (mineralization and enhanced weathering, see </w:t>
            </w:r>
            <w:r>
              <w:rPr>
                <w:b/>
                <w:bCs/>
                <w:color w:val="CE181E"/>
              </w:rPr>
              <w:t>Chapter 4, Section 4.3.7</w:t>
            </w:r>
            <w:r>
              <w:rPr>
                <w:b w:val="false"/>
                <w:bCs w:val="false"/>
                <w:color w:val="auto"/>
              </w:rPr>
              <w:t>) as well as carbon capture and usage in long-lived products like plastics and carbon fibres (Mazzotti et al., 2005; Hartmann et al., 2013).</w:t>
            </w:r>
          </w:p>
        </w:tc>
        <w:tc>
          <w:tcPr>
            <w:tcW w:w="668" w:type="dxa"/>
            <w:tcBorders/>
            <w:shd w:fill="auto" w:val="clear"/>
          </w:tcPr>
          <w:p>
            <w:pPr>
              <w:pStyle w:val="NoSpacing"/>
              <w:rPr>
                <w:sz w:val="16"/>
                <w:szCs w:val="16"/>
              </w:rPr>
            </w:pPr>
            <w:r>
              <w:rPr>
                <w:sz w:val="16"/>
                <w:szCs w:val="16"/>
              </w:rPr>
              <w:t>2.3.1.2</w:t>
            </w:r>
          </w:p>
        </w:tc>
      </w:tr>
      <w:tr>
        <w:trPr/>
        <w:tc>
          <w:tcPr>
            <w:tcW w:w="528" w:type="dxa"/>
            <w:tcBorders/>
            <w:shd w:fill="auto" w:val="clear"/>
          </w:tcPr>
          <w:p>
            <w:pPr>
              <w:pStyle w:val="NoSpacing"/>
              <w:rPr>
                <w:sz w:val="20"/>
                <w:szCs w:val="20"/>
              </w:rPr>
            </w:pPr>
            <w:r>
              <w:rPr>
                <w:sz w:val="20"/>
                <w:szCs w:val="20"/>
              </w:rPr>
              <w:t>23</w:t>
            </w:r>
          </w:p>
        </w:tc>
        <w:tc>
          <w:tcPr>
            <w:tcW w:w="8200" w:type="dxa"/>
            <w:tcBorders/>
            <w:shd w:fill="auto" w:val="clear"/>
          </w:tcPr>
          <w:p>
            <w:pPr>
              <w:pStyle w:val="TextBody"/>
              <w:spacing w:before="0" w:after="140"/>
              <w:rPr/>
            </w:pPr>
            <w:r>
              <w:rPr/>
              <w:t>It aims to provide an introduction to the detailed assessment of the emissions evolution (</w:t>
            </w:r>
            <w:r>
              <w:rPr>
                <w:b/>
                <w:bCs/>
                <w:color w:val="CE181E"/>
              </w:rPr>
              <w:t>Section 2.3.3</w:t>
            </w:r>
            <w:r>
              <w:rPr/>
              <w:t xml:space="preserve">), </w:t>
            </w:r>
            <w:r>
              <w:rPr>
                <w:b/>
                <w:bCs/>
                <w:color w:val="00A65D"/>
              </w:rPr>
              <w:t>CDR</w:t>
            </w:r>
            <w:r>
              <w:rPr/>
              <w:t xml:space="preserve"> deployment (</w:t>
            </w:r>
            <w:r>
              <w:rPr>
                <w:b/>
                <w:bCs/>
                <w:color w:val="CE181E"/>
              </w:rPr>
              <w:t>Section 2.3.4</w:t>
            </w:r>
            <w:r>
              <w:rPr/>
              <w:t>), energy (</w:t>
            </w:r>
            <w:r>
              <w:rPr>
                <w:b/>
                <w:bCs/>
                <w:color w:val="CE181E"/>
              </w:rPr>
              <w:t>Section 2.4.1, 2.4.2</w:t>
            </w:r>
            <w:r>
              <w:rPr/>
              <w:t>), industry (</w:t>
            </w:r>
            <w:r>
              <w:rPr>
                <w:b/>
                <w:bCs/>
                <w:color w:val="CE181E"/>
              </w:rPr>
              <w:t>2.4.3.1</w:t>
            </w:r>
            <w:r>
              <w:rPr/>
              <w:t>), buildings (</w:t>
            </w:r>
            <w:r>
              <w:rPr>
                <w:b/>
                <w:bCs/>
                <w:color w:val="CE181E"/>
              </w:rPr>
              <w:t>2.4.3.2</w:t>
            </w:r>
            <w:r>
              <w:rPr/>
              <w:t>), transport (</w:t>
            </w:r>
            <w:r>
              <w:rPr>
                <w:b/>
                <w:bCs/>
                <w:color w:val="CE181E"/>
              </w:rPr>
              <w:t>2.4.3.3</w:t>
            </w:r>
            <w:r>
              <w:rPr/>
              <w:t>) and land-use transformations (</w:t>
            </w:r>
            <w:r>
              <w:rPr>
                <w:b/>
                <w:bCs/>
                <w:color w:val="CE181E"/>
              </w:rPr>
              <w:t>Section 2.4.4</w:t>
            </w:r>
            <w:r>
              <w:rPr/>
              <w:t>) in 1.5°C-consistent pathways.</w:t>
            </w:r>
          </w:p>
        </w:tc>
        <w:tc>
          <w:tcPr>
            <w:tcW w:w="668" w:type="dxa"/>
            <w:tcBorders/>
            <w:shd w:fill="auto" w:val="clear"/>
          </w:tcPr>
          <w:p>
            <w:pPr>
              <w:pStyle w:val="NoSpacing"/>
              <w:rPr>
                <w:sz w:val="16"/>
                <w:szCs w:val="16"/>
              </w:rPr>
            </w:pPr>
            <w:r>
              <w:rPr>
                <w:sz w:val="16"/>
                <w:szCs w:val="16"/>
              </w:rPr>
              <w:t>2.3.2</w:t>
            </w:r>
          </w:p>
        </w:tc>
      </w:tr>
      <w:tr>
        <w:trPr/>
        <w:tc>
          <w:tcPr>
            <w:tcW w:w="528" w:type="dxa"/>
            <w:tcBorders/>
            <w:shd w:fill="auto" w:val="clear"/>
          </w:tcPr>
          <w:p>
            <w:pPr>
              <w:pStyle w:val="NoSpacing"/>
              <w:rPr>
                <w:sz w:val="20"/>
                <w:szCs w:val="20"/>
              </w:rPr>
            </w:pPr>
            <w:r>
              <w:rPr>
                <w:sz w:val="20"/>
                <w:szCs w:val="20"/>
              </w:rPr>
              <w:t>24</w:t>
            </w:r>
          </w:p>
        </w:tc>
        <w:tc>
          <w:tcPr>
            <w:tcW w:w="8200" w:type="dxa"/>
            <w:tcBorders/>
            <w:shd w:fill="auto" w:val="clear"/>
          </w:tcPr>
          <w:p>
            <w:pPr>
              <w:pStyle w:val="TextBody"/>
              <w:spacing w:before="0" w:after="140"/>
              <w:rPr/>
            </w:pPr>
            <w:r>
              <w:rPr/>
              <w:t xml:space="preserve">Emissions can be apportioned differently across sectors, for example, by focussing on reducing the overall amount of CO2 produced in the energy end-use sectors, and using limited contributions of </w:t>
            </w:r>
            <w:r>
              <w:rPr>
                <w:b/>
                <w:bCs/>
                <w:color w:val="0066B3"/>
              </w:rPr>
              <w:t>CDR by the AFOLU sector</w:t>
            </w:r>
            <w:r>
              <w:rPr/>
              <w:t xml:space="preserve"> (</w:t>
            </w:r>
            <w:r>
              <w:rPr>
                <w:b/>
                <w:bCs/>
                <w:color w:val="0066B3"/>
              </w:rPr>
              <w:t>afforestation</w:t>
            </w:r>
            <w:r>
              <w:rPr/>
              <w:t xml:space="preserve"> and reforestation, S1 and LED pathways in </w:t>
            </w:r>
            <w:r>
              <w:rPr>
                <w:b/>
                <w:bCs/>
                <w:color w:val="CE181E"/>
              </w:rPr>
              <w:t>Figure 2.5</w:t>
            </w:r>
            <w:r>
              <w:rPr/>
              <w:t xml:space="preserve">) (Grubler et al., 2018; Holz et al., 2018b; van Vuuren et al., 2018), or by being more lenient about the amount of CO2 that continues to be produced in the above-mentioned end-use sectors (both by 2030 and mid-century) and strongly relying on technological </w:t>
            </w:r>
            <w:r>
              <w:rPr>
                <w:b/>
                <w:bCs/>
                <w:color w:val="00A65D"/>
              </w:rPr>
              <w:t>CDR</w:t>
            </w:r>
            <w:r>
              <w:rPr/>
              <w:t xml:space="preserve"> options like </w:t>
            </w:r>
            <w:r>
              <w:rPr>
                <w:b/>
                <w:bCs/>
                <w:color w:val="F58220"/>
              </w:rPr>
              <w:t>BECCS</w:t>
            </w:r>
            <w:r>
              <w:rPr/>
              <w:t xml:space="preserve"> (</w:t>
            </w:r>
            <w:r>
              <w:rPr>
                <w:b/>
                <w:bCs/>
                <w:color w:val="CE181E"/>
              </w:rPr>
              <w:t>S2 and S5 pathways in Figure 2.5</w:t>
            </w:r>
            <w:r>
              <w:rPr/>
              <w:t xml:space="preserve">) (Luderer et al., 2018; Rogelj et al., 2018).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25</w:t>
            </w:r>
          </w:p>
        </w:tc>
        <w:tc>
          <w:tcPr>
            <w:tcW w:w="8200" w:type="dxa"/>
            <w:tcBorders/>
            <w:shd w:fill="auto" w:val="clear"/>
          </w:tcPr>
          <w:p>
            <w:pPr>
              <w:pStyle w:val="TextBody"/>
              <w:spacing w:before="0" w:after="140"/>
              <w:rPr/>
            </w:pPr>
            <w:r>
              <w:rPr/>
              <w:t xml:space="preserve">Those pathways differ not only in terms of their deployment of mitigation and </w:t>
            </w:r>
            <w:r>
              <w:rPr>
                <w:b/>
                <w:bCs/>
                <w:color w:val="00A65D"/>
              </w:rPr>
              <w:t>CDR</w:t>
            </w:r>
            <w:r>
              <w:rPr/>
              <w:t xml:space="preserve"> measures (</w:t>
            </w:r>
            <w:r>
              <w:rPr>
                <w:b/>
                <w:bCs/>
                <w:color w:val="CE181E"/>
              </w:rPr>
              <w:t>Sections 2.3.4 and 2.4</w:t>
            </w:r>
            <w:r>
              <w:rPr/>
              <w:t>), but also in terms of the resulting temperature overshoot (</w:t>
            </w:r>
            <w:r>
              <w:rPr>
                <w:b/>
                <w:bCs/>
                <w:color w:val="CE181E"/>
              </w:rPr>
              <w:t>Figure 2.1</w:t>
            </w:r>
            <w:r>
              <w:rPr/>
              <w:t xml:space="preserve">).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26</w:t>
            </w:r>
          </w:p>
        </w:tc>
        <w:tc>
          <w:tcPr>
            <w:tcW w:w="8200" w:type="dxa"/>
            <w:tcBorders/>
            <w:shd w:fill="auto" w:val="clear"/>
          </w:tcPr>
          <w:p>
            <w:pPr>
              <w:pStyle w:val="TextBody"/>
              <w:spacing w:before="0" w:after="140"/>
              <w:rPr/>
            </w:pPr>
            <w:r>
              <w:rPr/>
              <w:t xml:space="preserve">Net global CO2 emissions are derived from the gross amount of CO2 that humans annually emit into the atmosphere reduced by the amount of anthropogenic </w:t>
            </w:r>
            <w:r>
              <w:rPr>
                <w:b/>
                <w:bCs/>
                <w:color w:val="00A65D"/>
              </w:rPr>
              <w:t>CDR</w:t>
            </w:r>
            <w:r>
              <w:rPr/>
              <w:t xml:space="preserve"> in each year.</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27</w:t>
            </w:r>
          </w:p>
        </w:tc>
        <w:tc>
          <w:tcPr>
            <w:tcW w:w="8200" w:type="dxa"/>
            <w:tcBorders/>
            <w:shd w:fill="auto" w:val="clear"/>
          </w:tcPr>
          <w:p>
            <w:pPr>
              <w:pStyle w:val="TextBody"/>
              <w:spacing w:before="0" w:after="140"/>
              <w:rPr/>
            </w:pPr>
            <w:r>
              <w:rPr/>
              <w:t xml:space="preserve">As almost no cases have been identified that keep gross CO2 emissions within the remaining carbon budget for a one-in-two chance of limiting warming to 1.5°C, and based on current understanding of the geophysical response and its uncertainties, the available evidence indicates that avoiding overshoot of 1.5°C will require some type of </w:t>
            </w:r>
            <w:r>
              <w:rPr>
                <w:b/>
                <w:bCs/>
                <w:color w:val="00A65D"/>
              </w:rPr>
              <w:t>CDR</w:t>
            </w:r>
            <w:r>
              <w:rPr/>
              <w:t xml:space="preserve"> in a broad sense, e.g., via </w:t>
            </w:r>
            <w:r>
              <w:rPr>
                <w:b/>
                <w:bCs/>
                <w:color w:val="0066B3"/>
              </w:rPr>
              <w:t>net negative AFOLU CO2 emissions</w:t>
            </w:r>
            <w:r>
              <w:rPr/>
              <w:t xml:space="preserve"> (medium confidence). (</w:t>
            </w:r>
            <w:r>
              <w:rPr>
                <w:b/>
                <w:bCs/>
                <w:color w:val="CE181E"/>
              </w:rPr>
              <w:t>Table 2.2</w:t>
            </w:r>
            <w:r>
              <w:rPr/>
              <w:t>).</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28</w:t>
            </w:r>
          </w:p>
        </w:tc>
        <w:tc>
          <w:tcPr>
            <w:tcW w:w="8200" w:type="dxa"/>
            <w:tcBorders/>
            <w:shd w:fill="auto" w:val="clear"/>
          </w:tcPr>
          <w:p>
            <w:pPr>
              <w:pStyle w:val="TextBody"/>
              <w:spacing w:before="0" w:after="140"/>
              <w:rPr/>
            </w:pPr>
            <w:r>
              <w:rPr/>
              <w:t xml:space="preserve">Net CO2 emissions can fall below gross CO2 emissions, if </w:t>
            </w:r>
            <w:r>
              <w:rPr>
                <w:b/>
                <w:bCs/>
                <w:color w:val="00A65D"/>
              </w:rPr>
              <w:t>CDR</w:t>
            </w:r>
            <w:r>
              <w:rPr/>
              <w:t xml:space="preserve"> is brought into the mix.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29</w:t>
            </w:r>
          </w:p>
        </w:tc>
        <w:tc>
          <w:tcPr>
            <w:tcW w:w="8200" w:type="dxa"/>
            <w:tcBorders/>
            <w:shd w:fill="auto" w:val="clear"/>
          </w:tcPr>
          <w:p>
            <w:pPr>
              <w:pStyle w:val="TextBody"/>
              <w:spacing w:before="0" w:after="140"/>
              <w:rPr/>
            </w:pPr>
            <w:r>
              <w:rPr/>
              <w:t xml:space="preserve">Studies have looked at mitigation and </w:t>
            </w:r>
            <w:r>
              <w:rPr>
                <w:b/>
                <w:bCs/>
                <w:color w:val="00A65D"/>
              </w:rPr>
              <w:t>CDR</w:t>
            </w:r>
            <w:r>
              <w:rPr/>
              <w:t xml:space="preserve"> in combination to identify strategies for limiting warming to 1.5°C (Sanderson et al., 2016; Ricke et al., 2017).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30</w:t>
            </w:r>
          </w:p>
        </w:tc>
        <w:tc>
          <w:tcPr>
            <w:tcW w:w="8200" w:type="dxa"/>
            <w:tcBorders/>
            <w:shd w:fill="auto" w:val="clear"/>
          </w:tcPr>
          <w:p>
            <w:pPr>
              <w:pStyle w:val="TextBody"/>
              <w:spacing w:before="0" w:after="140"/>
              <w:rPr/>
            </w:pPr>
            <w:r>
              <w:rPr>
                <w:b/>
                <w:bCs/>
                <w:color w:val="00A65D"/>
              </w:rPr>
              <w:t>CDR</w:t>
            </w:r>
            <w:r>
              <w:rPr/>
              <w:t xml:space="preserve">, which may include </w:t>
            </w:r>
            <w:r>
              <w:rPr>
                <w:b/>
                <w:bCs/>
                <w:color w:val="0066B3"/>
              </w:rPr>
              <w:t>net negative AFOLU</w:t>
            </w:r>
            <w:r>
              <w:rPr/>
              <w:t xml:space="preserve"> </w:t>
            </w:r>
            <w:r>
              <w:rPr>
                <w:b/>
                <w:bCs/>
                <w:color w:val="0066B3"/>
              </w:rPr>
              <w:t>CO2 emissions</w:t>
            </w:r>
            <w:r>
              <w:rPr/>
              <w:t xml:space="preserve">, is deployed by all 1.5°C-consistent pathways available to this assessment, but the scale of deployment and choice of </w:t>
            </w:r>
            <w:r>
              <w:rPr>
                <w:b/>
                <w:bCs/>
                <w:color w:val="00A65D"/>
              </w:rPr>
              <w:t>CDR</w:t>
            </w:r>
            <w:r>
              <w:rPr/>
              <w:t xml:space="preserve"> measures varies widely (</w:t>
            </w:r>
            <w:r>
              <w:rPr>
                <w:b/>
                <w:bCs/>
                <w:color w:val="CE181E"/>
              </w:rPr>
              <w:t>Section 2.3.4</w:t>
            </w:r>
            <w:r>
              <w:rPr/>
              <w:t xml:space="preserve">).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31</w:t>
            </w:r>
          </w:p>
        </w:tc>
        <w:tc>
          <w:tcPr>
            <w:tcW w:w="8200" w:type="dxa"/>
            <w:tcBorders/>
            <w:shd w:fill="auto" w:val="clear"/>
          </w:tcPr>
          <w:p>
            <w:pPr>
              <w:pStyle w:val="TextBody"/>
              <w:spacing w:before="0" w:after="140"/>
              <w:rPr/>
            </w:pPr>
            <w:r>
              <w:rPr/>
              <w:t xml:space="preserve">Furthermore, no </w:t>
            </w:r>
            <w:r>
              <w:rPr>
                <w:b/>
                <w:bCs/>
                <w:color w:val="00A65D"/>
              </w:rPr>
              <w:t>CDR</w:t>
            </w:r>
            <w:r>
              <w:rPr/>
              <w:t xml:space="preserve"> technology has been deployed at scale yet, and all come with concerns about their potential (Fuss et al., 2018), feasibility (Nemet et al., 2018) and/or sustainability (Smith et al., 2015; Fuss et al., 2018) (see </w:t>
            </w:r>
            <w:r>
              <w:rPr>
                <w:b/>
                <w:bCs/>
                <w:color w:val="CE181E"/>
              </w:rPr>
              <w:t xml:space="preserve">Sections 2.3.4, 4.3.2 and 4.3.7 and Cross-Chapter Box 7 in Chapter 3 </w:t>
            </w:r>
            <w:r>
              <w:rPr/>
              <w:t xml:space="preserve">for further discussion).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32</w:t>
            </w:r>
          </w:p>
        </w:tc>
        <w:tc>
          <w:tcPr>
            <w:tcW w:w="8200" w:type="dxa"/>
            <w:tcBorders/>
            <w:shd w:fill="auto" w:val="clear"/>
          </w:tcPr>
          <w:p>
            <w:pPr>
              <w:pStyle w:val="TextBody"/>
              <w:spacing w:before="0" w:after="140"/>
              <w:rPr/>
            </w:pPr>
            <w:r>
              <w:rPr>
                <w:b/>
                <w:bCs/>
                <w:color w:val="00A65D"/>
              </w:rPr>
              <w:t>CDR</w:t>
            </w:r>
            <w:r>
              <w:rPr/>
              <w:t xml:space="preserve"> can have two very different functions in  1.5°C-consistent pathways. If deployed in the first half of the century, before net zero CO2 emissions are reached, it neutralizes some of the remaining CO2 emissions year by year and thus slows the accumulation of CO2 in the atmosphere. In this first function it can be used to remain within the carbon budget and avoid overshoot. If </w:t>
            </w:r>
            <w:r>
              <w:rPr>
                <w:b/>
                <w:bCs/>
                <w:color w:val="00A65D"/>
              </w:rPr>
              <w:t>CDR</w:t>
            </w:r>
            <w:r>
              <w:rPr/>
              <w:t xml:space="preserve"> is deployed in the second half of the century after carbon neutrality has been established, it can still be used to neutralize some residual emissions from other sectors, but also to create net negative emissions that actively draw down the cumulative amount of CO2 emissions to return below a 1.5°C warming level. In the second function, </w:t>
            </w:r>
            <w:r>
              <w:rPr>
                <w:b/>
                <w:bCs/>
                <w:color w:val="00A65D"/>
              </w:rPr>
              <w:t>CDR</w:t>
            </w:r>
            <w:r>
              <w:rPr/>
              <w:t xml:space="preserve"> enables temporary overshoot.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33</w:t>
            </w:r>
          </w:p>
        </w:tc>
        <w:tc>
          <w:tcPr>
            <w:tcW w:w="8200" w:type="dxa"/>
            <w:tcBorders/>
            <w:shd w:fill="auto" w:val="clear"/>
          </w:tcPr>
          <w:p>
            <w:pPr>
              <w:pStyle w:val="TextBody"/>
              <w:spacing w:before="0" w:after="140"/>
              <w:rPr/>
            </w:pPr>
            <w:r>
              <w:rPr/>
              <w:t xml:space="preserve">The literature points to strong limitations to upscaling </w:t>
            </w:r>
            <w:r>
              <w:rPr>
                <w:b/>
                <w:bCs/>
                <w:color w:val="00A65D"/>
              </w:rPr>
              <w:t>CDR</w:t>
            </w:r>
            <w:r>
              <w:rPr/>
              <w:t xml:space="preserve"> (limiting its first abovementioned function) and to sustainability constraints (limiting both abovementioned functions) (Fuss et al., 2018; Minx et al., 2018; Nemet et al., 2018).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34</w:t>
            </w:r>
          </w:p>
        </w:tc>
        <w:tc>
          <w:tcPr>
            <w:tcW w:w="8200" w:type="dxa"/>
            <w:tcBorders/>
            <w:shd w:fill="auto" w:val="clear"/>
          </w:tcPr>
          <w:p>
            <w:pPr>
              <w:pStyle w:val="TextBody"/>
              <w:spacing w:before="0" w:after="140"/>
              <w:rPr/>
            </w:pPr>
            <w:r>
              <w:rPr/>
              <w:t xml:space="preserve">Large uncertainty hence exists about what amount of </w:t>
            </w:r>
            <w:r>
              <w:rPr>
                <w:b/>
                <w:bCs/>
                <w:color w:val="00A65D"/>
              </w:rPr>
              <w:t>CDR</w:t>
            </w:r>
            <w:r>
              <w:rPr/>
              <w:t xml:space="preserve"> could actually be available before mid-century. Kriegler et al. (2018b) explore a case limiting </w:t>
            </w:r>
            <w:r>
              <w:rPr>
                <w:b/>
                <w:bCs/>
                <w:color w:val="00A65D"/>
              </w:rPr>
              <w:t>CDR</w:t>
            </w:r>
            <w:r>
              <w:rPr/>
              <w:t xml:space="preserve"> to 100 GtCO2 until 2050, and the 1.5°C pathways with no or limited overshoot available in the report’s database project 40–260 GtCO2 </w:t>
            </w:r>
            <w:r>
              <w:rPr>
                <w:b/>
                <w:bCs/>
                <w:color w:val="00A65D"/>
              </w:rPr>
              <w:t>CDR</w:t>
            </w:r>
            <w:r>
              <w:rPr/>
              <w:t xml:space="preserve"> until the point of carbon neutrality (5th to 95th percentile; median 110 GtCO2 ). </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35</w:t>
            </w:r>
          </w:p>
        </w:tc>
        <w:tc>
          <w:tcPr>
            <w:tcW w:w="8200" w:type="dxa"/>
            <w:tcBorders/>
            <w:shd w:fill="auto" w:val="clear"/>
          </w:tcPr>
          <w:p>
            <w:pPr>
              <w:pStyle w:val="TextBody"/>
              <w:spacing w:before="0" w:after="140"/>
              <w:rPr/>
            </w:pPr>
            <w:r>
              <w:rPr/>
              <w:t xml:space="preserve">Because gross CO2 emissions in most cases exceed the remaining carbon budget by several hundred GtCO2 and given the limits to </w:t>
            </w:r>
            <w:r>
              <w:rPr>
                <w:b/>
                <w:bCs/>
                <w:color w:val="00A65D"/>
              </w:rPr>
              <w:t>CDR</w:t>
            </w:r>
            <w:r>
              <w:rPr/>
              <w:t xml:space="preserve"> deployment until 2050, most of the 1.5°C-consistent pathways available to this assessment are overshoot pathways.</w:t>
            </w:r>
          </w:p>
        </w:tc>
        <w:tc>
          <w:tcPr>
            <w:tcW w:w="668" w:type="dxa"/>
            <w:tcBorders/>
            <w:shd w:fill="auto" w:val="clear"/>
          </w:tcPr>
          <w:p>
            <w:pPr>
              <w:pStyle w:val="NoSpacing"/>
              <w:rPr>
                <w:sz w:val="16"/>
                <w:szCs w:val="16"/>
              </w:rPr>
            </w:pPr>
            <w:r>
              <w:rPr>
                <w:sz w:val="16"/>
                <w:szCs w:val="16"/>
              </w:rPr>
              <w:t>2.3.2.1</w:t>
            </w:r>
          </w:p>
        </w:tc>
      </w:tr>
      <w:tr>
        <w:trPr/>
        <w:tc>
          <w:tcPr>
            <w:tcW w:w="528" w:type="dxa"/>
            <w:tcBorders/>
            <w:shd w:fill="auto" w:val="clear"/>
          </w:tcPr>
          <w:p>
            <w:pPr>
              <w:pStyle w:val="NoSpacing"/>
              <w:rPr>
                <w:sz w:val="20"/>
                <w:szCs w:val="20"/>
              </w:rPr>
            </w:pPr>
            <w:r>
              <w:rPr>
                <w:sz w:val="20"/>
                <w:szCs w:val="20"/>
              </w:rPr>
              <w:t>36</w:t>
            </w:r>
          </w:p>
        </w:tc>
        <w:tc>
          <w:tcPr>
            <w:tcW w:w="8200" w:type="dxa"/>
            <w:tcBorders/>
            <w:shd w:fill="auto" w:val="clear"/>
          </w:tcPr>
          <w:p>
            <w:pPr>
              <w:pStyle w:val="TextBody"/>
              <w:tabs>
                <w:tab w:val="left" w:pos="7095" w:leader="none"/>
              </w:tabs>
              <w:spacing w:before="0" w:after="140"/>
              <w:rPr/>
            </w:pPr>
            <w:r>
              <w:rPr/>
              <w:t xml:space="preserve">The limited evidence available for pathways aiming to limit warming below 1.5°C without overshoot or with limited amounts of </w:t>
            </w:r>
            <w:r>
              <w:rPr>
                <w:b/>
                <w:bCs/>
                <w:color w:val="00A65D"/>
              </w:rPr>
              <w:t>CDR</w:t>
            </w:r>
            <w:r>
              <w:rPr/>
              <w:t xml:space="preserve"> (Grubler et al., 2018; Holz et al., 2018b; van Vuuren et al., 2018) indicates that under these conditions consistent emissions in 2030 would fall at the lower end and below the above mentioned ranges. </w:t>
            </w:r>
          </w:p>
        </w:tc>
        <w:tc>
          <w:tcPr>
            <w:tcW w:w="668" w:type="dxa"/>
            <w:tcBorders/>
            <w:shd w:fill="auto" w:val="clear"/>
          </w:tcPr>
          <w:p>
            <w:pPr>
              <w:pStyle w:val="NoSpacing"/>
              <w:rPr>
                <w:sz w:val="16"/>
                <w:szCs w:val="16"/>
              </w:rPr>
            </w:pPr>
            <w:r>
              <w:rPr>
                <w:sz w:val="16"/>
                <w:szCs w:val="16"/>
              </w:rPr>
              <w:t>2.3.3</w:t>
            </w:r>
          </w:p>
        </w:tc>
      </w:tr>
      <w:tr>
        <w:trPr/>
        <w:tc>
          <w:tcPr>
            <w:tcW w:w="528" w:type="dxa"/>
            <w:tcBorders/>
            <w:shd w:fill="auto" w:val="clear"/>
          </w:tcPr>
          <w:p>
            <w:pPr>
              <w:pStyle w:val="NoSpacing"/>
              <w:rPr>
                <w:sz w:val="20"/>
                <w:szCs w:val="20"/>
              </w:rPr>
            </w:pPr>
            <w:r>
              <w:rPr>
                <w:sz w:val="20"/>
                <w:szCs w:val="20"/>
              </w:rPr>
              <w:t>37</w:t>
            </w:r>
          </w:p>
        </w:tc>
        <w:tc>
          <w:tcPr>
            <w:tcW w:w="8200" w:type="dxa"/>
            <w:tcBorders/>
            <w:shd w:fill="auto" w:val="clear"/>
          </w:tcPr>
          <w:p>
            <w:pPr>
              <w:pStyle w:val="TextBody"/>
              <w:spacing w:before="0" w:after="140"/>
              <w:rPr/>
            </w:pPr>
            <w:r>
              <w:rPr/>
              <w:t>Appropriate emissions benchmark values also depend on the acceptable or desired portfolio of mitigation measures, representing clearly identified trade-offs and choices (</w:t>
            </w:r>
            <w:r>
              <w:rPr>
                <w:b/>
                <w:bCs/>
                <w:color w:val="CE181E"/>
              </w:rPr>
              <w:t>Sections 2.3.4, 2.4, and 2.5.3</w:t>
            </w:r>
            <w:r>
              <w:rPr/>
              <w:t xml:space="preserve">) (Luderer et al., 2013; Rogelj et al., 2013a; Clarke et al., 2014; Krey et al., 2014a; Strefler et al., 2018b). For example, lower 2030 GHG emissions correlate with a lower dependence on the future availability and desirability of </w:t>
            </w:r>
            <w:r>
              <w:rPr>
                <w:b/>
                <w:bCs/>
                <w:color w:val="00A65D"/>
              </w:rPr>
              <w:t>CDR</w:t>
            </w:r>
            <w:r>
              <w:rPr/>
              <w:t xml:space="preserve"> (Strefler et al., 2018b). On the other hand, pathways that assume or anticipate only limited deployment of </w:t>
            </w:r>
            <w:r>
              <w:rPr>
                <w:b/>
                <w:bCs/>
                <w:color w:val="00A65D"/>
              </w:rPr>
              <w:t>CDR</w:t>
            </w:r>
            <w:r>
              <w:rPr/>
              <w:t xml:space="preserve"> during the 21st century imply lower emissions benchmarks over the coming decades, which are achieved in models through further reducing CO2 emissions in the coming decades. </w:t>
            </w:r>
          </w:p>
        </w:tc>
        <w:tc>
          <w:tcPr>
            <w:tcW w:w="668" w:type="dxa"/>
            <w:tcBorders/>
            <w:shd w:fill="auto" w:val="clear"/>
          </w:tcPr>
          <w:p>
            <w:pPr>
              <w:pStyle w:val="NoSpacing"/>
              <w:rPr>
                <w:sz w:val="16"/>
                <w:szCs w:val="16"/>
              </w:rPr>
            </w:pPr>
            <w:r>
              <w:rPr>
                <w:sz w:val="16"/>
                <w:szCs w:val="16"/>
              </w:rPr>
              <w:t>2.3.3</w:t>
            </w:r>
          </w:p>
        </w:tc>
      </w:tr>
      <w:tr>
        <w:trPr/>
        <w:tc>
          <w:tcPr>
            <w:tcW w:w="528" w:type="dxa"/>
            <w:tcBorders/>
            <w:shd w:fill="auto" w:val="clear"/>
          </w:tcPr>
          <w:p>
            <w:pPr>
              <w:pStyle w:val="NoSpacing"/>
              <w:rPr>
                <w:sz w:val="20"/>
                <w:szCs w:val="20"/>
              </w:rPr>
            </w:pPr>
            <w:r>
              <w:rPr>
                <w:sz w:val="20"/>
                <w:szCs w:val="20"/>
              </w:rPr>
              <w:t>38</w:t>
            </w:r>
          </w:p>
        </w:tc>
        <w:tc>
          <w:tcPr>
            <w:tcW w:w="8200" w:type="dxa"/>
            <w:tcBorders/>
            <w:shd w:fill="auto" w:val="clear"/>
          </w:tcPr>
          <w:p>
            <w:pPr>
              <w:pStyle w:val="TextBody"/>
              <w:spacing w:before="0" w:after="140"/>
              <w:rPr/>
            </w:pPr>
            <w:r>
              <w:rPr/>
              <w:t xml:space="preserve">In contrast, a pathway that further limits overshoot and aims at eliminating the reliance on negative emissions technologies like </w:t>
            </w:r>
            <w:r>
              <w:rPr>
                <w:b/>
                <w:bCs/>
                <w:color w:val="F58220"/>
              </w:rPr>
              <w:t>BECCS</w:t>
            </w:r>
            <w:r>
              <w:rPr/>
              <w:t xml:space="preserve"> as well as CCS (here labelled as the LED pathway) shows deeper emissions reductions in 2030 to limit the cumulative amount of CO 2 until net zero global CO 2 emissions (carbon neutrality). </w:t>
            </w:r>
          </w:p>
        </w:tc>
        <w:tc>
          <w:tcPr>
            <w:tcW w:w="668" w:type="dxa"/>
            <w:tcBorders/>
            <w:shd w:fill="auto" w:val="clear"/>
          </w:tcPr>
          <w:p>
            <w:pPr>
              <w:pStyle w:val="NoSpacing"/>
              <w:rPr>
                <w:sz w:val="16"/>
                <w:szCs w:val="16"/>
              </w:rPr>
            </w:pPr>
            <w:r>
              <w:rPr>
                <w:sz w:val="16"/>
                <w:szCs w:val="16"/>
              </w:rPr>
              <w:t>2.3.3</w:t>
            </w:r>
          </w:p>
        </w:tc>
      </w:tr>
      <w:tr>
        <w:trPr/>
        <w:tc>
          <w:tcPr>
            <w:tcW w:w="528" w:type="dxa"/>
            <w:tcBorders/>
            <w:shd w:fill="auto" w:val="clear"/>
          </w:tcPr>
          <w:p>
            <w:pPr>
              <w:pStyle w:val="NoSpacing"/>
              <w:rPr>
                <w:sz w:val="20"/>
                <w:szCs w:val="20"/>
              </w:rPr>
            </w:pPr>
            <w:r>
              <w:rPr>
                <w:sz w:val="20"/>
                <w:szCs w:val="20"/>
              </w:rPr>
              <w:t>39</w:t>
            </w:r>
          </w:p>
        </w:tc>
        <w:tc>
          <w:tcPr>
            <w:tcW w:w="8200" w:type="dxa"/>
            <w:tcBorders/>
            <w:shd w:fill="auto" w:val="clear"/>
          </w:tcPr>
          <w:p>
            <w:pPr>
              <w:pStyle w:val="TextBody"/>
              <w:spacing w:before="0" w:after="140"/>
              <w:rPr/>
            </w:pPr>
            <w:r>
              <w:rPr/>
              <w:t xml:space="preserve">However, a pathway that allows and plans for the successful large-scale deployment of </w:t>
            </w:r>
            <w:r>
              <w:rPr>
                <w:b/>
                <w:bCs/>
                <w:color w:val="F58220"/>
              </w:rPr>
              <w:t>BECCS</w:t>
            </w:r>
            <w:r>
              <w:rPr/>
              <w:t xml:space="preserve"> by and beyond 2050 (S5) shows a shift in the opposite direction.</w:t>
            </w:r>
          </w:p>
        </w:tc>
        <w:tc>
          <w:tcPr>
            <w:tcW w:w="668" w:type="dxa"/>
            <w:tcBorders/>
            <w:shd w:fill="auto" w:val="clear"/>
          </w:tcPr>
          <w:p>
            <w:pPr>
              <w:pStyle w:val="NoSpacing"/>
              <w:rPr>
                <w:sz w:val="16"/>
                <w:szCs w:val="16"/>
              </w:rPr>
            </w:pPr>
            <w:r>
              <w:rPr>
                <w:sz w:val="16"/>
                <w:szCs w:val="16"/>
              </w:rPr>
              <w:t>2.3.3</w:t>
            </w:r>
          </w:p>
        </w:tc>
      </w:tr>
      <w:tr>
        <w:trPr/>
        <w:tc>
          <w:tcPr>
            <w:tcW w:w="528" w:type="dxa"/>
            <w:tcBorders/>
            <w:shd w:fill="auto" w:val="clear"/>
          </w:tcPr>
          <w:p>
            <w:pPr>
              <w:pStyle w:val="NoSpacing"/>
              <w:rPr>
                <w:sz w:val="20"/>
                <w:szCs w:val="20"/>
              </w:rPr>
            </w:pPr>
            <w:r>
              <w:rPr>
                <w:sz w:val="20"/>
                <w:szCs w:val="20"/>
              </w:rPr>
              <w:t>40</w:t>
            </w:r>
          </w:p>
        </w:tc>
        <w:tc>
          <w:tcPr>
            <w:tcW w:w="8200" w:type="dxa"/>
            <w:tcBorders/>
            <w:shd w:fill="auto" w:val="clear"/>
          </w:tcPr>
          <w:p>
            <w:pPr>
              <w:pStyle w:val="TextBody"/>
              <w:spacing w:before="0" w:after="140"/>
              <w:rPr/>
            </w:pPr>
            <w:r>
              <w:rPr/>
              <w:t xml:space="preserve">As a result of the interplay between residual CO 2 and non-CO 2 emissions and </w:t>
            </w:r>
            <w:r>
              <w:rPr>
                <w:b/>
                <w:bCs/>
                <w:color w:val="00A65D"/>
              </w:rPr>
              <w:t>CDR</w:t>
            </w:r>
            <w:r>
              <w:rPr/>
              <w:t>, global GHG emissions reach net zero levels at different times in different 1.5°C-consistent pathways.</w:t>
            </w:r>
          </w:p>
        </w:tc>
        <w:tc>
          <w:tcPr>
            <w:tcW w:w="668" w:type="dxa"/>
            <w:tcBorders/>
            <w:shd w:fill="auto" w:val="clear"/>
          </w:tcPr>
          <w:p>
            <w:pPr>
              <w:pStyle w:val="NoSpacing"/>
              <w:rPr>
                <w:sz w:val="16"/>
                <w:szCs w:val="16"/>
              </w:rPr>
            </w:pPr>
            <w:r>
              <w:rPr>
                <w:sz w:val="16"/>
                <w:szCs w:val="16"/>
              </w:rPr>
              <w:t>2.3.3</w:t>
            </w:r>
          </w:p>
        </w:tc>
      </w:tr>
      <w:tr>
        <w:trPr/>
        <w:tc>
          <w:tcPr>
            <w:tcW w:w="528" w:type="dxa"/>
            <w:tcBorders/>
            <w:shd w:fill="auto" w:val="clear"/>
          </w:tcPr>
          <w:p>
            <w:pPr>
              <w:pStyle w:val="NoSpacing"/>
              <w:rPr>
                <w:sz w:val="20"/>
                <w:szCs w:val="20"/>
              </w:rPr>
            </w:pPr>
            <w:r>
              <w:rPr>
                <w:sz w:val="20"/>
                <w:szCs w:val="20"/>
              </w:rPr>
              <w:t>41</w:t>
            </w:r>
          </w:p>
        </w:tc>
        <w:tc>
          <w:tcPr>
            <w:tcW w:w="8200" w:type="dxa"/>
            <w:tcBorders/>
            <w:shd w:fill="auto" w:val="clear"/>
          </w:tcPr>
          <w:p>
            <w:pPr>
              <w:pStyle w:val="TextBody"/>
              <w:spacing w:before="0" w:after="140"/>
              <w:rPr/>
            </w:pPr>
            <w:r>
              <w:rPr/>
              <w:t>Overall net CO2 emissions in pathways are the result of a combination of various anthropogenic contributions (</w:t>
            </w:r>
            <w:r>
              <w:rPr>
                <w:b/>
                <w:bCs/>
                <w:color w:val="CE181E"/>
              </w:rPr>
              <w:t>Figure 2.5</w:t>
            </w:r>
            <w:r>
              <w:rPr/>
              <w:t xml:space="preserve">) (Clarke et al., 2014): [...] (iv) CO2 removal by technological means, which in current pathways is mainly achieved by </w:t>
            </w:r>
            <w:r>
              <w:rPr>
                <w:b/>
                <w:bCs/>
                <w:color w:val="F58220"/>
              </w:rPr>
              <w:t>BECCS</w:t>
            </w:r>
            <w:r>
              <w:rPr/>
              <w:t xml:space="preserve"> and </w:t>
            </w:r>
            <w:r>
              <w:rPr>
                <w:b/>
                <w:bCs/>
                <w:color w:val="0066B3"/>
              </w:rPr>
              <w:t>AFOLU-related CDR</w:t>
            </w:r>
            <w:r>
              <w:rPr/>
              <w:t xml:space="preserve">, although other options could be conceivable (see </w:t>
            </w:r>
            <w:r>
              <w:rPr>
                <w:b/>
                <w:bCs/>
                <w:color w:val="CE181E"/>
              </w:rPr>
              <w:t>Chapter 4, Section 4.3.7</w:t>
            </w:r>
            <w:r>
              <w:rPr/>
              <w:t>).</w:t>
            </w:r>
          </w:p>
        </w:tc>
        <w:tc>
          <w:tcPr>
            <w:tcW w:w="668" w:type="dxa"/>
            <w:tcBorders/>
            <w:shd w:fill="auto" w:val="clear"/>
          </w:tcPr>
          <w:p>
            <w:pPr>
              <w:pStyle w:val="NoSpacing"/>
              <w:rPr>
                <w:sz w:val="16"/>
                <w:szCs w:val="16"/>
              </w:rPr>
            </w:pPr>
            <w:r>
              <w:rPr>
                <w:sz w:val="16"/>
                <w:szCs w:val="16"/>
              </w:rPr>
              <w:t>2.3.3.1</w:t>
            </w:r>
          </w:p>
        </w:tc>
      </w:tr>
      <w:tr>
        <w:trPr/>
        <w:tc>
          <w:tcPr>
            <w:tcW w:w="528" w:type="dxa"/>
            <w:tcBorders/>
            <w:shd w:fill="auto" w:val="clear"/>
          </w:tcPr>
          <w:p>
            <w:pPr>
              <w:pStyle w:val="NoSpacing"/>
              <w:rPr>
                <w:sz w:val="20"/>
                <w:szCs w:val="20"/>
              </w:rPr>
            </w:pPr>
            <w:r>
              <w:rPr>
                <w:sz w:val="20"/>
                <w:szCs w:val="20"/>
              </w:rPr>
              <w:t>42</w:t>
            </w:r>
          </w:p>
        </w:tc>
        <w:tc>
          <w:tcPr>
            <w:tcW w:w="8200" w:type="dxa"/>
            <w:tcBorders/>
            <w:shd w:fill="auto" w:val="clear"/>
          </w:tcPr>
          <w:p>
            <w:pPr>
              <w:pStyle w:val="TextBody"/>
              <w:spacing w:before="0" w:after="140"/>
              <w:rPr/>
            </w:pPr>
            <w:r>
              <w:rPr/>
              <w:t xml:space="preserve">This net withdrawal of CO2 from the atmosphere compensates for residual long-lived non-CO2 GHG emissions that also accumulate in the atmosphere (like N2O) or cancels some of the build-up of CO2 due to earlier emissions to achieve increasingly higher likelihoods that warming stays or returns below 1.5°C (see </w:t>
            </w:r>
            <w:r>
              <w:rPr>
                <w:b/>
                <w:bCs/>
                <w:color w:val="CE181E"/>
              </w:rPr>
              <w:t>Section 2.3.4</w:t>
            </w:r>
            <w:r>
              <w:rPr/>
              <w:t xml:space="preserve"> for a discussion of various uses of </w:t>
            </w:r>
            <w:r>
              <w:rPr>
                <w:b/>
                <w:bCs/>
                <w:color w:val="00A65D"/>
              </w:rPr>
              <w:t>CDR</w:t>
            </w:r>
            <w:r>
              <w:rPr/>
              <w:t>).</w:t>
            </w:r>
          </w:p>
        </w:tc>
        <w:tc>
          <w:tcPr>
            <w:tcW w:w="668" w:type="dxa"/>
            <w:tcBorders/>
            <w:shd w:fill="auto" w:val="clear"/>
          </w:tcPr>
          <w:p>
            <w:pPr>
              <w:pStyle w:val="NoSpacing"/>
              <w:rPr>
                <w:sz w:val="16"/>
                <w:szCs w:val="16"/>
              </w:rPr>
            </w:pPr>
            <w:r>
              <w:rPr>
                <w:sz w:val="16"/>
                <w:szCs w:val="16"/>
              </w:rPr>
              <w:t>2.3.3.1</w:t>
            </w:r>
          </w:p>
        </w:tc>
      </w:tr>
      <w:tr>
        <w:trPr/>
        <w:tc>
          <w:tcPr>
            <w:tcW w:w="528" w:type="dxa"/>
            <w:tcBorders/>
            <w:shd w:fill="auto" w:val="clear"/>
          </w:tcPr>
          <w:p>
            <w:pPr>
              <w:pStyle w:val="NoSpacing"/>
              <w:rPr>
                <w:sz w:val="20"/>
                <w:szCs w:val="20"/>
              </w:rPr>
            </w:pPr>
            <w:r>
              <w:rPr>
                <w:sz w:val="20"/>
                <w:szCs w:val="20"/>
              </w:rPr>
              <w:t>43</w:t>
            </w:r>
          </w:p>
        </w:tc>
        <w:tc>
          <w:tcPr>
            <w:tcW w:w="8200" w:type="dxa"/>
            <w:tcBorders/>
            <w:shd w:fill="auto" w:val="clear"/>
          </w:tcPr>
          <w:p>
            <w:pPr>
              <w:pStyle w:val="TextBody"/>
              <w:spacing w:before="0" w:after="140"/>
              <w:rPr/>
            </w:pPr>
            <w:r>
              <w:rPr/>
              <w:t xml:space="preserve">Deep mitigation pathways assessed in AR5 showed significant deployment of </w:t>
            </w:r>
            <w:r>
              <w:rPr>
                <w:b/>
                <w:bCs/>
                <w:color w:val="00A65D"/>
              </w:rPr>
              <w:t>CDR</w:t>
            </w:r>
            <w:r>
              <w:rPr/>
              <w:t xml:space="preserve">, in particular through </w:t>
            </w:r>
            <w:r>
              <w:rPr>
                <w:b/>
                <w:bCs/>
                <w:color w:val="F58220"/>
              </w:rPr>
              <w:t>BECCS</w:t>
            </w:r>
            <w:r>
              <w:rPr/>
              <w:t xml:space="preserve"> (Clarke et al., 2014). </w:t>
            </w:r>
          </w:p>
        </w:tc>
        <w:tc>
          <w:tcPr>
            <w:tcW w:w="668" w:type="dxa"/>
            <w:tcBorders/>
            <w:shd w:fill="auto" w:val="clear"/>
          </w:tcPr>
          <w:p>
            <w:pPr>
              <w:pStyle w:val="NoSpacing"/>
              <w:rPr>
                <w:sz w:val="16"/>
                <w:szCs w:val="16"/>
              </w:rPr>
            </w:pPr>
            <w:r>
              <w:rPr>
                <w:sz w:val="16"/>
                <w:szCs w:val="16"/>
              </w:rPr>
              <w:t>2.3.4</w:t>
            </w:r>
          </w:p>
        </w:tc>
      </w:tr>
      <w:tr>
        <w:trPr/>
        <w:tc>
          <w:tcPr>
            <w:tcW w:w="528" w:type="dxa"/>
            <w:tcBorders/>
            <w:shd w:fill="auto" w:val="clear"/>
          </w:tcPr>
          <w:p>
            <w:pPr>
              <w:pStyle w:val="NoSpacing"/>
              <w:rPr>
                <w:sz w:val="20"/>
                <w:szCs w:val="20"/>
              </w:rPr>
            </w:pPr>
            <w:r>
              <w:rPr>
                <w:sz w:val="20"/>
                <w:szCs w:val="20"/>
              </w:rPr>
              <w:t>44</w:t>
            </w:r>
          </w:p>
        </w:tc>
        <w:tc>
          <w:tcPr>
            <w:tcW w:w="8200" w:type="dxa"/>
            <w:tcBorders/>
            <w:shd w:fill="auto" w:val="clear"/>
          </w:tcPr>
          <w:p>
            <w:pPr>
              <w:pStyle w:val="TextBody"/>
              <w:spacing w:before="0" w:after="140"/>
              <w:rPr/>
            </w:pPr>
            <w:r>
              <w:rPr/>
              <w:t xml:space="preserve">This has led to increased debate about the necessity, feasibility and desirability of large-scale </w:t>
            </w:r>
            <w:r>
              <w:rPr>
                <w:b/>
                <w:bCs/>
                <w:color w:val="00A65D"/>
              </w:rPr>
              <w:t>CDR</w:t>
            </w:r>
            <w:r>
              <w:rPr/>
              <w:t xml:space="preserve"> deployment, sometimes also called </w:t>
            </w:r>
            <w:r>
              <w:rPr>
                <w:b/>
                <w:bCs/>
                <w:color w:val="A3238E"/>
              </w:rPr>
              <w:t>‘negative emissions technologies’</w:t>
            </w:r>
            <w:r>
              <w:rPr/>
              <w:t xml:space="preserve"> in the literature (Fuss et al., 2014; Anderson and Peters, 2016; Williamson, 2016; van Vuuren et al., 2017a; Obersteiner et al., 2018).</w:t>
            </w:r>
          </w:p>
        </w:tc>
        <w:tc>
          <w:tcPr>
            <w:tcW w:w="668" w:type="dxa"/>
            <w:tcBorders/>
            <w:shd w:fill="auto" w:val="clear"/>
          </w:tcPr>
          <w:p>
            <w:pPr>
              <w:pStyle w:val="NoSpacing"/>
              <w:rPr>
                <w:sz w:val="16"/>
                <w:szCs w:val="16"/>
              </w:rPr>
            </w:pPr>
            <w:r>
              <w:rPr>
                <w:sz w:val="16"/>
                <w:szCs w:val="16"/>
              </w:rPr>
              <w:t>2.3.4</w:t>
            </w:r>
          </w:p>
        </w:tc>
      </w:tr>
      <w:tr>
        <w:trPr/>
        <w:tc>
          <w:tcPr>
            <w:tcW w:w="528" w:type="dxa"/>
            <w:tcBorders/>
            <w:shd w:fill="auto" w:val="clear"/>
          </w:tcPr>
          <w:p>
            <w:pPr>
              <w:pStyle w:val="NoSpacing"/>
              <w:rPr>
                <w:sz w:val="20"/>
                <w:szCs w:val="20"/>
              </w:rPr>
            </w:pPr>
            <w:r>
              <w:rPr>
                <w:sz w:val="20"/>
                <w:szCs w:val="20"/>
              </w:rPr>
              <w:t>45</w:t>
            </w:r>
          </w:p>
        </w:tc>
        <w:tc>
          <w:tcPr>
            <w:tcW w:w="8200" w:type="dxa"/>
            <w:tcBorders/>
            <w:shd w:fill="auto" w:val="clear"/>
          </w:tcPr>
          <w:p>
            <w:pPr>
              <w:pStyle w:val="TextBody"/>
              <w:spacing w:before="0" w:after="140"/>
              <w:rPr/>
            </w:pPr>
            <w:r>
              <w:rPr/>
              <w:t xml:space="preserve">Most </w:t>
            </w:r>
            <w:r>
              <w:rPr>
                <w:b/>
                <w:bCs/>
                <w:color w:val="00A65D"/>
              </w:rPr>
              <w:t>CDR</w:t>
            </w:r>
            <w:r>
              <w:rPr/>
              <w:t xml:space="preserve"> technologies remain largely unproven to date and raise substantial concerns about adverse side-effects on environmental and social sustainability (Smith et al., 2015; Dooley and Kartha, 2018).</w:t>
            </w:r>
          </w:p>
        </w:tc>
        <w:tc>
          <w:tcPr>
            <w:tcW w:w="668" w:type="dxa"/>
            <w:tcBorders/>
            <w:shd w:fill="auto" w:val="clear"/>
          </w:tcPr>
          <w:p>
            <w:pPr>
              <w:pStyle w:val="NoSpacing"/>
              <w:rPr>
                <w:sz w:val="16"/>
                <w:szCs w:val="16"/>
              </w:rPr>
            </w:pPr>
            <w:r>
              <w:rPr>
                <w:sz w:val="16"/>
                <w:szCs w:val="16"/>
              </w:rPr>
              <w:t>2.3.4</w:t>
            </w:r>
          </w:p>
        </w:tc>
      </w:tr>
      <w:tr>
        <w:trPr/>
        <w:tc>
          <w:tcPr>
            <w:tcW w:w="528" w:type="dxa"/>
            <w:tcBorders/>
            <w:shd w:fill="auto" w:val="clear"/>
          </w:tcPr>
          <w:p>
            <w:pPr>
              <w:pStyle w:val="NoSpacing"/>
              <w:rPr>
                <w:sz w:val="20"/>
                <w:szCs w:val="20"/>
              </w:rPr>
            </w:pPr>
            <w:r>
              <w:rPr>
                <w:sz w:val="20"/>
                <w:szCs w:val="20"/>
              </w:rPr>
              <w:t>46</w:t>
            </w:r>
          </w:p>
        </w:tc>
        <w:tc>
          <w:tcPr>
            <w:tcW w:w="8200" w:type="dxa"/>
            <w:tcBorders/>
            <w:shd w:fill="auto" w:val="clear"/>
          </w:tcPr>
          <w:p>
            <w:pPr>
              <w:pStyle w:val="TextBody"/>
              <w:spacing w:before="0" w:after="140"/>
              <w:rPr/>
            </w:pPr>
            <w:r>
              <w:rPr/>
              <w:t xml:space="preserve">A set of key questions emerge: how strongly do 1.5°C-consistent pathways rely on </w:t>
            </w:r>
            <w:r>
              <w:rPr>
                <w:b/>
                <w:bCs/>
                <w:color w:val="00A65D"/>
              </w:rPr>
              <w:t>CDR</w:t>
            </w:r>
            <w:r>
              <w:rPr/>
              <w:t xml:space="preserve"> deployment and what types of </w:t>
            </w:r>
            <w:r>
              <w:rPr>
                <w:b/>
                <w:bCs/>
                <w:color w:val="00A65D"/>
              </w:rPr>
              <w:t>CDR</w:t>
            </w:r>
            <w:r>
              <w:rPr/>
              <w:t xml:space="preserve"> measures are deployed at which scale? How does this vary across available 1.5°C-consistent pathways and on which factors does it depend? How does </w:t>
            </w:r>
            <w:r>
              <w:rPr>
                <w:b/>
                <w:bCs/>
                <w:color w:val="00A65D"/>
              </w:rPr>
              <w:t>CDR</w:t>
            </w:r>
            <w:r>
              <w:rPr/>
              <w:t xml:space="preserve"> deployment compare between 1.5°C- and 2°C-consistent pathways and how does it compare with the findings at the time of the AR5? How does </w:t>
            </w:r>
            <w:r>
              <w:rPr>
                <w:b/>
                <w:bCs/>
                <w:color w:val="00A65D"/>
              </w:rPr>
              <w:t>CDR</w:t>
            </w:r>
            <w:r>
              <w:rPr/>
              <w:t xml:space="preserve"> deployment in 1.5°C-consistent pathways relate to questions about availability, policy implementation and sustainable development implications that have been raised about </w:t>
            </w:r>
            <w:r>
              <w:rPr>
                <w:b/>
                <w:bCs/>
                <w:color w:val="00A65D"/>
              </w:rPr>
              <w:t>CDR</w:t>
            </w:r>
            <w:r>
              <w:rPr/>
              <w:t xml:space="preserve"> technologies? The first three questions are assessed in this section with the goal to provide an overview and assessment of </w:t>
            </w:r>
            <w:r>
              <w:rPr>
                <w:b/>
                <w:bCs/>
                <w:color w:val="00A65D"/>
              </w:rPr>
              <w:t>CDR</w:t>
            </w:r>
            <w:r>
              <w:rPr/>
              <w:t xml:space="preserve"> deployment in the 1.5°C pathway literature. The fourth question is only touched upon here and is addressed in greater depth in </w:t>
            </w:r>
            <w:r>
              <w:rPr>
                <w:b/>
                <w:bCs/>
                <w:color w:val="CE181E"/>
              </w:rPr>
              <w:t>Chapter 4, Section 4.3.7</w:t>
            </w:r>
            <w:r>
              <w:rPr/>
              <w:t xml:space="preserve">, which assesses the rapidly growing literature on costs, potentials, availability and sustainability implications of individual </w:t>
            </w:r>
            <w:r>
              <w:rPr>
                <w:b/>
                <w:bCs/>
                <w:color w:val="00A65D"/>
              </w:rPr>
              <w:t>CDR</w:t>
            </w:r>
            <w:r>
              <w:rPr/>
              <w:t xml:space="preserve"> measures (Minx et al., 2017, 2018; Fuss et al., 2018; Nemet et al., 2018). In addition, Section 2.3.5 assesses the relationship between delayed mitigation action and increased </w:t>
            </w:r>
            <w:r>
              <w:rPr>
                <w:b/>
                <w:bCs/>
                <w:color w:val="00A65D"/>
              </w:rPr>
              <w:t>CDR</w:t>
            </w:r>
            <w:r>
              <w:rPr/>
              <w:t xml:space="preserve"> reliance. </w:t>
            </w:r>
            <w:r>
              <w:rPr>
                <w:b/>
                <w:bCs/>
                <w:color w:val="00A65D"/>
              </w:rPr>
              <w:t>CDR</w:t>
            </w:r>
            <w:r>
              <w:rPr/>
              <w:t xml:space="preserve"> deployment is intricately linked to the land-use transformation in 1.5°C-consistent pathways. This transformation is assessed in </w:t>
            </w:r>
            <w:r>
              <w:rPr>
                <w:b/>
                <w:bCs/>
                <w:color w:val="CE181E"/>
              </w:rPr>
              <w:t>Section 2.4.4</w:t>
            </w:r>
            <w:r>
              <w:rPr/>
              <w:t xml:space="preserve">. Bioenergy and </w:t>
            </w:r>
            <w:r>
              <w:rPr>
                <w:b/>
                <w:bCs/>
                <w:color w:val="F58220"/>
              </w:rPr>
              <w:t>BECCS</w:t>
            </w:r>
            <w:r>
              <w:rPr/>
              <w:t xml:space="preserve"> impacts on sustainable land management are further assessed in </w:t>
            </w:r>
            <w:r>
              <w:rPr>
                <w:b/>
                <w:bCs/>
                <w:color w:val="CE181E"/>
              </w:rPr>
              <w:t>Chapter 3, Section 3.6.2 and Cross-Chapter Box 7 in Chapter 3</w:t>
            </w:r>
            <w:r>
              <w:rPr/>
              <w:t xml:space="preserve">. Ultimately, a comprehensive assessment of the land implication of land-based </w:t>
            </w:r>
            <w:r>
              <w:rPr>
                <w:b/>
                <w:bCs/>
                <w:color w:val="00A65D"/>
              </w:rPr>
              <w:t>CDR</w:t>
            </w:r>
            <w:r>
              <w:rPr/>
              <w:t xml:space="preserve"> measures will be provided in the IPCC AR6 Special Report on Climate Change and Land (SRCCL).</w:t>
            </w:r>
          </w:p>
        </w:tc>
        <w:tc>
          <w:tcPr>
            <w:tcW w:w="668" w:type="dxa"/>
            <w:tcBorders/>
            <w:shd w:fill="auto" w:val="clear"/>
          </w:tcPr>
          <w:p>
            <w:pPr>
              <w:pStyle w:val="NoSpacing"/>
              <w:rPr>
                <w:sz w:val="16"/>
                <w:szCs w:val="16"/>
              </w:rPr>
            </w:pPr>
            <w:r>
              <w:rPr>
                <w:sz w:val="16"/>
                <w:szCs w:val="16"/>
              </w:rPr>
              <w:t>2.3.4</w:t>
            </w:r>
          </w:p>
        </w:tc>
      </w:tr>
      <w:tr>
        <w:trPr/>
        <w:tc>
          <w:tcPr>
            <w:tcW w:w="528" w:type="dxa"/>
            <w:tcBorders/>
            <w:shd w:fill="auto" w:val="clear"/>
          </w:tcPr>
          <w:p>
            <w:pPr>
              <w:pStyle w:val="NoSpacing"/>
              <w:rPr>
                <w:sz w:val="20"/>
                <w:szCs w:val="20"/>
              </w:rPr>
            </w:pPr>
            <w:r>
              <w:rPr>
                <w:sz w:val="20"/>
                <w:szCs w:val="20"/>
              </w:rPr>
              <w:t>47</w:t>
            </w:r>
          </w:p>
        </w:tc>
        <w:tc>
          <w:tcPr>
            <w:tcW w:w="8200" w:type="dxa"/>
            <w:tcBorders/>
            <w:shd w:fill="auto" w:val="clear"/>
          </w:tcPr>
          <w:p>
            <w:pPr>
              <w:pStyle w:val="TextBody"/>
              <w:spacing w:before="0" w:after="140"/>
              <w:rPr/>
            </w:pPr>
            <w:r>
              <w:rPr/>
              <w:t xml:space="preserve">Approaches under consideration include the enhancement of terrestrial and coastalcarbon storage in plants and soils such as </w:t>
            </w:r>
            <w:r>
              <w:rPr>
                <w:b/>
                <w:bCs/>
                <w:color w:val="0066B3"/>
              </w:rPr>
              <w:t>afforestation</w:t>
            </w:r>
            <w:r>
              <w:rPr/>
              <w:t xml:space="preserve"> and reforestation (Canadell and Raupach, 2008), soil carbon enhancement (Paustian et al., 2016; Frank et al., 2017; Zomer et al., 2017), and other conservation, restoration, and management options for natural and managed land (Griscom et al., 2017) and coastal ecosystems (McLeod et al., 2011).</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48</w:t>
            </w:r>
          </w:p>
        </w:tc>
        <w:tc>
          <w:tcPr>
            <w:tcW w:w="8200" w:type="dxa"/>
            <w:tcBorders/>
            <w:shd w:fill="auto" w:val="clear"/>
          </w:tcPr>
          <w:p>
            <w:pPr>
              <w:pStyle w:val="TextBody"/>
              <w:spacing w:before="0" w:after="140"/>
              <w:rPr/>
            </w:pPr>
            <w:r>
              <w:rPr/>
              <w:t xml:space="preserve">Other approaches are concerned with storing atmospheric carbon dioxide in geological formations. They include the combination of </w:t>
            </w:r>
            <w:r>
              <w:rPr>
                <w:b/>
                <w:bCs/>
                <w:color w:val="F58220"/>
              </w:rPr>
              <w:t>biomass use for energy production with carbon capture and storage (BECCS)</w:t>
            </w:r>
            <w:r>
              <w:rPr/>
              <w:t xml:space="preserve"> (Obersteiner et al., 2001; Keith and Rhodes, 2002; Gough and Upham, 2011) and direct air capture with storage (DACCS) using chemical solvents and sorbents (Zeman and Lackner, 2004; Keith et al., 2006; Socolow et al., 2011).</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49</w:t>
            </w:r>
          </w:p>
        </w:tc>
        <w:tc>
          <w:tcPr>
            <w:tcW w:w="8200" w:type="dxa"/>
            <w:tcBorders/>
            <w:shd w:fill="auto" w:val="clear"/>
          </w:tcPr>
          <w:p>
            <w:pPr>
              <w:pStyle w:val="TextBody"/>
              <w:spacing w:before="0" w:after="140"/>
              <w:rPr/>
            </w:pPr>
            <w:r>
              <w:rPr/>
              <w:t xml:space="preserve">The costs, </w:t>
            </w:r>
            <w:r>
              <w:rPr>
                <w:b/>
                <w:bCs/>
                <w:color w:val="00A65D"/>
              </w:rPr>
              <w:t>CDR</w:t>
            </w:r>
            <w:r>
              <w:rPr/>
              <w:t xml:space="preserve"> potential and environmental side effects of  several of these measures are increasingly investigated and compared in the literature, but large uncertainties remain, in particular concerning the feasibility and impact of large-scale deployment of </w:t>
            </w:r>
            <w:r>
              <w:rPr>
                <w:b/>
                <w:bCs/>
                <w:color w:val="00A65D"/>
              </w:rPr>
              <w:t>CDR</w:t>
            </w:r>
            <w:r>
              <w:rPr/>
              <w:t xml:space="preserve"> measures (The Royal Society, 2009; Smith et al., 2015; Psarras et al., 2017; Fuss et al., 2018) (see </w:t>
            </w:r>
            <w:r>
              <w:rPr>
                <w:b/>
                <w:bCs/>
                <w:color w:val="CE181E"/>
              </w:rPr>
              <w:t>Chapter 4.3.7</w:t>
            </w:r>
            <w:r>
              <w:rPr/>
              <w:t>).</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50</w:t>
            </w:r>
          </w:p>
        </w:tc>
        <w:tc>
          <w:tcPr>
            <w:tcW w:w="8200" w:type="dxa"/>
            <w:tcBorders/>
            <w:shd w:fill="auto" w:val="clear"/>
          </w:tcPr>
          <w:p>
            <w:pPr>
              <w:pStyle w:val="TextBody"/>
              <w:spacing w:before="0" w:after="140"/>
              <w:rPr/>
            </w:pPr>
            <w:r>
              <w:rPr/>
              <w:t xml:space="preserve">The mitigation scenario literature up to AR5 mostly included </w:t>
            </w:r>
            <w:r>
              <w:rPr>
                <w:b/>
                <w:bCs/>
                <w:color w:val="F58220"/>
              </w:rPr>
              <w:t>BECCS</w:t>
            </w:r>
            <w:r>
              <w:rPr/>
              <w:t xml:space="preserve"> and, to a more limited extent, </w:t>
            </w:r>
            <w:r>
              <w:rPr>
                <w:b/>
                <w:bCs/>
                <w:color w:val="0066B3"/>
              </w:rPr>
              <w:t>afforestation</w:t>
            </w:r>
            <w:r>
              <w:rPr/>
              <w:t xml:space="preserve"> and reforestation (Clarke et al., 2014).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51</w:t>
            </w:r>
          </w:p>
        </w:tc>
        <w:tc>
          <w:tcPr>
            <w:tcW w:w="8200" w:type="dxa"/>
            <w:tcBorders/>
            <w:shd w:fill="auto" w:val="clear"/>
          </w:tcPr>
          <w:p>
            <w:pPr>
              <w:pStyle w:val="TextBody"/>
              <w:spacing w:before="0" w:after="140"/>
              <w:rPr/>
            </w:pPr>
            <w:r>
              <w:rPr/>
              <w:t xml:space="preserve">Since then, some 2°C- and 1.5°C-consistent pathways including additional </w:t>
            </w:r>
            <w:r>
              <w:rPr>
                <w:b/>
                <w:bCs/>
                <w:color w:val="00A65D"/>
              </w:rPr>
              <w:t>CDR</w:t>
            </w:r>
            <w:r>
              <w:rPr/>
              <w:t xml:space="preserve"> measures such as DACCS (Chen and Tavoni, 2013; Marcucci et al., 2017; Lehtilä and Koljonen, 2018; Strefler et al., 2018b) and soil carbon sequestration (Frank et al., 2017) have become available.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52</w:t>
            </w:r>
          </w:p>
        </w:tc>
        <w:tc>
          <w:tcPr>
            <w:tcW w:w="8200" w:type="dxa"/>
            <w:tcBorders/>
            <w:shd w:fill="auto" w:val="clear"/>
          </w:tcPr>
          <w:p>
            <w:pPr>
              <w:pStyle w:val="TextBody"/>
              <w:spacing w:before="0" w:after="140"/>
              <w:rPr/>
            </w:pPr>
            <w:r>
              <w:rPr/>
              <w:t xml:space="preserve">Other, more speculative approaches, in particular ocean-based </w:t>
            </w:r>
            <w:r>
              <w:rPr>
                <w:b/>
                <w:bCs/>
                <w:color w:val="00A65D"/>
              </w:rPr>
              <w:t>CDR</w:t>
            </w:r>
            <w:r>
              <w:rPr/>
              <w:t xml:space="preserve"> and removal of non-CO 2 gases, have not yet been taken up by the literature on mitigation pathways.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53</w:t>
            </w:r>
          </w:p>
        </w:tc>
        <w:tc>
          <w:tcPr>
            <w:tcW w:w="8200" w:type="dxa"/>
            <w:tcBorders/>
            <w:shd w:fill="auto" w:val="clear"/>
          </w:tcPr>
          <w:p>
            <w:pPr>
              <w:pStyle w:val="TextBody"/>
              <w:spacing w:before="0" w:after="140"/>
              <w:rPr/>
            </w:pPr>
            <w:r>
              <w:rPr/>
              <w:t xml:space="preserve">See </w:t>
            </w:r>
            <w:r>
              <w:rPr>
                <w:b/>
                <w:bCs/>
                <w:color w:val="CE181E"/>
              </w:rPr>
              <w:t>Supplementary Material 2.SM.1.2</w:t>
            </w:r>
            <w:r>
              <w:rPr/>
              <w:t xml:space="preserve"> for an overview on the coverage of </w:t>
            </w:r>
            <w:r>
              <w:rPr>
                <w:b/>
                <w:bCs/>
                <w:color w:val="00A65D"/>
              </w:rPr>
              <w:t>CDR</w:t>
            </w:r>
            <w:r>
              <w:rPr/>
              <w:t xml:space="preserve"> measures in models which contributed pathways to this assessment. </w:t>
            </w:r>
            <w:r>
              <w:rPr>
                <w:b/>
                <w:bCs/>
                <w:color w:val="CE181E"/>
              </w:rPr>
              <w:t>Chapter 4.3.7</w:t>
            </w:r>
            <w:r>
              <w:rPr/>
              <w:t xml:space="preserve"> assesses the potential, costs, and sustainability implications of the full range of </w:t>
            </w:r>
            <w:r>
              <w:rPr>
                <w:b/>
                <w:bCs/>
                <w:color w:val="00A65D"/>
              </w:rPr>
              <w:t>CDR</w:t>
            </w:r>
            <w:r>
              <w:rPr/>
              <w:t xml:space="preserve"> measures.</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54</w:t>
            </w:r>
          </w:p>
        </w:tc>
        <w:tc>
          <w:tcPr>
            <w:tcW w:w="8200" w:type="dxa"/>
            <w:tcBorders/>
            <w:shd w:fill="auto" w:val="clear"/>
          </w:tcPr>
          <w:p>
            <w:pPr>
              <w:pStyle w:val="TextBody"/>
              <w:spacing w:before="0" w:after="140"/>
              <w:rPr/>
            </w:pPr>
            <w:r>
              <w:rPr/>
              <w:t xml:space="preserve">Moreover, associated </w:t>
            </w:r>
            <w:r>
              <w:rPr>
                <w:b/>
                <w:bCs/>
                <w:color w:val="00A65D"/>
              </w:rPr>
              <w:t>CDR</w:t>
            </w:r>
            <w:r>
              <w:rPr/>
              <w:t xml:space="preserve"> measures have low technological requirements, and come with potential environmental and social co-benefits (Griscom et al., 2017).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55</w:t>
            </w:r>
          </w:p>
        </w:tc>
        <w:tc>
          <w:tcPr>
            <w:tcW w:w="8200" w:type="dxa"/>
            <w:tcBorders/>
            <w:shd w:fill="auto" w:val="clear"/>
          </w:tcPr>
          <w:p>
            <w:pPr>
              <w:pStyle w:val="TextBody"/>
              <w:spacing w:before="0" w:after="140"/>
              <w:rPr/>
            </w:pPr>
            <w:r>
              <w:rPr/>
              <w:t xml:space="preserve">Despite the evolving capabilities of IAMs in accounting for a wider range of </w:t>
            </w:r>
            <w:r>
              <w:rPr>
                <w:b/>
                <w:bCs/>
                <w:color w:val="00A65D"/>
              </w:rPr>
              <w:t>CDR</w:t>
            </w:r>
            <w:r>
              <w:rPr/>
              <w:t xml:space="preserve"> measures, 1.5°C-consistent pathways assessed here continue to predominantly rely on </w:t>
            </w:r>
            <w:r>
              <w:rPr>
                <w:b/>
                <w:bCs/>
                <w:color w:val="F58220"/>
              </w:rPr>
              <w:t>BECCS</w:t>
            </w:r>
            <w:r>
              <w:rPr/>
              <w:t xml:space="preserve"> and </w:t>
            </w:r>
            <w:r>
              <w:rPr>
                <w:b/>
                <w:bCs/>
                <w:color w:val="0066B3"/>
              </w:rPr>
              <w:t>afforestation</w:t>
            </w:r>
            <w:r>
              <w:rPr/>
              <w:t xml:space="preserve">/reforestation (see </w:t>
            </w:r>
            <w:r>
              <w:rPr>
                <w:b/>
                <w:bCs/>
                <w:color w:val="CE181E"/>
              </w:rPr>
              <w:t>Supplementary Material 2.SM.1.2</w:t>
            </w:r>
            <w:r>
              <w:rPr/>
              <w:t>).</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56</w:t>
            </w:r>
          </w:p>
        </w:tc>
        <w:tc>
          <w:tcPr>
            <w:tcW w:w="8200" w:type="dxa"/>
            <w:tcBorders/>
            <w:shd w:fill="auto" w:val="clear"/>
          </w:tcPr>
          <w:p>
            <w:pPr>
              <w:pStyle w:val="TextBody"/>
              <w:spacing w:before="0" w:after="140"/>
              <w:rPr/>
            </w:pPr>
            <w:r>
              <w:rPr>
                <w:b/>
                <w:bCs/>
                <w:color w:val="0066B3"/>
              </w:rPr>
              <w:t>Net CDR in the AFOLU sector</w:t>
            </w:r>
            <w:r>
              <w:rPr/>
              <w:t xml:space="preserve">, including but not restricted to </w:t>
            </w:r>
            <w:r>
              <w:rPr>
                <w:b/>
                <w:bCs/>
                <w:color w:val="0066B3"/>
              </w:rPr>
              <w:t>afforestation</w:t>
            </w:r>
            <w:r>
              <w:rPr/>
              <w:t xml:space="preserve"> and reforestation, can thus in principle be inferred by comparing AFOLU CO 2 emissions between a baseline scenario and a 1.5°C-consistent pathway from the same model and study.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57</w:t>
            </w:r>
          </w:p>
        </w:tc>
        <w:tc>
          <w:tcPr>
            <w:tcW w:w="8200" w:type="dxa"/>
            <w:tcBorders/>
            <w:shd w:fill="auto" w:val="clear"/>
          </w:tcPr>
          <w:p>
            <w:pPr>
              <w:pStyle w:val="TextBody"/>
              <w:spacing w:before="0" w:after="140"/>
              <w:rPr/>
            </w:pPr>
            <w:r>
              <w:rPr/>
              <w:t xml:space="preserve">However, baseline AFOLU CO 2 emissions can not only be reduced by </w:t>
            </w:r>
            <w:r>
              <w:rPr>
                <w:b/>
                <w:bCs/>
                <w:i w:val="false"/>
                <w:iCs w:val="false"/>
                <w:color w:val="0066B3"/>
              </w:rPr>
              <w:t>CDR in the AFOLU sector</w:t>
            </w:r>
            <w:r>
              <w:rPr/>
              <w:t xml:space="preserve"> but also by measures to reduce deforestation and preserve land carbon stocks.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58</w:t>
            </w:r>
          </w:p>
        </w:tc>
        <w:tc>
          <w:tcPr>
            <w:tcW w:w="8200" w:type="dxa"/>
            <w:tcBorders/>
            <w:shd w:fill="auto" w:val="clear"/>
          </w:tcPr>
          <w:p>
            <w:pPr>
              <w:pStyle w:val="TextBody"/>
              <w:spacing w:before="0" w:after="140"/>
              <w:rPr/>
            </w:pPr>
            <w:r>
              <w:rPr/>
              <w:t xml:space="preserve">As a conservative approximation, the additional </w:t>
            </w:r>
            <w:r>
              <w:rPr>
                <w:b/>
                <w:bCs/>
                <w:color w:val="0066B3"/>
              </w:rPr>
              <w:t>net negative AFOLU CO 2 emissions</w:t>
            </w:r>
            <w:r>
              <w:rPr/>
              <w:t xml:space="preserve"> below the baseline are taken as a proxy for </w:t>
            </w:r>
            <w:r>
              <w:rPr>
                <w:b/>
                <w:bCs/>
                <w:color w:val="0066B3"/>
              </w:rPr>
              <w:t>AFOLU CDR</w:t>
            </w:r>
            <w:r>
              <w:rPr/>
              <w:t xml:space="preserve"> in this assessment.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59</w:t>
            </w:r>
          </w:p>
        </w:tc>
        <w:tc>
          <w:tcPr>
            <w:tcW w:w="8200" w:type="dxa"/>
            <w:tcBorders/>
            <w:shd w:fill="auto" w:val="clear"/>
          </w:tcPr>
          <w:p>
            <w:pPr>
              <w:pStyle w:val="TextBody"/>
              <w:spacing w:before="0" w:after="140"/>
              <w:rPr/>
            </w:pPr>
            <w:r>
              <w:rPr/>
              <w:t xml:space="preserve">Because this does not include </w:t>
            </w:r>
            <w:r>
              <w:rPr>
                <w:b/>
                <w:bCs/>
                <w:color w:val="00A65D"/>
              </w:rPr>
              <w:t>CDR</w:t>
            </w:r>
            <w:r>
              <w:rPr/>
              <w:t xml:space="preserve"> that was deployed before reaching net zero AFOLU CO 2 emissions, this approximation is a lower-bound for terrestrial </w:t>
            </w:r>
            <w:r>
              <w:rPr>
                <w:b/>
                <w:bCs/>
                <w:color w:val="00A65D"/>
              </w:rPr>
              <w:t>CDR</w:t>
            </w:r>
            <w:r>
              <w:rPr/>
              <w:t xml:space="preserve"> in the AFOLU sector (including all mitigation-policy-related factors that lead to </w:t>
            </w:r>
            <w:r>
              <w:rPr>
                <w:b/>
                <w:bCs/>
                <w:color w:val="0066B3"/>
              </w:rPr>
              <w:t>net negative AFOLU CO 2 emissions</w:t>
            </w:r>
            <w:r>
              <w:rPr/>
              <w:t>).</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60</w:t>
            </w:r>
          </w:p>
        </w:tc>
        <w:tc>
          <w:tcPr>
            <w:tcW w:w="8200" w:type="dxa"/>
            <w:tcBorders/>
            <w:shd w:fill="auto" w:val="clear"/>
          </w:tcPr>
          <w:p>
            <w:pPr>
              <w:pStyle w:val="TextBody"/>
              <w:spacing w:before="0" w:after="140"/>
              <w:rPr/>
            </w:pPr>
            <w:r>
              <w:rPr/>
              <w:t xml:space="preserve">The scale and type of </w:t>
            </w:r>
            <w:r>
              <w:rPr>
                <w:b/>
                <w:bCs/>
                <w:color w:val="00A65D"/>
              </w:rPr>
              <w:t>CDR</w:t>
            </w:r>
            <w:r>
              <w:rPr/>
              <w:t xml:space="preserve"> deployment in 1.5°C-consistent pathways varies widely (</w:t>
            </w:r>
            <w:r>
              <w:rPr>
                <w:b/>
                <w:bCs/>
                <w:color w:val="CE181E"/>
              </w:rPr>
              <w:t>Figure 2.9 and 2.10</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61</w:t>
            </w:r>
          </w:p>
        </w:tc>
        <w:tc>
          <w:tcPr>
            <w:tcW w:w="8200" w:type="dxa"/>
            <w:tcBorders/>
            <w:shd w:fill="auto" w:val="clear"/>
          </w:tcPr>
          <w:p>
            <w:pPr>
              <w:pStyle w:val="TextBody"/>
              <w:spacing w:before="0" w:after="140"/>
              <w:rPr/>
            </w:pPr>
            <w:r>
              <w:rPr/>
              <w:t xml:space="preserve">Overall </w:t>
            </w:r>
            <w:r>
              <w:rPr>
                <w:b/>
                <w:bCs/>
                <w:color w:val="00A65D"/>
              </w:rPr>
              <w:t>CDR</w:t>
            </w:r>
            <w:r>
              <w:rPr/>
              <w:t xml:space="preserve"> deployment over the 21st century is substantial in most of the pathways, and deployment levels cover a wide range, on the order of 100–1000 Gt CO 2 in 1.5°C pathways with no or limited overshoot (730 [260–1030] GtCO 2 , for median and 5th–95th percentile range).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62</w:t>
            </w:r>
          </w:p>
        </w:tc>
        <w:tc>
          <w:tcPr>
            <w:tcW w:w="8200" w:type="dxa"/>
            <w:tcBorders/>
            <w:shd w:fill="auto" w:val="clear"/>
          </w:tcPr>
          <w:p>
            <w:pPr>
              <w:pStyle w:val="TextBody"/>
              <w:spacing w:before="0" w:after="140"/>
              <w:rPr/>
            </w:pPr>
            <w:r>
              <w:rPr/>
              <w:t xml:space="preserve">Both </w:t>
            </w:r>
            <w:r>
              <w:rPr>
                <w:b/>
                <w:bCs/>
                <w:color w:val="F58220"/>
              </w:rPr>
              <w:t>BECCS</w:t>
            </w:r>
            <w:r>
              <w:rPr/>
              <w:t xml:space="preserve"> (480 [0–1000] GtCO 2 in 1.5°C pathways with no or limited overshoot) and </w:t>
            </w:r>
            <w:r>
              <w:rPr>
                <w:b/>
                <w:bCs/>
                <w:color w:val="0066B3"/>
              </w:rPr>
              <w:t>AFOLU CDR</w:t>
            </w:r>
            <w:r>
              <w:rPr/>
              <w:t xml:space="preserve"> measures including </w:t>
            </w:r>
            <w:r>
              <w:rPr>
                <w:b/>
                <w:bCs/>
                <w:color w:val="0066B3"/>
              </w:rPr>
              <w:t>afforestation</w:t>
            </w:r>
            <w:r>
              <w:rPr/>
              <w:t xml:space="preserve"> and reforestation (210 [10-540] GtCO 2 in 1.5°C pathways with no or limited overshoot) can play a major role, 4 but for both cases pathways exist where they play no role at all.</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63</w:t>
            </w:r>
          </w:p>
        </w:tc>
        <w:tc>
          <w:tcPr>
            <w:tcW w:w="8200" w:type="dxa"/>
            <w:tcBorders/>
            <w:shd w:fill="auto" w:val="clear"/>
          </w:tcPr>
          <w:p>
            <w:pPr>
              <w:pStyle w:val="TextBody"/>
              <w:spacing w:before="0" w:after="140"/>
              <w:rPr/>
            </w:pPr>
            <w:r>
              <w:rPr/>
              <w:t xml:space="preserve">This shows the flexibility in substituting between individual </w:t>
            </w:r>
            <w:r>
              <w:rPr>
                <w:b/>
                <w:bCs/>
                <w:color w:val="00A65D"/>
              </w:rPr>
              <w:t>CDR</w:t>
            </w:r>
            <w:r>
              <w:rPr/>
              <w:t xml:space="preserve"> measures, once a portfolio of options becomes available.</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64</w:t>
            </w:r>
          </w:p>
        </w:tc>
        <w:tc>
          <w:tcPr>
            <w:tcW w:w="8200" w:type="dxa"/>
            <w:tcBorders/>
            <w:shd w:fill="auto" w:val="clear"/>
          </w:tcPr>
          <w:p>
            <w:pPr>
              <w:pStyle w:val="TextBody"/>
              <w:spacing w:before="0" w:after="140"/>
              <w:rPr/>
            </w:pPr>
            <w:r>
              <w:rPr/>
              <w:t xml:space="preserve">The high end of the </w:t>
            </w:r>
            <w:r>
              <w:rPr>
                <w:b/>
                <w:bCs/>
                <w:color w:val="00A65D"/>
              </w:rPr>
              <w:t>CDR</w:t>
            </w:r>
            <w:r>
              <w:rPr/>
              <w:t xml:space="preserve"> deployment range is populated by high overshoot pathways, as illustrated by pathway archetype S5 based on SSP5 (fossil-fuelled development, see </w:t>
            </w:r>
            <w:r>
              <w:rPr>
                <w:b/>
                <w:bCs/>
                <w:color w:val="CE181E"/>
              </w:rPr>
              <w:t>Section 2.3.1.1</w:t>
            </w:r>
            <w:r>
              <w:rPr/>
              <w:t xml:space="preserve">) and characterized by very large </w:t>
            </w:r>
            <w:r>
              <w:rPr>
                <w:b/>
                <w:bCs/>
                <w:color w:val="F58220"/>
              </w:rPr>
              <w:t>BECCS</w:t>
            </w:r>
            <w:r>
              <w:rPr/>
              <w:t xml:space="preserve"> deployment to return warming to 1.5°C by 2100 (Kriegler et al., 2017).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65</w:t>
            </w:r>
          </w:p>
        </w:tc>
        <w:tc>
          <w:tcPr>
            <w:tcW w:w="8200" w:type="dxa"/>
            <w:tcBorders/>
            <w:shd w:fill="auto" w:val="clear"/>
          </w:tcPr>
          <w:p>
            <w:pPr>
              <w:pStyle w:val="TextBody"/>
              <w:spacing w:before="0" w:after="140"/>
              <w:rPr/>
            </w:pPr>
            <w:r>
              <w:rPr/>
              <w:t xml:space="preserve">In contrast, the low end is populated by a few pathways with no or limited overshoot that limit </w:t>
            </w:r>
            <w:r>
              <w:rPr>
                <w:b/>
                <w:bCs/>
                <w:color w:val="00A65D"/>
              </w:rPr>
              <w:t>CDR</w:t>
            </w:r>
            <w:r>
              <w:rPr/>
              <w:t xml:space="preserve"> to on the order of 100–200 GtCO 2 over the 21st century, coming entirely from terrestrial </w:t>
            </w:r>
            <w:r>
              <w:rPr>
                <w:b/>
                <w:bCs/>
                <w:color w:val="00A65D"/>
              </w:rPr>
              <w:t>CDR</w:t>
            </w:r>
            <w:r>
              <w:rPr/>
              <w:t xml:space="preserve"> measures with no or small use of </w:t>
            </w:r>
            <w:r>
              <w:rPr>
                <w:b/>
                <w:bCs/>
                <w:color w:val="F58220"/>
              </w:rPr>
              <w:t>BECCS</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66</w:t>
            </w:r>
          </w:p>
        </w:tc>
        <w:tc>
          <w:tcPr>
            <w:tcW w:w="8200" w:type="dxa"/>
            <w:tcBorders/>
            <w:shd w:fill="auto" w:val="clear"/>
          </w:tcPr>
          <w:p>
            <w:pPr>
              <w:pStyle w:val="TextBody"/>
              <w:spacing w:before="0" w:after="140"/>
              <w:rPr/>
            </w:pPr>
            <w:r>
              <w:rPr/>
              <w:t xml:space="preserve">These are pathways with very low energy demand facilitating the rapid phase-out of fossil fuels and process emissions that exclude </w:t>
            </w:r>
            <w:r>
              <w:rPr>
                <w:b/>
                <w:bCs/>
                <w:color w:val="F58220"/>
              </w:rPr>
              <w:t>BECCS</w:t>
            </w:r>
            <w:r>
              <w:rPr/>
              <w:t xml:space="preserve"> and CCS use (Grubler et al., 2018) and/or pathways with rapid shifts to sustainable food consumption freeing up sufficient land areas for </w:t>
            </w:r>
            <w:r>
              <w:rPr>
                <w:b/>
                <w:bCs/>
                <w:color w:val="0066B3"/>
              </w:rPr>
              <w:t>afforestation</w:t>
            </w:r>
            <w:r>
              <w:rPr/>
              <w:t xml:space="preserve"> and reforestation (Haberl et al., 2011; van Vuuren et al.,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67</w:t>
            </w:r>
          </w:p>
        </w:tc>
        <w:tc>
          <w:tcPr>
            <w:tcW w:w="8200" w:type="dxa"/>
            <w:tcBorders/>
            <w:shd w:fill="auto" w:val="clear"/>
          </w:tcPr>
          <w:p>
            <w:pPr>
              <w:pStyle w:val="TextBody"/>
              <w:spacing w:before="0" w:after="140"/>
              <w:rPr/>
            </w:pPr>
            <w:r>
              <w:rPr/>
              <w:t xml:space="preserve">Some pathways use neither </w:t>
            </w:r>
            <w:r>
              <w:rPr>
                <w:b/>
                <w:bCs/>
                <w:color w:val="F58220"/>
              </w:rPr>
              <w:t>BECCS</w:t>
            </w:r>
            <w:r>
              <w:rPr/>
              <w:t xml:space="preserve"> nor </w:t>
            </w:r>
            <w:r>
              <w:rPr>
                <w:b/>
                <w:bCs/>
                <w:color w:val="0066B3"/>
              </w:rPr>
              <w:t>afforestation</w:t>
            </w:r>
            <w:r>
              <w:rPr/>
              <w:t xml:space="preserve"> but still rely on </w:t>
            </w:r>
            <w:r>
              <w:rPr>
                <w:b/>
                <w:bCs/>
                <w:color w:val="00A65D"/>
              </w:rPr>
              <w:t>CDR</w:t>
            </w:r>
            <w:r>
              <w:rPr/>
              <w:t xml:space="preserve"> through considerable </w:t>
            </w:r>
            <w:r>
              <w:rPr>
                <w:b/>
                <w:bCs/>
                <w:color w:val="0066B3"/>
              </w:rPr>
              <w:t>net negative CO 2 emissions in the AFOLU</w:t>
            </w:r>
            <w:r>
              <w:rPr/>
              <w:t xml:space="preserve"> sector around mid-century (Holz et al., 2018b).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68</w:t>
            </w:r>
          </w:p>
        </w:tc>
        <w:tc>
          <w:tcPr>
            <w:tcW w:w="8200" w:type="dxa"/>
            <w:tcBorders/>
            <w:shd w:fill="auto" w:val="clear"/>
          </w:tcPr>
          <w:p>
            <w:pPr>
              <w:pStyle w:val="TextBody"/>
              <w:spacing w:before="0" w:after="140"/>
              <w:rPr/>
            </w:pPr>
            <w:r>
              <w:rPr/>
              <w:t xml:space="preserve">We conclude that the role of </w:t>
            </w:r>
            <w:r>
              <w:rPr>
                <w:b/>
                <w:bCs/>
                <w:color w:val="F58220"/>
              </w:rPr>
              <w:t>BECCS</w:t>
            </w:r>
            <w:r>
              <w:rPr/>
              <w:t xml:space="preserve"> as a dominant </w:t>
            </w:r>
            <w:r>
              <w:rPr>
                <w:b/>
                <w:bCs/>
                <w:color w:val="00A65D"/>
              </w:rPr>
              <w:t>CDR</w:t>
            </w:r>
            <w:r>
              <w:rPr/>
              <w:t xml:space="preserve"> measure in deep mitigation pathways has been reduced since the time of the AR5.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69</w:t>
            </w:r>
          </w:p>
        </w:tc>
        <w:tc>
          <w:tcPr>
            <w:tcW w:w="8200" w:type="dxa"/>
            <w:tcBorders/>
            <w:shd w:fill="auto" w:val="clear"/>
          </w:tcPr>
          <w:p>
            <w:pPr>
              <w:pStyle w:val="TextBody"/>
              <w:spacing w:before="0" w:after="140"/>
              <w:rPr/>
            </w:pPr>
            <w:r>
              <w:rPr/>
              <w:t xml:space="preserve">This is related to three factors: a larger variation of underlying assumptions about socio-economic drivers (Riahi et al., 2017; Rogelj et al., 2018) and associated energy (Grubler et al., 2018) and food demand (van Vuuren et al., 2018); the incorporation of a larger portfolio of mitigation and </w:t>
            </w:r>
            <w:r>
              <w:rPr>
                <w:b/>
                <w:bCs/>
                <w:color w:val="00A65D"/>
              </w:rPr>
              <w:t>CDR</w:t>
            </w:r>
            <w:r>
              <w:rPr/>
              <w:t xml:space="preserve"> options (Marcucci et al., 2017; Grubler et al., 2018; Lehtilä and Koljonen, 2018; Liu et al., 2018; van Vuuren et al., 2018); and targeted analysis of deployment limits for (specific) </w:t>
            </w:r>
            <w:r>
              <w:rPr>
                <w:b/>
                <w:bCs/>
                <w:color w:val="00A65D"/>
              </w:rPr>
              <w:t>CDR</w:t>
            </w:r>
            <w:r>
              <w:rPr/>
              <w:t xml:space="preserve"> measures (Holz et al., 2018b; Kriegler et al., 2018a; Strefler et al., 2018b), including the availability of bioenergy (Bauer et al., 2018), CCS (Krey et al., 2014a; Grubler et al., 2018) and </w:t>
            </w:r>
            <w:r>
              <w:rPr>
                <w:b/>
                <w:bCs/>
                <w:color w:val="0066B3"/>
              </w:rPr>
              <w:t>afforestation</w:t>
            </w:r>
            <w:r>
              <w:rPr/>
              <w:t xml:space="preserve"> (Popp et al., 2014b, 2017).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70</w:t>
            </w:r>
          </w:p>
        </w:tc>
        <w:tc>
          <w:tcPr>
            <w:tcW w:w="8200" w:type="dxa"/>
            <w:tcBorders/>
            <w:shd w:fill="auto" w:val="clear"/>
          </w:tcPr>
          <w:p>
            <w:pPr>
              <w:pStyle w:val="TextBody"/>
              <w:spacing w:before="0" w:after="140"/>
              <w:rPr/>
            </w:pPr>
            <w:r>
              <w:rPr/>
              <w:t xml:space="preserve">As additional </w:t>
            </w:r>
            <w:r>
              <w:rPr>
                <w:b/>
                <w:bCs/>
                <w:color w:val="00A65D"/>
              </w:rPr>
              <w:t>CDR</w:t>
            </w:r>
            <w:r>
              <w:rPr/>
              <w:t xml:space="preserve"> measures are being built into IAMs, the prevalence of </w:t>
            </w:r>
            <w:r>
              <w:rPr>
                <w:b/>
                <w:bCs/>
                <w:color w:val="F58220"/>
              </w:rPr>
              <w:t>BECCS</w:t>
            </w:r>
            <w:r>
              <w:rPr/>
              <w:t xml:space="preserve"> is expected to be further reduced.</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71</w:t>
            </w:r>
          </w:p>
        </w:tc>
        <w:tc>
          <w:tcPr>
            <w:tcW w:w="8200" w:type="dxa"/>
            <w:tcBorders/>
            <w:shd w:fill="auto" w:val="clear"/>
          </w:tcPr>
          <w:p>
            <w:pPr>
              <w:pStyle w:val="TextBody"/>
              <w:spacing w:before="0" w:after="140"/>
              <w:rPr/>
            </w:pPr>
            <w:r>
              <w:rPr/>
              <w:t xml:space="preserve">As discussed in </w:t>
            </w:r>
            <w:r>
              <w:rPr>
                <w:b/>
                <w:bCs/>
                <w:color w:val="CE181E"/>
              </w:rPr>
              <w:t>Section 2.3.2</w:t>
            </w:r>
            <w:r>
              <w:rPr/>
              <w:t xml:space="preserve">, </w:t>
            </w:r>
            <w:r>
              <w:rPr>
                <w:b/>
                <w:bCs/>
                <w:color w:val="00A65D"/>
              </w:rPr>
              <w:t>CDR</w:t>
            </w:r>
            <w:r>
              <w:rPr/>
              <w:t xml:space="preserve"> can be used in two ways in mitigation pathways: (i) to move more rapidly towards the point of carbon neutrality and maintain it afterwards in order to stabilize global mean temperature rise, and (ii) to produce net negative CO 2 emissions, drawing down anthropogenic CO 2 in the atmosphere in order to decline global mean temperature after an overshoot peak (Kriegler et al., 2018b; Obersteiner et al.,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72</w:t>
            </w:r>
          </w:p>
        </w:tc>
        <w:tc>
          <w:tcPr>
            <w:tcW w:w="8200" w:type="dxa"/>
            <w:tcBorders/>
            <w:shd w:fill="auto" w:val="clear"/>
          </w:tcPr>
          <w:p>
            <w:pPr>
              <w:pStyle w:val="TextBody"/>
              <w:spacing w:before="0" w:after="140"/>
              <w:rPr/>
            </w:pPr>
            <w:r>
              <w:rPr/>
              <w:t xml:space="preserve">Because of the tighter remaining 1.5°C carbon budget, and because many pathways in the literature do not restrict exceeding this budget prior to 2100, the relative weight of the net negative emissions component of </w:t>
            </w:r>
            <w:r>
              <w:rPr>
                <w:b/>
                <w:bCs/>
                <w:color w:val="00A65D"/>
              </w:rPr>
              <w:t>CDR</w:t>
            </w:r>
            <w:r>
              <w:rPr/>
              <w:t xml:space="preserve"> increases compared to 2°C-consistent pathways.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73</w:t>
            </w:r>
          </w:p>
        </w:tc>
        <w:tc>
          <w:tcPr>
            <w:tcW w:w="8200" w:type="dxa"/>
            <w:tcBorders/>
            <w:shd w:fill="auto" w:val="clear"/>
          </w:tcPr>
          <w:p>
            <w:pPr>
              <w:pStyle w:val="TextBody"/>
              <w:spacing w:before="0" w:after="140"/>
              <w:rPr/>
            </w:pPr>
            <w:r>
              <w:rPr/>
              <w:t xml:space="preserve">The amount of compensatory </w:t>
            </w:r>
            <w:r>
              <w:rPr>
                <w:b/>
                <w:bCs/>
                <w:color w:val="00A65D"/>
              </w:rPr>
              <w:t>CDR</w:t>
            </w:r>
            <w:r>
              <w:rPr/>
              <w:t xml:space="preserve"> remains roughly the same over the century.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74</w:t>
            </w:r>
          </w:p>
        </w:tc>
        <w:tc>
          <w:tcPr>
            <w:tcW w:w="8200" w:type="dxa"/>
            <w:tcBorders/>
            <w:shd w:fill="auto" w:val="clear"/>
          </w:tcPr>
          <w:p>
            <w:pPr>
              <w:pStyle w:val="TextBody"/>
              <w:spacing w:before="0" w:after="140"/>
              <w:rPr/>
            </w:pPr>
            <w:r>
              <w:rPr/>
              <w:t xml:space="preserve">This is the net effect of stronger deployment of compensatory </w:t>
            </w:r>
            <w:r>
              <w:rPr>
                <w:b/>
                <w:bCs/>
                <w:color w:val="00A65D"/>
              </w:rPr>
              <w:t>CDR</w:t>
            </w:r>
            <w:r>
              <w:rPr/>
              <w:t xml:space="preserve"> until mid-century to accelerate the approach to carbon neutrality and less compensatory </w:t>
            </w:r>
            <w:r>
              <w:rPr>
                <w:b/>
                <w:bCs/>
                <w:color w:val="00A65D"/>
              </w:rPr>
              <w:t>CDR</w:t>
            </w:r>
            <w:r>
              <w:rPr/>
              <w:t xml:space="preserve"> in the second half of the century due to deeper mitigation of end-use sectors in 1.5°C-consistent pathways (Luderer et al.,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75</w:t>
            </w:r>
          </w:p>
        </w:tc>
        <w:tc>
          <w:tcPr>
            <w:tcW w:w="8200" w:type="dxa"/>
            <w:tcBorders/>
            <w:shd w:fill="auto" w:val="clear"/>
          </w:tcPr>
          <w:p>
            <w:pPr>
              <w:pStyle w:val="TextBody"/>
              <w:spacing w:before="0" w:after="140"/>
              <w:rPr/>
            </w:pPr>
            <w:r>
              <w:rPr/>
              <w:t xml:space="preserve">Comparing median levels, end-of-century net cumulative CO 2 emissions are roughly 600 GtCO 2 smaller in 1.5°C compared to 2°C-consistent pathways, with approximately two thirds coming from further reductions of gross CO 2 emissions and the remaining third from increased </w:t>
            </w:r>
            <w:r>
              <w:rPr>
                <w:b/>
                <w:bCs/>
                <w:color w:val="00A65D"/>
              </w:rPr>
              <w:t>CDR</w:t>
            </w:r>
            <w:r>
              <w:rPr/>
              <w:t xml:space="preserve"> deployment.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76</w:t>
            </w:r>
          </w:p>
        </w:tc>
        <w:tc>
          <w:tcPr>
            <w:tcW w:w="8200" w:type="dxa"/>
            <w:tcBorders/>
            <w:shd w:fill="auto" w:val="clear"/>
          </w:tcPr>
          <w:p>
            <w:pPr>
              <w:pStyle w:val="TextBody"/>
              <w:spacing w:before="0" w:after="140"/>
              <w:rPr/>
            </w:pPr>
            <w:r>
              <w:rPr/>
              <w:t xml:space="preserve">As a result, median levels of total </w:t>
            </w:r>
            <w:r>
              <w:rPr>
                <w:b/>
                <w:bCs/>
                <w:color w:val="00A65D"/>
              </w:rPr>
              <w:t>CDR</w:t>
            </w:r>
            <w:r>
              <w:rPr/>
              <w:t xml:space="preserve"> deployment in 1.5°C-consistent pathways are larger than in 2°C-consistent pathways (</w:t>
            </w:r>
            <w:r>
              <w:rPr>
                <w:b/>
                <w:bCs/>
                <w:color w:val="CE181E"/>
              </w:rPr>
              <w:t>Figure 2.9</w:t>
            </w:r>
            <w:r>
              <w:rPr/>
              <w:t>), but with marked variations in each pathway class.</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77</w:t>
            </w:r>
          </w:p>
        </w:tc>
        <w:tc>
          <w:tcPr>
            <w:tcW w:w="8200" w:type="dxa"/>
            <w:tcBorders/>
            <w:shd w:fill="auto" w:val="clear"/>
          </w:tcPr>
          <w:p>
            <w:pPr>
              <w:pStyle w:val="TextBody"/>
              <w:spacing w:before="0" w:after="140"/>
              <w:rPr/>
            </w:pPr>
            <w:r>
              <w:rPr/>
              <w:t xml:space="preserve">Ramp-up rates of individual </w:t>
            </w:r>
            <w:r>
              <w:rPr>
                <w:b/>
                <w:bCs/>
                <w:color w:val="00A65D"/>
              </w:rPr>
              <w:t>CDR</w:t>
            </w:r>
            <w:r>
              <w:rPr/>
              <w:t xml:space="preserve"> measures in 1.5°C-consistent pathways are provided in </w:t>
            </w:r>
            <w:r>
              <w:rPr>
                <w:b/>
                <w:bCs/>
                <w:color w:val="CE181E"/>
              </w:rPr>
              <w:t>Table 2.4</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78</w:t>
            </w:r>
          </w:p>
        </w:tc>
        <w:tc>
          <w:tcPr>
            <w:tcW w:w="8200" w:type="dxa"/>
            <w:tcBorders/>
            <w:shd w:fill="auto" w:val="clear"/>
          </w:tcPr>
          <w:p>
            <w:pPr>
              <w:pStyle w:val="TextBody"/>
              <w:spacing w:before="0" w:after="140"/>
              <w:rPr/>
            </w:pPr>
            <w:r>
              <w:rPr>
                <w:b/>
                <w:bCs/>
                <w:color w:val="F58220"/>
              </w:rPr>
              <w:t>BECCS</w:t>
            </w:r>
            <w:r>
              <w:rPr/>
              <w:t xml:space="preserve"> deployment is still limited in 2030, but ramps up to median levels of 3 (Below-1.5°C), 5 (1.5°C-low-OS) and 7 GtCO 2 yr −1 (1.5°C-high-OS) in 2050, and to 6 (Below-1.5°C), 12 (1.5°C-low-OS) and 15 GtCO 2 yr −1 (1.5°C-high-OS) in 2100, respectively. In 1.5°C pathways with no or limited overshoot, this amounts to 0–1, 0–8, and 0–16 GtCO 2 yr −1 in 2030, 2050, and 2100, respectively (ranges refer to the union of the min-max range of the Below-1.5°C and the interquartile range of the 1.5°C-low-OS class; see </w:t>
            </w:r>
            <w:r>
              <w:rPr>
                <w:b/>
                <w:bCs/>
                <w:color w:val="CE181E"/>
              </w:rPr>
              <w:t>Table 2.4</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79</w:t>
            </w:r>
          </w:p>
        </w:tc>
        <w:tc>
          <w:tcPr>
            <w:tcW w:w="8200" w:type="dxa"/>
            <w:tcBorders/>
            <w:shd w:fill="auto" w:val="clear"/>
          </w:tcPr>
          <w:p>
            <w:pPr>
              <w:pStyle w:val="TextBody"/>
              <w:spacing w:before="0" w:after="140"/>
              <w:rPr/>
            </w:pPr>
            <w:r>
              <w:rPr>
                <w:b/>
                <w:bCs/>
                <w:color w:val="0066B3"/>
              </w:rPr>
              <w:t>Net CDR in the AFOLU sector</w:t>
            </w:r>
            <w:r>
              <w:rPr/>
              <w:t xml:space="preserve"> reaches slightly lower levels in 2050, and stays more constant until 2100.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80</w:t>
            </w:r>
          </w:p>
        </w:tc>
        <w:tc>
          <w:tcPr>
            <w:tcW w:w="8200" w:type="dxa"/>
            <w:tcBorders/>
            <w:shd w:fill="auto" w:val="clear"/>
          </w:tcPr>
          <w:p>
            <w:pPr>
              <w:pStyle w:val="TextBody"/>
              <w:spacing w:before="0" w:after="140"/>
              <w:rPr/>
            </w:pPr>
            <w:r>
              <w:rPr/>
              <w:t xml:space="preserve">In 1.5°C pathways with no or limited overshoot, </w:t>
            </w:r>
            <w:r>
              <w:rPr>
                <w:b/>
                <w:bCs/>
                <w:color w:val="0066B3"/>
              </w:rPr>
              <w:t>AFOLU</w:t>
            </w:r>
            <w:r>
              <w:rPr>
                <w:color w:val="0066B3"/>
              </w:rPr>
              <w:t xml:space="preserve"> </w:t>
            </w:r>
            <w:r>
              <w:rPr>
                <w:b/>
                <w:bCs/>
                <w:color w:val="0066B3"/>
              </w:rPr>
              <w:t>CDR</w:t>
            </w:r>
            <w:r>
              <w:rPr/>
              <w:t xml:space="preserve"> amounts to 0–5, 1–11, and 1–5 GtCO 2 yr −1 (see above for the definition of the ranges) in 2030, 2050, and 2100, respectively.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81</w:t>
            </w:r>
          </w:p>
        </w:tc>
        <w:tc>
          <w:tcPr>
            <w:tcW w:w="8200" w:type="dxa"/>
            <w:tcBorders/>
            <w:shd w:fill="auto" w:val="clear"/>
          </w:tcPr>
          <w:p>
            <w:pPr>
              <w:pStyle w:val="TextBody"/>
              <w:spacing w:before="0" w:after="140"/>
              <w:rPr/>
            </w:pPr>
            <w:r>
              <w:rPr/>
              <w:t xml:space="preserve">In contrast to </w:t>
            </w:r>
            <w:r>
              <w:rPr>
                <w:b/>
                <w:bCs/>
                <w:color w:val="F58220"/>
              </w:rPr>
              <w:t>BECCS</w:t>
            </w:r>
            <w:r>
              <w:rPr/>
              <w:t xml:space="preserve">, </w:t>
            </w:r>
            <w:r>
              <w:rPr>
                <w:b/>
                <w:bCs/>
                <w:color w:val="0066B3"/>
              </w:rPr>
              <w:t>AFOLU</w:t>
            </w:r>
            <w:r>
              <w:rPr>
                <w:color w:val="0066B3"/>
              </w:rPr>
              <w:t xml:space="preserve"> </w:t>
            </w:r>
            <w:r>
              <w:rPr>
                <w:b/>
                <w:bCs/>
                <w:color w:val="0066B3"/>
              </w:rPr>
              <w:t>CDR</w:t>
            </w:r>
            <w:r>
              <w:rPr/>
              <w:t xml:space="preserve"> is more strongly deployed in non-overshoot than overshoot pathways. This indicates differences in the timing of the two </w:t>
            </w:r>
            <w:r>
              <w:rPr>
                <w:b/>
                <w:bCs/>
                <w:color w:val="00A65D"/>
              </w:rPr>
              <w:t>CDR</w:t>
            </w:r>
            <w:r>
              <w:rPr/>
              <w:t xml:space="preserve"> approaches.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82</w:t>
            </w:r>
          </w:p>
        </w:tc>
        <w:tc>
          <w:tcPr>
            <w:tcW w:w="8200" w:type="dxa"/>
            <w:tcBorders/>
            <w:shd w:fill="auto" w:val="clear"/>
          </w:tcPr>
          <w:p>
            <w:pPr>
              <w:pStyle w:val="TextBody"/>
              <w:spacing w:before="0" w:after="140"/>
              <w:rPr/>
            </w:pPr>
            <w:r>
              <w:rPr>
                <w:b/>
                <w:bCs/>
                <w:color w:val="0066B3"/>
              </w:rPr>
              <w:t>Afforestation</w:t>
            </w:r>
            <w:r>
              <w:rPr/>
              <w:t xml:space="preserve"> is scaled up until around mid-century, when the time of carbon neutrality is reached in 1.5°C-consistent pathways, while </w:t>
            </w:r>
            <w:r>
              <w:rPr>
                <w:b/>
                <w:bCs/>
                <w:color w:val="F58220"/>
              </w:rPr>
              <w:t>BECCS</w:t>
            </w:r>
            <w:r>
              <w:rPr/>
              <w:t xml:space="preserve"> is projected to be used predominantly in the 2nd half of the century (</w:t>
            </w:r>
            <w:r>
              <w:rPr>
                <w:b/>
                <w:bCs/>
                <w:color w:val="CE181E"/>
              </w:rPr>
              <w:t>Figure 2.5</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83</w:t>
            </w:r>
          </w:p>
        </w:tc>
        <w:tc>
          <w:tcPr>
            <w:tcW w:w="8200" w:type="dxa"/>
            <w:tcBorders/>
            <w:shd w:fill="auto" w:val="clear"/>
          </w:tcPr>
          <w:p>
            <w:pPr>
              <w:pStyle w:val="TextBody"/>
              <w:spacing w:before="0" w:after="140"/>
              <w:rPr/>
            </w:pPr>
            <w:r>
              <w:rPr/>
              <w:t xml:space="preserve">This reflects the fact that </w:t>
            </w:r>
            <w:r>
              <w:rPr>
                <w:b/>
                <w:bCs/>
                <w:color w:val="0066B3"/>
              </w:rPr>
              <w:t>afforestation</w:t>
            </w:r>
            <w:r>
              <w:rPr/>
              <w:t xml:space="preserve"> is a readily available </w:t>
            </w:r>
            <w:r>
              <w:rPr>
                <w:b/>
                <w:bCs/>
                <w:color w:val="00A65D"/>
              </w:rPr>
              <w:t>CDR</w:t>
            </w:r>
            <w:r>
              <w:rPr/>
              <w:t xml:space="preserve"> technology, while </w:t>
            </w:r>
            <w:r>
              <w:rPr>
                <w:b/>
                <w:bCs/>
                <w:color w:val="F58220"/>
              </w:rPr>
              <w:t>BECCS</w:t>
            </w:r>
            <w:r>
              <w:rPr/>
              <w:t xml:space="preserve"> is more costly and much less mature a technology.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84</w:t>
            </w:r>
          </w:p>
        </w:tc>
        <w:tc>
          <w:tcPr>
            <w:tcW w:w="8200" w:type="dxa"/>
            <w:tcBorders/>
            <w:shd w:fill="auto" w:val="clear"/>
          </w:tcPr>
          <w:p>
            <w:pPr>
              <w:pStyle w:val="TextBody"/>
              <w:spacing w:before="0" w:after="140"/>
              <w:rPr/>
            </w:pPr>
            <w:r>
              <w:rPr/>
              <w:t xml:space="preserve">As a result, the two options contribute differently to compensating concurrent CO 2 emissions (until 2050) and to producing net negative CO 2 emissions (post-2050).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85</w:t>
            </w:r>
          </w:p>
        </w:tc>
        <w:tc>
          <w:tcPr>
            <w:tcW w:w="8200" w:type="dxa"/>
            <w:tcBorders/>
            <w:shd w:fill="auto" w:val="clear"/>
          </w:tcPr>
          <w:p>
            <w:pPr>
              <w:pStyle w:val="TextBody"/>
              <w:spacing w:before="0" w:after="140"/>
              <w:rPr/>
            </w:pPr>
            <w:r>
              <w:rPr>
                <w:b/>
                <w:bCs/>
                <w:color w:val="F58220"/>
              </w:rPr>
              <w:t>BECCS</w:t>
            </w:r>
            <w:r>
              <w:rPr/>
              <w:t xml:space="preserve"> deployment is particularly strong in pathways with high overshoots but can also feature in pathways with low overshoot (see </w:t>
            </w:r>
            <w:r>
              <w:rPr>
                <w:b/>
                <w:bCs/>
                <w:color w:val="CE181E"/>
              </w:rPr>
              <w:t>Figure 2.5 and 2.10</w:t>
            </w:r>
            <w:r>
              <w:rPr/>
              <w:t xml:space="preserve">).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86</w:t>
            </w:r>
          </w:p>
        </w:tc>
        <w:tc>
          <w:tcPr>
            <w:tcW w:w="8200" w:type="dxa"/>
            <w:tcBorders/>
            <w:shd w:fill="auto" w:val="clear"/>
          </w:tcPr>
          <w:p>
            <w:pPr>
              <w:pStyle w:val="TextBody"/>
              <w:spacing w:before="0" w:after="140"/>
              <w:rPr/>
            </w:pPr>
            <w:r>
              <w:rPr/>
              <w:t xml:space="preserve">Annual deployment levels until mid-century are not found to be significantly different between 2°C-consistent pathways and 1.5°C-consistent pathways with no or low overshoot. This suggests similar implementation challenges for ramping up </w:t>
            </w:r>
            <w:r>
              <w:rPr>
                <w:b/>
                <w:bCs/>
                <w:color w:val="F58220"/>
              </w:rPr>
              <w:t>BECCS</w:t>
            </w:r>
            <w:r>
              <w:rPr/>
              <w:t xml:space="preserve"> deployment at the rates projected in the pathways (Honegger and Reiner, 2018; Nemet et al.,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87</w:t>
            </w:r>
          </w:p>
        </w:tc>
        <w:tc>
          <w:tcPr>
            <w:tcW w:w="8200" w:type="dxa"/>
            <w:tcBorders/>
            <w:shd w:fill="auto" w:val="clear"/>
          </w:tcPr>
          <w:p>
            <w:pPr>
              <w:pStyle w:val="TextBody"/>
              <w:spacing w:before="0" w:after="140"/>
              <w:rPr/>
            </w:pPr>
            <w:r>
              <w:rPr/>
              <w:t xml:space="preserve">The feasibility and sustainability of upscaling </w:t>
            </w:r>
            <w:r>
              <w:rPr>
                <w:b/>
                <w:bCs/>
                <w:color w:val="00A65D"/>
              </w:rPr>
              <w:t>CDR</w:t>
            </w:r>
            <w:r>
              <w:rPr/>
              <w:t xml:space="preserve"> at these rates is assessed in </w:t>
            </w:r>
            <w:r>
              <w:rPr>
                <w:b/>
                <w:bCs/>
                <w:color w:val="CE181E"/>
              </w:rPr>
              <w:t>Chapter 4.3.7</w:t>
            </w:r>
            <w:r>
              <w:rPr/>
              <w:t>.</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88</w:t>
            </w:r>
          </w:p>
        </w:tc>
        <w:tc>
          <w:tcPr>
            <w:tcW w:w="8200" w:type="dxa"/>
            <w:tcBorders/>
            <w:shd w:fill="auto" w:val="clear"/>
          </w:tcPr>
          <w:p>
            <w:pPr>
              <w:pStyle w:val="TextBody"/>
              <w:spacing w:before="0" w:after="140"/>
              <w:rPr/>
            </w:pPr>
            <w:r>
              <w:rPr/>
              <w:t xml:space="preserve">Concerns have been raised that building expectations about large-scale </w:t>
            </w:r>
            <w:r>
              <w:rPr>
                <w:b/>
                <w:bCs/>
                <w:color w:val="00A65D"/>
              </w:rPr>
              <w:t>CDR</w:t>
            </w:r>
            <w:r>
              <w:rPr/>
              <w:t xml:space="preserve"> deployment in the future can lead to an actual reduction of near-term mitigation efforts (Geden, 2015; Anderson and Peters, 2016; Dooley and Kartha,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89</w:t>
            </w:r>
          </w:p>
        </w:tc>
        <w:tc>
          <w:tcPr>
            <w:tcW w:w="8200" w:type="dxa"/>
            <w:tcBorders/>
            <w:shd w:fill="auto" w:val="clear"/>
          </w:tcPr>
          <w:p>
            <w:pPr>
              <w:pStyle w:val="TextBody"/>
              <w:spacing w:before="0" w:after="140"/>
              <w:rPr/>
            </w:pPr>
            <w:r>
              <w:rPr/>
              <w:t xml:space="preserve">The pathway literature confirms that </w:t>
            </w:r>
            <w:r>
              <w:rPr>
                <w:b/>
                <w:bCs/>
                <w:color w:val="00A65D"/>
              </w:rPr>
              <w:t>CDR</w:t>
            </w:r>
            <w:r>
              <w:rPr/>
              <w:t xml:space="preserve"> availability influences the shape of mitigation pathways critically (Krey et al., 2014a; Holz et al., 2018b; Kriegler et al., 2018a; Strefler et al., 2018b).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90</w:t>
            </w:r>
          </w:p>
        </w:tc>
        <w:tc>
          <w:tcPr>
            <w:tcW w:w="8200" w:type="dxa"/>
            <w:tcBorders/>
            <w:shd w:fill="auto" w:val="clear"/>
          </w:tcPr>
          <w:p>
            <w:pPr>
              <w:pStyle w:val="TextBody"/>
              <w:spacing w:before="0" w:after="140"/>
              <w:rPr/>
            </w:pPr>
            <w:r>
              <w:rPr/>
              <w:t xml:space="preserve">Deeper near-term emissions reductions are required to reach the 1.5°C–2°C target range if </w:t>
            </w:r>
            <w:r>
              <w:rPr>
                <w:b/>
                <w:bCs/>
                <w:color w:val="00A65D"/>
              </w:rPr>
              <w:t>CDR</w:t>
            </w:r>
            <w:r>
              <w:rPr/>
              <w:t xml:space="preserve"> availability is constrained. As a result, the least-cost benchmark pathways to derive GHG emissions gap estimates (UNEP, 2017) are dependent on assumptions about </w:t>
            </w:r>
            <w:r>
              <w:rPr>
                <w:b/>
                <w:bCs/>
                <w:color w:val="00A65D"/>
              </w:rPr>
              <w:t>CDR</w:t>
            </w:r>
            <w:r>
              <w:rPr/>
              <w:t xml:space="preserve"> availability.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91</w:t>
            </w:r>
          </w:p>
        </w:tc>
        <w:tc>
          <w:tcPr>
            <w:tcW w:w="8200" w:type="dxa"/>
            <w:tcBorders/>
            <w:shd w:fill="auto" w:val="clear"/>
          </w:tcPr>
          <w:p>
            <w:pPr>
              <w:pStyle w:val="TextBody"/>
              <w:spacing w:before="0" w:after="140"/>
              <w:rPr/>
            </w:pPr>
            <w:r>
              <w:rPr/>
              <w:t xml:space="preserve">Using GHG benchmarks in climate policy makes implicit assumptions about </w:t>
            </w:r>
            <w:r>
              <w:rPr>
                <w:b/>
                <w:bCs/>
                <w:color w:val="00A65D"/>
              </w:rPr>
              <w:t>CDR</w:t>
            </w:r>
            <w:r>
              <w:rPr/>
              <w:t xml:space="preserve"> availability (Fuss et al., 2014; van Vuuren et al., 2017a).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92</w:t>
            </w:r>
          </w:p>
        </w:tc>
        <w:tc>
          <w:tcPr>
            <w:tcW w:w="8200" w:type="dxa"/>
            <w:tcBorders/>
            <w:shd w:fill="auto" w:val="clear"/>
          </w:tcPr>
          <w:p>
            <w:pPr>
              <w:pStyle w:val="TextBody"/>
              <w:spacing w:before="0" w:after="140"/>
              <w:rPr/>
            </w:pPr>
            <w:r>
              <w:rPr/>
              <w:t xml:space="preserve">At the same time, the literature also shows that rapid and stringent mitigation as well as large-scale </w:t>
            </w:r>
            <w:r>
              <w:rPr>
                <w:b/>
                <w:bCs/>
                <w:color w:val="00A65D"/>
              </w:rPr>
              <w:t>CDR</w:t>
            </w:r>
            <w:r>
              <w:rPr/>
              <w:t xml:space="preserve"> deployment occur simultaneously in 1.5°C pathways due to the tight remaining carbon budget (Luderer et al., 2018).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93</w:t>
            </w:r>
          </w:p>
        </w:tc>
        <w:tc>
          <w:tcPr>
            <w:tcW w:w="8200" w:type="dxa"/>
            <w:tcBorders/>
            <w:shd w:fill="auto" w:val="clear"/>
          </w:tcPr>
          <w:p>
            <w:pPr>
              <w:pStyle w:val="TextBody"/>
              <w:spacing w:before="0" w:after="140"/>
              <w:rPr/>
            </w:pPr>
            <w:r>
              <w:rPr/>
              <w:t xml:space="preserve">Thus, an emissions gap is identified even for high </w:t>
            </w:r>
            <w:r>
              <w:rPr>
                <w:b/>
                <w:bCs/>
                <w:color w:val="00A65D"/>
              </w:rPr>
              <w:t>CDR</w:t>
            </w:r>
            <w:r>
              <w:rPr/>
              <w:t xml:space="preserve"> availability (Strefler et al., 2018b), contradicting a wait-and-see approach. </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94</w:t>
            </w:r>
          </w:p>
        </w:tc>
        <w:tc>
          <w:tcPr>
            <w:tcW w:w="8200" w:type="dxa"/>
            <w:tcBorders/>
            <w:shd w:fill="auto" w:val="clear"/>
          </w:tcPr>
          <w:p>
            <w:pPr>
              <w:pStyle w:val="TextBody"/>
              <w:spacing w:before="0" w:after="140"/>
              <w:rPr/>
            </w:pPr>
            <w:r>
              <w:rPr/>
              <w:t xml:space="preserve">There are significant trade-offs between near-term action, overshoot and reliance on </w:t>
            </w:r>
            <w:r>
              <w:rPr>
                <w:b/>
                <w:bCs/>
                <w:color w:val="00A65D"/>
              </w:rPr>
              <w:t>CDR</w:t>
            </w:r>
            <w:r>
              <w:rPr/>
              <w:t xml:space="preserve"> deployment in the long-term which are assessed in </w:t>
            </w:r>
            <w:r>
              <w:rPr>
                <w:b/>
                <w:bCs/>
                <w:color w:val="CE181E"/>
              </w:rPr>
              <w:t>Section 2.3.5</w:t>
            </w:r>
            <w:r>
              <w:rPr/>
              <w:t>.</w:t>
            </w:r>
          </w:p>
        </w:tc>
        <w:tc>
          <w:tcPr>
            <w:tcW w:w="668" w:type="dxa"/>
            <w:tcBorders/>
            <w:shd w:fill="auto" w:val="clear"/>
          </w:tcPr>
          <w:p>
            <w:pPr>
              <w:pStyle w:val="NoSpacing"/>
              <w:rPr>
                <w:sz w:val="16"/>
                <w:szCs w:val="16"/>
              </w:rPr>
            </w:pPr>
            <w:r>
              <w:rPr>
                <w:sz w:val="16"/>
                <w:szCs w:val="16"/>
              </w:rPr>
              <w:t>2.3.4.1</w:t>
            </w:r>
          </w:p>
        </w:tc>
      </w:tr>
      <w:tr>
        <w:trPr/>
        <w:tc>
          <w:tcPr>
            <w:tcW w:w="528" w:type="dxa"/>
            <w:tcBorders/>
            <w:shd w:fill="auto" w:val="clear"/>
          </w:tcPr>
          <w:p>
            <w:pPr>
              <w:pStyle w:val="NoSpacing"/>
              <w:rPr>
                <w:sz w:val="20"/>
                <w:szCs w:val="20"/>
              </w:rPr>
            </w:pPr>
            <w:r>
              <w:rPr>
                <w:sz w:val="20"/>
                <w:szCs w:val="20"/>
              </w:rPr>
              <w:t>95</w:t>
            </w:r>
          </w:p>
        </w:tc>
        <w:tc>
          <w:tcPr>
            <w:tcW w:w="8200" w:type="dxa"/>
            <w:tcBorders/>
            <w:shd w:fill="auto" w:val="clear"/>
          </w:tcPr>
          <w:p>
            <w:pPr>
              <w:pStyle w:val="TextBody"/>
              <w:spacing w:before="0" w:after="140"/>
              <w:rPr/>
            </w:pPr>
            <w:r>
              <w:rPr/>
              <w:t xml:space="preserve">Strong concerns about the sustainability implications of large-scale </w:t>
            </w:r>
            <w:r>
              <w:rPr>
                <w:b/>
                <w:bCs/>
                <w:color w:val="00A65D"/>
              </w:rPr>
              <w:t>CDR</w:t>
            </w:r>
            <w:r>
              <w:rPr/>
              <w:t xml:space="preserve"> deployment in deep mitigation pathways have been raised in the literature (Williamson and Bodle, 2016; Boysen et al., 2017b; Dooley and Kartha, 2018; Heck et al., 2018), and a number of important knowledge gaps have been identified (Fuss et al., 2016).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96</w:t>
            </w:r>
          </w:p>
        </w:tc>
        <w:tc>
          <w:tcPr>
            <w:tcW w:w="8200" w:type="dxa"/>
            <w:tcBorders/>
            <w:shd w:fill="auto" w:val="clear"/>
          </w:tcPr>
          <w:p>
            <w:pPr>
              <w:pStyle w:val="TextBody"/>
              <w:spacing w:before="0" w:after="140"/>
              <w:rPr/>
            </w:pPr>
            <w:r>
              <w:rPr/>
              <w:t xml:space="preserve">An assessment of the literature on implementation constraints and sustainable development implications of </w:t>
            </w:r>
            <w:r>
              <w:rPr>
                <w:b/>
                <w:bCs/>
                <w:color w:val="00A65D"/>
              </w:rPr>
              <w:t>CDR</w:t>
            </w:r>
            <w:r>
              <w:rPr/>
              <w:t xml:space="preserve"> measures is provided in </w:t>
            </w:r>
            <w:r>
              <w:rPr>
                <w:b/>
                <w:bCs/>
                <w:color w:val="CE181E"/>
              </w:rPr>
              <w:t>Chapter 4</w:t>
            </w:r>
            <w:r>
              <w:rPr/>
              <w:t xml:space="preserve">, </w:t>
            </w:r>
            <w:r>
              <w:rPr>
                <w:b/>
                <w:bCs/>
                <w:color w:val="CE181E"/>
              </w:rPr>
              <w:t>Section 4.3.7 and the Cross-chapter Box 7 in Chapter 3</w:t>
            </w:r>
            <w:r>
              <w:rPr/>
              <w:t xml:space="preserve">.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97</w:t>
            </w:r>
          </w:p>
        </w:tc>
        <w:tc>
          <w:tcPr>
            <w:tcW w:w="8200" w:type="dxa"/>
            <w:tcBorders/>
            <w:shd w:fill="auto" w:val="clear"/>
          </w:tcPr>
          <w:p>
            <w:pPr>
              <w:pStyle w:val="TextBody"/>
              <w:spacing w:before="0" w:after="140"/>
              <w:rPr/>
            </w:pPr>
            <w:r>
              <w:rPr/>
              <w:t xml:space="preserve">An initial discussion of potential environmental side effects of </w:t>
            </w:r>
            <w:r>
              <w:rPr>
                <w:b/>
                <w:bCs/>
                <w:color w:val="00A65D"/>
              </w:rPr>
              <w:t>CDR</w:t>
            </w:r>
            <w:r>
              <w:rPr/>
              <w:t xml:space="preserve"> deployment in 1.5°C-consistent pathways is provided in </w:t>
            </w:r>
            <w:r>
              <w:rPr>
                <w:b/>
                <w:bCs/>
                <w:color w:val="CE181E"/>
              </w:rPr>
              <w:t>this section</w:t>
            </w:r>
            <w:r>
              <w:rPr/>
              <w:t xml:space="preserve">.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98</w:t>
            </w:r>
          </w:p>
        </w:tc>
        <w:tc>
          <w:tcPr>
            <w:tcW w:w="8200" w:type="dxa"/>
            <w:tcBorders/>
            <w:shd w:fill="auto" w:val="clear"/>
          </w:tcPr>
          <w:p>
            <w:pPr>
              <w:pStyle w:val="TextBody"/>
              <w:spacing w:before="0" w:after="140"/>
              <w:rPr/>
            </w:pPr>
            <w:r>
              <w:rPr>
                <w:b/>
                <w:bCs/>
                <w:color w:val="CE181E"/>
              </w:rPr>
              <w:t>Chapter 4, Section 4.3.7</w:t>
            </w:r>
            <w:r>
              <w:rPr/>
              <w:t xml:space="preserve"> then contrasts </w:t>
            </w:r>
            <w:r>
              <w:rPr>
                <w:b/>
                <w:bCs/>
                <w:color w:val="00A65D"/>
              </w:rPr>
              <w:t>CDR</w:t>
            </w:r>
            <w:r>
              <w:rPr/>
              <w:t xml:space="preserve"> deployment in 1.5°C-consistent pathways with other branches of literature on limitations of </w:t>
            </w:r>
            <w:r>
              <w:rPr>
                <w:b/>
                <w:bCs/>
                <w:color w:val="00A65D"/>
              </w:rPr>
              <w:t>CDR</w:t>
            </w:r>
            <w:r>
              <w:rPr/>
              <w:t xml:space="preserve">.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99</w:t>
            </w:r>
          </w:p>
        </w:tc>
        <w:tc>
          <w:tcPr>
            <w:tcW w:w="8200" w:type="dxa"/>
            <w:tcBorders/>
            <w:shd w:fill="auto" w:val="clear"/>
          </w:tcPr>
          <w:p>
            <w:pPr>
              <w:pStyle w:val="TextBody"/>
              <w:spacing w:before="0" w:after="140"/>
              <w:rPr/>
            </w:pPr>
            <w:r>
              <w:rPr/>
              <w:t xml:space="preserve">Individual </w:t>
            </w:r>
            <w:r>
              <w:rPr>
                <w:b/>
                <w:bCs/>
                <w:color w:val="00A65D"/>
              </w:rPr>
              <w:t>CDR</w:t>
            </w:r>
            <w:r>
              <w:rPr/>
              <w:t xml:space="preserve"> measures have different characteristics and therefore would carry different risks for their sustainable deployment at scale (Smith et al., 2015).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100</w:t>
            </w:r>
          </w:p>
        </w:tc>
        <w:tc>
          <w:tcPr>
            <w:tcW w:w="8200" w:type="dxa"/>
            <w:tcBorders/>
            <w:shd w:fill="auto" w:val="clear"/>
          </w:tcPr>
          <w:p>
            <w:pPr>
              <w:pStyle w:val="TextBody"/>
              <w:spacing w:before="0" w:after="140"/>
              <w:rPr/>
            </w:pPr>
            <w:r>
              <w:rPr/>
              <w:t xml:space="preserve">Terrestrial </w:t>
            </w:r>
            <w:r>
              <w:rPr>
                <w:b/>
                <w:bCs/>
                <w:color w:val="00A65D"/>
              </w:rPr>
              <w:t>CDR</w:t>
            </w:r>
            <w:r>
              <w:rPr/>
              <w:t xml:space="preserve"> measures, </w:t>
            </w:r>
            <w:r>
              <w:rPr>
                <w:b/>
                <w:bCs/>
                <w:color w:val="F58220"/>
              </w:rPr>
              <w:t>BECCS</w:t>
            </w:r>
            <w:r>
              <w:rPr/>
              <w:t xml:space="preserve"> and enhanced weathering of rock powder distributed on agricultural lands require land. Those land-based measures could have substantial impacts on environmental services and ecosystems (</w:t>
            </w:r>
            <w:r>
              <w:rPr>
                <w:b/>
                <w:bCs/>
                <w:color w:val="CE181E"/>
              </w:rPr>
              <w:t>Cross-Chapter Box 7 in Chapter 3</w:t>
            </w:r>
            <w:r>
              <w:rPr/>
              <w:t xml:space="preserve">) (Smith and Torn, 2013; Boysen et al., 2016; Heck et al., 2016; Krause et al., 2017).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101</w:t>
            </w:r>
          </w:p>
        </w:tc>
        <w:tc>
          <w:tcPr>
            <w:tcW w:w="8200" w:type="dxa"/>
            <w:tcBorders/>
            <w:shd w:fill="auto" w:val="clear"/>
          </w:tcPr>
          <w:p>
            <w:pPr>
              <w:pStyle w:val="TextBody"/>
              <w:spacing w:before="0" w:after="140"/>
              <w:rPr/>
            </w:pPr>
            <w:r>
              <w:rPr/>
              <w:t xml:space="preserve">Measures like </w:t>
            </w:r>
            <w:r>
              <w:rPr>
                <w:b/>
                <w:bCs/>
                <w:color w:val="0066B3"/>
              </w:rPr>
              <w:t>afforestation</w:t>
            </w:r>
            <w:r>
              <w:rPr/>
              <w:t xml:space="preserve"> and </w:t>
            </w:r>
            <w:r>
              <w:rPr>
                <w:b/>
                <w:bCs/>
                <w:color w:val="F58220"/>
              </w:rPr>
              <w:t xml:space="preserve">bioenergy with </w:t>
            </w:r>
            <w:r>
              <w:rPr>
                <w:b w:val="false"/>
                <w:bCs w:val="false"/>
                <w:color w:val="000000"/>
              </w:rPr>
              <w:t>and without</w:t>
            </w:r>
            <w:r>
              <w:rPr>
                <w:b/>
                <w:bCs/>
                <w:color w:val="F58220"/>
              </w:rPr>
              <w:t xml:space="preserve"> CCS</w:t>
            </w:r>
            <w:r>
              <w:rPr/>
              <w:t xml:space="preserve"> that directly compete with other land uses could have significant impacts on agricultural and food systems (Creutzig et al., 2012, 2015; Calvin et al., 2014; Popp et al., 2014b, 2017; Kreidenweis et al., 2016; Boysen et al., 2017a; Frank et al., 2017; Stevanović et al., 2017; Strapasson et al., 2017; Humpenöder et al., 2018).</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102</w:t>
            </w:r>
          </w:p>
        </w:tc>
        <w:tc>
          <w:tcPr>
            <w:tcW w:w="8200" w:type="dxa"/>
            <w:tcBorders/>
            <w:shd w:fill="auto" w:val="clear"/>
          </w:tcPr>
          <w:p>
            <w:pPr>
              <w:pStyle w:val="TextBody"/>
              <w:spacing w:before="0" w:after="140"/>
              <w:rPr/>
            </w:pPr>
            <w:r>
              <w:rPr>
                <w:b/>
                <w:bCs/>
                <w:color w:val="F58220"/>
              </w:rPr>
              <w:t>BECCS</w:t>
            </w:r>
            <w:r>
              <w:rPr/>
              <w:t xml:space="preserve"> using dedicated bioenergy crops could substantially increase agricultural water demand (Bonsch et al., 2014; Séférian et al., 2018) and nitrogen fertilizer use (Bodirsky et al., 2014).</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103</w:t>
            </w:r>
          </w:p>
        </w:tc>
        <w:tc>
          <w:tcPr>
            <w:tcW w:w="8200" w:type="dxa"/>
            <w:tcBorders/>
            <w:shd w:fill="auto" w:val="clear"/>
          </w:tcPr>
          <w:p>
            <w:pPr>
              <w:pStyle w:val="TextBody"/>
              <w:spacing w:before="0" w:after="140"/>
              <w:rPr/>
            </w:pPr>
            <w:r>
              <w:rPr/>
              <w:t xml:space="preserve">DACCS and </w:t>
            </w:r>
            <w:r>
              <w:rPr>
                <w:b/>
                <w:bCs/>
                <w:color w:val="F58220"/>
              </w:rPr>
              <w:t>BECCS</w:t>
            </w:r>
            <w:r>
              <w:rPr/>
              <w:t xml:space="preserve"> rely on CCS and would require safe storage space in geological formations, including management of leakage risks (Pawar et al., 2015) and induced seismicity (Nicol et al., 2013).</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104</w:t>
            </w:r>
          </w:p>
        </w:tc>
        <w:tc>
          <w:tcPr>
            <w:tcW w:w="8200" w:type="dxa"/>
            <w:tcBorders/>
            <w:shd w:fill="auto" w:val="clear"/>
          </w:tcPr>
          <w:p>
            <w:pPr>
              <w:pStyle w:val="TextBody"/>
              <w:spacing w:before="0" w:after="140"/>
              <w:rPr/>
            </w:pPr>
            <w:r>
              <w:rPr/>
              <w:t xml:space="preserve">Most of the </w:t>
            </w:r>
            <w:r>
              <w:rPr>
                <w:b/>
                <w:bCs/>
                <w:color w:val="00A65D"/>
              </w:rPr>
              <w:t>CDR</w:t>
            </w:r>
            <w:r>
              <w:rPr/>
              <w:t xml:space="preserve"> measures currently discussed could have significant impacts on either land, energy, water, or nutrients if deployed at scale (Smith et al., 2015).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105</w:t>
            </w:r>
          </w:p>
        </w:tc>
        <w:tc>
          <w:tcPr>
            <w:tcW w:w="8200" w:type="dxa"/>
            <w:tcBorders/>
            <w:shd w:fill="auto" w:val="clear"/>
          </w:tcPr>
          <w:p>
            <w:pPr>
              <w:pStyle w:val="TextBody"/>
              <w:spacing w:before="0" w:after="140"/>
              <w:rPr/>
            </w:pPr>
            <w:r>
              <w:rPr/>
              <w:t xml:space="preserve">However, actual trade-offs depend on a multitude factors (Haberl et al., 2011; Erb et al., 2012; Humpenöder et al., 2018), including the modalities of </w:t>
            </w:r>
            <w:r>
              <w:rPr>
                <w:b/>
                <w:bCs/>
                <w:color w:val="00A65D"/>
              </w:rPr>
              <w:t>CDR</w:t>
            </w:r>
            <w:r>
              <w:rPr/>
              <w:t xml:space="preserve"> deployment (e.g., on marginal vs. productive land) (Bauer et al., 2018), socio-economic developments (Popp et al., 2017), dietary choices (Stehfest et al., 2009; Popp et al., 2010; van Sluisveld et al., 2016; Weindl et al., 2017; van Vuuren et al., 2018), yield increases, livestock productivity and other advances in agricultural technology (Havlik et al., 2013; Valin et al., 2013; Havlík et al., 2014; Weindl et al., 2015; Erb et al., 2016b), land policies (Schmitz et al., 2012; Calvin et al., 2014; Popp et al., 2014a), and governance of land use (Unruh, 2011; Buck, 2016; Honegger and Reiner, 2018).</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106</w:t>
            </w:r>
          </w:p>
        </w:tc>
        <w:tc>
          <w:tcPr>
            <w:tcW w:w="8200" w:type="dxa"/>
            <w:tcBorders/>
            <w:shd w:fill="auto" w:val="clear"/>
          </w:tcPr>
          <w:p>
            <w:pPr>
              <w:pStyle w:val="TextBody"/>
              <w:spacing w:before="0" w:after="140"/>
              <w:rPr/>
            </w:pPr>
            <w:r>
              <w:rPr>
                <w:b/>
                <w:bCs/>
                <w:color w:val="CE181E"/>
              </w:rPr>
              <w:t>Figure 2.11</w:t>
            </w:r>
            <w:r>
              <w:rPr/>
              <w:t xml:space="preserve"> shows the land requirements for </w:t>
            </w:r>
            <w:r>
              <w:rPr>
                <w:b/>
                <w:bCs/>
                <w:color w:val="F58220"/>
              </w:rPr>
              <w:t>BECCS</w:t>
            </w:r>
            <w:r>
              <w:rPr/>
              <w:t xml:space="preserve"> and </w:t>
            </w:r>
            <w:r>
              <w:rPr>
                <w:b/>
                <w:bCs/>
                <w:color w:val="0066B3"/>
              </w:rPr>
              <w:t>afforestation</w:t>
            </w:r>
            <w:r>
              <w:rPr/>
              <w:t xml:space="preserve"> in the selected 1.5°C-consistent pathway archetypes, including the LED (Grubler et al., 2018) and S1 pathways (Fujimori, 2017; Rogelj et al., 2018) following a sustainable development paradigm.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107</w:t>
            </w:r>
          </w:p>
        </w:tc>
        <w:tc>
          <w:tcPr>
            <w:tcW w:w="8200" w:type="dxa"/>
            <w:tcBorders/>
            <w:shd w:fill="auto" w:val="clear"/>
          </w:tcPr>
          <w:p>
            <w:pPr>
              <w:pStyle w:val="TextBody"/>
              <w:spacing w:before="0" w:after="140"/>
              <w:rPr/>
            </w:pPr>
            <w:r>
              <w:rPr/>
              <w:t xml:space="preserve">In pathways that allow for large-scale </w:t>
            </w:r>
            <w:r>
              <w:rPr>
                <w:b/>
                <w:bCs/>
                <w:color w:val="0066B3"/>
              </w:rPr>
              <w:t>afforestation</w:t>
            </w:r>
            <w:r>
              <w:rPr/>
              <w:t xml:space="preserve"> in addition to </w:t>
            </w:r>
            <w:r>
              <w:rPr>
                <w:b/>
                <w:bCs/>
                <w:color w:val="F58220"/>
              </w:rPr>
              <w:t>BECCS</w:t>
            </w:r>
            <w:r>
              <w:rPr/>
              <w:t xml:space="preserve">, land demand for </w:t>
            </w:r>
            <w:r>
              <w:rPr>
                <w:b/>
                <w:bCs/>
                <w:color w:val="0066B3"/>
              </w:rPr>
              <w:t>afforestation</w:t>
            </w:r>
            <w:r>
              <w:rPr/>
              <w:t xml:space="preserve"> can be larger than for </w:t>
            </w:r>
            <w:r>
              <w:rPr>
                <w:b/>
                <w:bCs/>
                <w:color w:val="F58220"/>
              </w:rPr>
              <w:t>BECCS</w:t>
            </w:r>
            <w:r>
              <w:rPr/>
              <w:t xml:space="preserve"> (Humpenöder et al., 2014).</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108</w:t>
            </w:r>
          </w:p>
        </w:tc>
        <w:tc>
          <w:tcPr>
            <w:tcW w:w="8200" w:type="dxa"/>
            <w:tcBorders/>
            <w:shd w:fill="auto" w:val="clear"/>
          </w:tcPr>
          <w:p>
            <w:pPr>
              <w:pStyle w:val="TextBody"/>
              <w:spacing w:before="0" w:after="140"/>
              <w:rPr/>
            </w:pPr>
            <w:r>
              <w:rPr/>
              <w:t xml:space="preserve">Trees can grow on agricultural land (Zomer et al., 2016), and harvested wood can be used with </w:t>
            </w:r>
            <w:r>
              <w:rPr>
                <w:b/>
                <w:bCs/>
                <w:color w:val="F58220"/>
              </w:rPr>
              <w:t>BECCS</w:t>
            </w:r>
            <w:r>
              <w:rPr/>
              <w:t xml:space="preserve"> and pyrolysis systems (Werner et al., 2018).</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109</w:t>
            </w:r>
          </w:p>
        </w:tc>
        <w:tc>
          <w:tcPr>
            <w:tcW w:w="8200" w:type="dxa"/>
            <w:tcBorders/>
            <w:shd w:fill="auto" w:val="clear"/>
          </w:tcPr>
          <w:p>
            <w:pPr>
              <w:pStyle w:val="TextBody"/>
              <w:spacing w:before="0" w:after="140"/>
              <w:rPr/>
            </w:pPr>
            <w:r>
              <w:rPr/>
              <w:t xml:space="preserve">The pathways show a very substantial land demand for the two </w:t>
            </w:r>
            <w:r>
              <w:rPr>
                <w:b/>
                <w:bCs/>
                <w:color w:val="00A65D"/>
              </w:rPr>
              <w:t>CDR</w:t>
            </w:r>
            <w:r>
              <w:rPr/>
              <w:t xml:space="preserve"> measures combined, up to the magnitude of the current global cropland area.</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110</w:t>
            </w:r>
          </w:p>
        </w:tc>
        <w:tc>
          <w:tcPr>
            <w:tcW w:w="8200" w:type="dxa"/>
            <w:tcBorders/>
            <w:shd w:fill="auto" w:val="clear"/>
          </w:tcPr>
          <w:p>
            <w:pPr>
              <w:pStyle w:val="TextBody"/>
              <w:spacing w:before="0" w:after="140"/>
              <w:rPr/>
            </w:pPr>
            <w:r>
              <w:rPr/>
              <w:t xml:space="preserve">An important consideration for </w:t>
            </w:r>
            <w:r>
              <w:rPr>
                <w:b/>
                <w:bCs/>
                <w:color w:val="00A65D"/>
              </w:rPr>
              <w:t>CDR</w:t>
            </w:r>
            <w:r>
              <w:rPr/>
              <w:t xml:space="preserve"> which moves carbon from the atmosphere to the geological, oceanic or terrestrial carbon pools is the permanence of carbon stored in these different pools (Matthews and Caldeira, 2008; NRC, 2015; Fuss et al., 2016; Jones et al., 2016) (see also </w:t>
            </w:r>
            <w:r>
              <w:rPr>
                <w:b/>
                <w:bCs/>
                <w:color w:val="CE181E"/>
              </w:rPr>
              <w:t>Chapter 4,</w:t>
            </w:r>
            <w:r>
              <w:rPr/>
              <w:t xml:space="preserve"> </w:t>
            </w:r>
            <w:r>
              <w:rPr>
                <w:b/>
                <w:bCs/>
                <w:color w:val="CE181E"/>
              </w:rPr>
              <w:t>Section 4.3.7</w:t>
            </w:r>
            <w:r>
              <w:rPr/>
              <w:t xml:space="preserve"> for a discussion). </w:t>
            </w:r>
          </w:p>
        </w:tc>
        <w:tc>
          <w:tcPr>
            <w:tcW w:w="668" w:type="dxa"/>
            <w:tcBorders/>
            <w:shd w:fill="auto" w:val="clear"/>
          </w:tcPr>
          <w:p>
            <w:pPr>
              <w:pStyle w:val="NoSpacing"/>
              <w:rPr>
                <w:sz w:val="16"/>
                <w:szCs w:val="16"/>
              </w:rPr>
            </w:pPr>
            <w:r>
              <w:rPr>
                <w:sz w:val="16"/>
                <w:szCs w:val="16"/>
              </w:rPr>
              <w:t>2.3.4.2</w:t>
            </w:r>
          </w:p>
        </w:tc>
      </w:tr>
      <w:tr>
        <w:trPr/>
        <w:tc>
          <w:tcPr>
            <w:tcW w:w="528" w:type="dxa"/>
            <w:tcBorders/>
            <w:shd w:fill="auto" w:val="clear"/>
          </w:tcPr>
          <w:p>
            <w:pPr>
              <w:pStyle w:val="NoSpacing"/>
              <w:rPr>
                <w:sz w:val="20"/>
                <w:szCs w:val="20"/>
              </w:rPr>
            </w:pPr>
            <w:r>
              <w:rPr>
                <w:sz w:val="20"/>
                <w:szCs w:val="20"/>
              </w:rPr>
              <w:t>111</w:t>
            </w:r>
          </w:p>
        </w:tc>
        <w:tc>
          <w:tcPr>
            <w:tcW w:w="8200" w:type="dxa"/>
            <w:tcBorders/>
            <w:shd w:fill="auto" w:val="clear"/>
          </w:tcPr>
          <w:p>
            <w:pPr>
              <w:pStyle w:val="TextBody"/>
              <w:spacing w:before="0" w:after="140"/>
              <w:rPr/>
            </w:pPr>
            <w:r>
              <w:rPr/>
              <w:t xml:space="preserve">The AR5 reports that delaying mitigation action leads to substantially higher rates of emissions reductions afterwards, a larger reliance on </w:t>
            </w:r>
            <w:r>
              <w:rPr>
                <w:b/>
                <w:bCs/>
                <w:color w:val="00A65D"/>
              </w:rPr>
              <w:t>CDR</w:t>
            </w:r>
            <w:r>
              <w:rPr/>
              <w:t xml:space="preserve"> technologies in the long term, and higher transitional and long-term economic impacts (Clarke et al., 2014).</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112</w:t>
            </w:r>
          </w:p>
        </w:tc>
        <w:tc>
          <w:tcPr>
            <w:tcW w:w="8200" w:type="dxa"/>
            <w:tcBorders/>
            <w:shd w:fill="auto" w:val="clear"/>
          </w:tcPr>
          <w:p>
            <w:pPr>
              <w:pStyle w:val="TextBody"/>
              <w:spacing w:before="0" w:after="140"/>
              <w:rPr/>
            </w:pPr>
            <w:r>
              <w:rPr/>
              <w:t xml:space="preserve">Available 1.5°C- and 2°C-consistent pathways with 2030 emissions in the range estimated for the NDCs rely on an assumed swift and widespread deployment of </w:t>
            </w:r>
            <w:r>
              <w:rPr>
                <w:b/>
                <w:bCs/>
                <w:color w:val="00A65D"/>
              </w:rPr>
              <w:t>CDR</w:t>
            </w:r>
            <w:r>
              <w:rPr/>
              <w:t xml:space="preserve"> after 2030, and show peak cumulative CO 2 emissions from 2018 of about 800–1000 GtCO 2 , above the remaining carbon budget for a one-in-two chance of remaining below 1.5°C. </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113</w:t>
            </w:r>
          </w:p>
        </w:tc>
        <w:tc>
          <w:tcPr>
            <w:tcW w:w="8200" w:type="dxa"/>
            <w:tcBorders/>
            <w:shd w:fill="auto" w:val="clear"/>
          </w:tcPr>
          <w:p>
            <w:pPr>
              <w:pStyle w:val="TextBody"/>
              <w:spacing w:before="0" w:after="140"/>
              <w:rPr/>
            </w:pPr>
            <w:r>
              <w:rPr/>
              <w:t xml:space="preserve">The majority of model experiments (four out of seven) failed to produce NDC pathways that would return cumulative CO 2 emissions over the 2016–2100 period to 200 GtCO 2 , indicating limitations to the availability and timing of </w:t>
            </w:r>
            <w:r>
              <w:rPr>
                <w:b/>
                <w:bCs/>
                <w:color w:val="00A65D"/>
              </w:rPr>
              <w:t>CDR</w:t>
            </w:r>
            <w:r>
              <w:rPr/>
              <w:t>.</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114</w:t>
            </w:r>
          </w:p>
        </w:tc>
        <w:tc>
          <w:tcPr>
            <w:tcW w:w="8200" w:type="dxa"/>
            <w:tcBorders/>
            <w:shd w:fill="auto" w:val="clear"/>
          </w:tcPr>
          <w:p>
            <w:pPr>
              <w:pStyle w:val="TextBody"/>
              <w:spacing w:before="0" w:after="140"/>
              <w:rPr/>
            </w:pPr>
            <w:r>
              <w:rPr/>
              <w:t xml:space="preserve">There is a four sided trade-off between (I) near-term ambition, (ii) degree of overshoot, (iii) transitional challenges during the 2030–2050 period, and (iv) the amount of </w:t>
            </w:r>
            <w:r>
              <w:rPr>
                <w:b/>
                <w:bCs/>
                <w:color w:val="00A65D"/>
              </w:rPr>
              <w:t>CDR</w:t>
            </w:r>
            <w:r>
              <w:rPr/>
              <w:t xml:space="preserve"> deployment required during the century (Figure 2.13) (Holz et al., 2018b; Strefler et al., 2018b). </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115</w:t>
            </w:r>
          </w:p>
        </w:tc>
        <w:tc>
          <w:tcPr>
            <w:tcW w:w="8200" w:type="dxa"/>
            <w:tcBorders/>
            <w:shd w:fill="auto" w:val="clear"/>
          </w:tcPr>
          <w:p>
            <w:pPr>
              <w:pStyle w:val="TextBody"/>
              <w:spacing w:before="0" w:after="140"/>
              <w:rPr/>
            </w:pPr>
            <w:r>
              <w:rPr/>
              <w:t xml:space="preserve">Transition challenges, overshoot, and </w:t>
            </w:r>
            <w:r>
              <w:rPr>
                <w:b/>
                <w:bCs/>
                <w:color w:val="00A65D"/>
              </w:rPr>
              <w:t>CDR</w:t>
            </w:r>
            <w:r>
              <w:rPr/>
              <w:t xml:space="preserve"> requirements can be significantly reduced if global emissions peak before 2030 and fall below levels in line with current NDCs by 2030. </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116</w:t>
            </w:r>
          </w:p>
        </w:tc>
        <w:tc>
          <w:tcPr>
            <w:tcW w:w="8200" w:type="dxa"/>
            <w:tcBorders/>
            <w:shd w:fill="auto" w:val="clear"/>
          </w:tcPr>
          <w:p>
            <w:pPr>
              <w:pStyle w:val="TextBody"/>
              <w:spacing w:before="0" w:after="140"/>
              <w:rPr/>
            </w:pPr>
            <w:r>
              <w:rPr/>
              <w:t xml:space="preserve">For example, Strefler et al. (2018b) find that </w:t>
            </w:r>
            <w:r>
              <w:rPr>
                <w:b/>
                <w:bCs/>
                <w:color w:val="00A65D"/>
              </w:rPr>
              <w:t>CDR</w:t>
            </w:r>
            <w:r>
              <w:rPr/>
              <w:t xml:space="preserve"> deployment levels in the second half of the century can be halved in 1.5°C-consistent pathways with similar CO 2 emissions reductions rates during the 2030–2050 period if CO 2 emissions by 2030 are reduced by an additional 30% compared to NDC levels.</w:t>
            </w:r>
          </w:p>
        </w:tc>
        <w:tc>
          <w:tcPr>
            <w:tcW w:w="668" w:type="dxa"/>
            <w:tcBorders/>
            <w:shd w:fill="auto" w:val="clear"/>
          </w:tcPr>
          <w:p>
            <w:pPr>
              <w:pStyle w:val="NoSpacing"/>
              <w:rPr>
                <w:sz w:val="16"/>
                <w:szCs w:val="16"/>
              </w:rPr>
            </w:pPr>
            <w:r>
              <w:rPr>
                <w:sz w:val="16"/>
                <w:szCs w:val="16"/>
              </w:rPr>
              <w:t>2.3.5</w:t>
            </w:r>
          </w:p>
        </w:tc>
      </w:tr>
      <w:tr>
        <w:trPr/>
        <w:tc>
          <w:tcPr>
            <w:tcW w:w="528" w:type="dxa"/>
            <w:tcBorders/>
            <w:shd w:fill="auto" w:val="clear"/>
          </w:tcPr>
          <w:p>
            <w:pPr>
              <w:pStyle w:val="NoSpacing"/>
              <w:rPr>
                <w:sz w:val="20"/>
                <w:szCs w:val="20"/>
              </w:rPr>
            </w:pPr>
            <w:r>
              <w:rPr>
                <w:sz w:val="20"/>
                <w:szCs w:val="20"/>
              </w:rPr>
              <w:t>117</w:t>
            </w:r>
          </w:p>
        </w:tc>
        <w:tc>
          <w:tcPr>
            <w:tcW w:w="8200" w:type="dxa"/>
            <w:tcBorders/>
            <w:shd w:fill="auto" w:val="clear"/>
          </w:tcPr>
          <w:p>
            <w:pPr>
              <w:pStyle w:val="TextBody"/>
              <w:spacing w:before="0" w:after="140"/>
              <w:rPr/>
            </w:pPr>
            <w:r>
              <w:rPr/>
              <w:t xml:space="preserve">On the other hand, the AFOLU system is responsible for food and feed production; for wood production for pulp and construction; for the production of biomass that is used for energy, </w:t>
            </w:r>
            <w:r>
              <w:rPr>
                <w:b/>
                <w:bCs/>
                <w:color w:val="00A65D"/>
              </w:rPr>
              <w:t>CDR</w:t>
            </w:r>
            <w:r>
              <w:rPr/>
              <w:t xml:space="preserve"> or other uses; and for the supply of non-provisioning (ecosystem) services (Smith and Bustamante, 2014). </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118</w:t>
            </w:r>
          </w:p>
        </w:tc>
        <w:tc>
          <w:tcPr>
            <w:tcW w:w="8200" w:type="dxa"/>
            <w:tcBorders/>
            <w:shd w:fill="auto" w:val="clear"/>
          </w:tcPr>
          <w:p>
            <w:pPr>
              <w:pStyle w:val="TextBody"/>
              <w:spacing w:before="0" w:after="140"/>
              <w:rPr/>
            </w:pPr>
            <w:r>
              <w:rPr>
                <w:b/>
                <w:bCs/>
                <w:color w:val="CE181E"/>
              </w:rPr>
              <w:t>Chapter 4</w:t>
            </w:r>
            <w:r>
              <w:rPr/>
              <w:t xml:space="preserve"> provides an assessment of bioenergy (including feedstocks, see </w:t>
            </w:r>
            <w:r>
              <w:rPr>
                <w:b/>
                <w:bCs/>
                <w:color w:val="CE181E"/>
              </w:rPr>
              <w:t>Section 4.3.1</w:t>
            </w:r>
            <w:r>
              <w:rPr/>
              <w:t>), livestock management (</w:t>
            </w:r>
            <w:r>
              <w:rPr>
                <w:b/>
                <w:bCs/>
                <w:color w:val="CE181E"/>
              </w:rPr>
              <w:t>Section 4.3.1</w:t>
            </w:r>
            <w:r>
              <w:rPr/>
              <w:t xml:space="preserve">), reducing rates of deforestation and other land-based mitigation options (as mitigation and adaptation option, see </w:t>
            </w:r>
            <w:r>
              <w:rPr>
                <w:b/>
                <w:bCs/>
                <w:color w:val="CE181E"/>
              </w:rPr>
              <w:t>Section 4.3.2</w:t>
            </w:r>
            <w:r>
              <w:rPr/>
              <w:t xml:space="preserve">), and </w:t>
            </w:r>
            <w:r>
              <w:rPr>
                <w:b/>
                <w:bCs/>
                <w:color w:val="F58220"/>
              </w:rPr>
              <w:t>BECCS</w:t>
            </w:r>
            <w:r>
              <w:rPr/>
              <w:t xml:space="preserve">, </w:t>
            </w:r>
            <w:r>
              <w:rPr>
                <w:b/>
                <w:bCs/>
                <w:color w:val="0066B3"/>
              </w:rPr>
              <w:t>afforestation</w:t>
            </w:r>
            <w:r>
              <w:rPr/>
              <w:t xml:space="preserve"> and reforestation options (including the bottom-up literature of their sustainable potential, mitigation cost and side effects, </w:t>
            </w:r>
            <w:r>
              <w:rPr>
                <w:b/>
                <w:bCs/>
                <w:color w:val="CE181E"/>
              </w:rPr>
              <w:t>Section 4.3.7</w:t>
            </w:r>
            <w:r>
              <w:rPr/>
              <w:t>).</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119</w:t>
            </w:r>
          </w:p>
        </w:tc>
        <w:tc>
          <w:tcPr>
            <w:tcW w:w="8200" w:type="dxa"/>
            <w:tcBorders/>
            <w:shd w:fill="auto" w:val="clear"/>
          </w:tcPr>
          <w:p>
            <w:pPr>
              <w:pStyle w:val="TextBody"/>
              <w:spacing w:before="0" w:after="140"/>
              <w:rPr/>
            </w:pPr>
            <w:r>
              <w:rPr>
                <w:b/>
                <w:bCs/>
                <w:color w:val="CE181E"/>
              </w:rPr>
              <w:t>Chapter 3</w:t>
            </w:r>
            <w:r>
              <w:rPr/>
              <w:t xml:space="preserve"> discusses impacts land-based </w:t>
            </w:r>
            <w:r>
              <w:rPr>
                <w:b/>
                <w:bCs/>
                <w:color w:val="00A65D"/>
              </w:rPr>
              <w:t>CDR</w:t>
            </w:r>
            <w:r>
              <w:rPr/>
              <w:t xml:space="preserve"> (</w:t>
            </w:r>
            <w:r>
              <w:rPr>
                <w:b/>
                <w:bCs/>
                <w:color w:val="CE181E"/>
              </w:rPr>
              <w:t>Cross-Chapter Box 7 in Chapter 3</w:t>
            </w:r>
            <w:r>
              <w:rPr/>
              <w:t xml:space="preserve">). </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120</w:t>
            </w:r>
          </w:p>
        </w:tc>
        <w:tc>
          <w:tcPr>
            <w:tcW w:w="8200" w:type="dxa"/>
            <w:tcBorders/>
            <w:shd w:fill="auto" w:val="clear"/>
          </w:tcPr>
          <w:p>
            <w:pPr>
              <w:pStyle w:val="TextBody"/>
              <w:spacing w:before="0" w:after="140"/>
              <w:rPr/>
            </w:pPr>
            <w:r>
              <w:rPr/>
              <w:t xml:space="preserve">Ultimately, there are also interactions between these three factors and the wider society and economy, for example, if </w:t>
            </w:r>
            <w:r>
              <w:rPr>
                <w:b/>
                <w:bCs/>
                <w:color w:val="00A65D"/>
              </w:rPr>
              <w:t>CDR</w:t>
            </w:r>
            <w:r>
              <w:rPr/>
              <w:t xml:space="preserve"> technologies that are not land-based are deployed (like direct air capture – DACCS, see </w:t>
            </w:r>
            <w:r>
              <w:rPr>
                <w:b/>
                <w:bCs/>
                <w:color w:val="CE181E"/>
              </w:rPr>
              <w:t>Chapter 4, Section 4.3.7</w:t>
            </w:r>
            <w:r>
              <w:rPr/>
              <w:t>) or if other sectors over- or underachieve their projected mitigation contributions (Clarke et al., 2014).</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121</w:t>
            </w:r>
          </w:p>
        </w:tc>
        <w:tc>
          <w:tcPr>
            <w:tcW w:w="8200" w:type="dxa"/>
            <w:tcBorders/>
            <w:shd w:fill="auto" w:val="clear"/>
          </w:tcPr>
          <w:p>
            <w:pPr>
              <w:pStyle w:val="TextBody"/>
              <w:spacing w:before="0" w:after="140"/>
              <w:rPr/>
            </w:pPr>
            <w:r>
              <w:rPr/>
              <w:t xml:space="preserve">Secondly, besides CO 2 reductions, the land system can play an important role for overall </w:t>
            </w:r>
            <w:r>
              <w:rPr>
                <w:b/>
                <w:bCs/>
                <w:color w:val="00A65D"/>
              </w:rPr>
              <w:t>CDR</w:t>
            </w:r>
            <w:r>
              <w:rPr/>
              <w:t xml:space="preserve"> efforts (Rogelj et al., 2018) via </w:t>
            </w:r>
            <w:r>
              <w:rPr>
                <w:b/>
                <w:bCs/>
                <w:color w:val="F58220"/>
              </w:rPr>
              <w:t>BECCS</w:t>
            </w:r>
            <w:r>
              <w:rPr/>
              <w:t xml:space="preserve">, </w:t>
            </w:r>
            <w:r>
              <w:rPr>
                <w:b/>
                <w:bCs/>
                <w:color w:val="0066B3"/>
              </w:rPr>
              <w:t>afforestation</w:t>
            </w:r>
            <w:r>
              <w:rPr/>
              <w:t xml:space="preserve"> and reforestation, or a combination of options. </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122</w:t>
            </w:r>
          </w:p>
        </w:tc>
        <w:tc>
          <w:tcPr>
            <w:tcW w:w="8200" w:type="dxa"/>
            <w:tcBorders/>
            <w:shd w:fill="auto" w:val="clear"/>
          </w:tcPr>
          <w:p>
            <w:pPr>
              <w:pStyle w:val="TextBody"/>
              <w:spacing w:before="0" w:after="140"/>
              <w:rPr/>
            </w:pPr>
            <w:r>
              <w:rPr/>
              <w:t xml:space="preserve">These options have so far not been extensively integrated in the mitigation pathway literature (see </w:t>
            </w:r>
            <w:r>
              <w:rPr>
                <w:b/>
                <w:bCs/>
                <w:color w:val="CE181E"/>
              </w:rPr>
              <w:t>Supplementary Material 2.SM.1.2</w:t>
            </w:r>
            <w:r>
              <w:rPr/>
              <w:t xml:space="preserve">), but in theory their availability would impact the deployment of other </w:t>
            </w:r>
            <w:r>
              <w:rPr>
                <w:b/>
                <w:bCs/>
                <w:color w:val="00A65D"/>
              </w:rPr>
              <w:t>CDR</w:t>
            </w:r>
            <w:r>
              <w:rPr/>
              <w:t xml:space="preserve"> technologies, like </w:t>
            </w:r>
            <w:r>
              <w:rPr>
                <w:b/>
                <w:bCs/>
                <w:color w:val="F58220"/>
              </w:rPr>
              <w:t>BECCS</w:t>
            </w:r>
            <w:r>
              <w:rPr/>
              <w:t xml:space="preserve"> (</w:t>
            </w:r>
            <w:r>
              <w:rPr>
                <w:b/>
                <w:bCs/>
                <w:color w:val="CE181E"/>
              </w:rPr>
              <w:t>Section 2.3.4</w:t>
            </w:r>
            <w:r>
              <w:rPr/>
              <w:t>) (Strefler et al., 2018a).</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123</w:t>
            </w:r>
          </w:p>
        </w:tc>
        <w:tc>
          <w:tcPr>
            <w:tcW w:w="8200" w:type="dxa"/>
            <w:tcBorders/>
            <w:shd w:fill="auto" w:val="clear"/>
          </w:tcPr>
          <w:p>
            <w:pPr>
              <w:pStyle w:val="TextBody"/>
              <w:spacing w:before="0" w:after="140"/>
              <w:rPr/>
            </w:pPr>
            <w:r>
              <w:rPr/>
              <w:t xml:space="preserve">nder such assumptions, comparably small amounts of land are needed for land-demanding mitigation activities such as </w:t>
            </w:r>
            <w:r>
              <w:rPr>
                <w:b/>
                <w:bCs/>
                <w:color w:val="F58220"/>
              </w:rPr>
              <w:t>BECCS</w:t>
            </w:r>
            <w:r>
              <w:rPr/>
              <w:t xml:space="preserve"> and </w:t>
            </w:r>
            <w:r>
              <w:rPr>
                <w:b/>
                <w:bCs/>
                <w:color w:val="0066B3"/>
              </w:rPr>
              <w:t>afforestation</w:t>
            </w:r>
            <w:r>
              <w:rPr/>
              <w:t xml:space="preserve"> and reforestation, leaving the land footprint for energy crops in 2050 virtually the same compared to 2010 levels for the LED pathway.</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124</w:t>
            </w:r>
          </w:p>
        </w:tc>
        <w:tc>
          <w:tcPr>
            <w:tcW w:w="8200" w:type="dxa"/>
            <w:tcBorders/>
            <w:shd w:fill="auto" w:val="clear"/>
          </w:tcPr>
          <w:p>
            <w:pPr>
              <w:pStyle w:val="TextBody"/>
              <w:spacing w:before="0" w:after="140"/>
              <w:rPr/>
            </w:pPr>
            <w:r>
              <w:rPr/>
              <w:t xml:space="preserve">In such pathways, climate change mitigation strategies strongly depend on the availability of </w:t>
            </w:r>
            <w:r>
              <w:rPr>
                <w:b/>
                <w:bCs/>
                <w:color w:val="F58220"/>
              </w:rPr>
              <w:t>CDR</w:t>
            </w:r>
            <w:r>
              <w:rPr>
                <w:b/>
                <w:bCs/>
                <w:color w:val="00A65D"/>
              </w:rPr>
              <w:t xml:space="preserve"> </w:t>
            </w:r>
            <w:r>
              <w:rPr>
                <w:b/>
                <w:bCs/>
                <w:color w:val="F58220"/>
              </w:rPr>
              <w:t>through</w:t>
            </w:r>
            <w:r>
              <w:rPr>
                <w:b/>
                <w:bCs/>
                <w:color w:val="00A65D"/>
              </w:rPr>
              <w:t xml:space="preserve"> </w:t>
            </w:r>
            <w:r>
              <w:rPr>
                <w:b/>
                <w:bCs/>
                <w:color w:val="F58220"/>
              </w:rPr>
              <w:t>BECCS</w:t>
            </w:r>
            <w:r>
              <w:rPr/>
              <w:t xml:space="preserve"> (Humpenöder et al., 2014).</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125</w:t>
            </w:r>
          </w:p>
        </w:tc>
        <w:tc>
          <w:tcPr>
            <w:tcW w:w="8200" w:type="dxa"/>
            <w:tcBorders/>
            <w:shd w:fill="auto" w:val="clear"/>
          </w:tcPr>
          <w:p>
            <w:pPr>
              <w:pStyle w:val="TextBody"/>
              <w:spacing w:before="0" w:after="140"/>
              <w:rPr/>
            </w:pPr>
            <w:r>
              <w:rPr/>
              <w:t xml:space="preserve">For example, within the SSP set, some pathways rely strongly on a policy to incentivize </w:t>
            </w:r>
            <w:r>
              <w:rPr>
                <w:b/>
                <w:bCs/>
                <w:color w:val="0066B3"/>
              </w:rPr>
              <w:t>afforestation</w:t>
            </w:r>
            <w:r>
              <w:rPr/>
              <w:t xml:space="preserve"> and reforestation for </w:t>
            </w:r>
            <w:r>
              <w:rPr>
                <w:b/>
                <w:bCs/>
                <w:color w:val="00A65D"/>
              </w:rPr>
              <w:t>CDR</w:t>
            </w:r>
            <w:r>
              <w:rPr/>
              <w:t xml:space="preserve"> together with </w:t>
            </w:r>
            <w:r>
              <w:rPr>
                <w:b/>
                <w:bCs/>
                <w:color w:val="F58220"/>
              </w:rPr>
              <w:t>BECCS</w:t>
            </w:r>
            <w:r>
              <w:rPr/>
              <w:t xml:space="preserve">, which results in an expansion of forest area and a corresponding increase in terrestrial carbon stock. </w:t>
            </w:r>
          </w:p>
        </w:tc>
        <w:tc>
          <w:tcPr>
            <w:tcW w:w="668" w:type="dxa"/>
            <w:tcBorders/>
            <w:shd w:fill="auto" w:val="clear"/>
          </w:tcPr>
          <w:p>
            <w:pPr>
              <w:pStyle w:val="NoSpacing"/>
              <w:rPr>
                <w:sz w:val="16"/>
                <w:szCs w:val="16"/>
              </w:rPr>
            </w:pPr>
            <w:r>
              <w:rPr>
                <w:sz w:val="16"/>
                <w:szCs w:val="16"/>
              </w:rPr>
              <w:t>2.4.4</w:t>
            </w:r>
          </w:p>
        </w:tc>
      </w:tr>
      <w:tr>
        <w:trPr/>
        <w:tc>
          <w:tcPr>
            <w:tcW w:w="528" w:type="dxa"/>
            <w:tcBorders/>
            <w:shd w:fill="auto" w:val="clear"/>
          </w:tcPr>
          <w:p>
            <w:pPr>
              <w:pStyle w:val="NoSpacing"/>
              <w:rPr>
                <w:sz w:val="20"/>
                <w:szCs w:val="20"/>
              </w:rPr>
            </w:pPr>
            <w:r>
              <w:rPr>
                <w:sz w:val="20"/>
                <w:szCs w:val="20"/>
              </w:rPr>
              <w:t>126</w:t>
            </w:r>
          </w:p>
        </w:tc>
        <w:tc>
          <w:tcPr>
            <w:tcW w:w="8200" w:type="dxa"/>
            <w:tcBorders/>
            <w:shd w:fill="auto" w:val="clear"/>
          </w:tcPr>
          <w:p>
            <w:pPr>
              <w:pStyle w:val="TextBody"/>
              <w:spacing w:before="0" w:after="140"/>
              <w:rPr/>
            </w:pPr>
            <w:r>
              <w:rPr/>
              <w:t xml:space="preserve">Pathways in which </w:t>
            </w:r>
            <w:r>
              <w:rPr>
                <w:b/>
                <w:bCs/>
                <w:color w:val="00A65D"/>
              </w:rPr>
              <w:t>CDR</w:t>
            </w:r>
            <w:r>
              <w:rPr/>
              <w:t xml:space="preserve"> options are restricted emphasize the strengthening of near-term policy mixes (Luderer et al., 2013; Kriegler et al., 2018a).</w:t>
            </w:r>
          </w:p>
        </w:tc>
        <w:tc>
          <w:tcPr>
            <w:tcW w:w="668" w:type="dxa"/>
            <w:tcBorders/>
            <w:shd w:fill="auto" w:val="clear"/>
          </w:tcPr>
          <w:p>
            <w:pPr>
              <w:pStyle w:val="NoSpacing"/>
              <w:rPr>
                <w:sz w:val="16"/>
                <w:szCs w:val="16"/>
              </w:rPr>
            </w:pPr>
            <w:r>
              <w:rPr>
                <w:sz w:val="16"/>
                <w:szCs w:val="16"/>
              </w:rPr>
              <w:t>2.5.1</w:t>
            </w:r>
          </w:p>
        </w:tc>
      </w:tr>
      <w:tr>
        <w:trPr/>
        <w:tc>
          <w:tcPr>
            <w:tcW w:w="528" w:type="dxa"/>
            <w:tcBorders/>
            <w:shd w:fill="auto" w:val="clear"/>
          </w:tcPr>
          <w:p>
            <w:pPr>
              <w:pStyle w:val="NoSpacing"/>
              <w:rPr>
                <w:sz w:val="20"/>
                <w:szCs w:val="20"/>
              </w:rPr>
            </w:pPr>
            <w:r>
              <w:rPr>
                <w:sz w:val="20"/>
                <w:szCs w:val="20"/>
              </w:rPr>
              <w:t>127</w:t>
            </w:r>
          </w:p>
        </w:tc>
        <w:tc>
          <w:tcPr>
            <w:tcW w:w="8200" w:type="dxa"/>
            <w:tcBorders/>
            <w:shd w:fill="auto" w:val="clear"/>
          </w:tcPr>
          <w:p>
            <w:pPr>
              <w:pStyle w:val="TextBody"/>
              <w:spacing w:before="0" w:after="140"/>
              <w:rPr/>
            </w:pPr>
            <w:r>
              <w:rPr/>
              <w:t xml:space="preserve">Stringent demand-side policies (e.g., tightened efficiency standards for buildings and appliances) driving the expansion, efficiency and provision of high-quality energy services are essential to meet a 1.5 ̊C mitigation target while reducing the reliance on </w:t>
            </w:r>
            <w:r>
              <w:rPr>
                <w:b/>
                <w:bCs/>
                <w:color w:val="00A65D"/>
              </w:rPr>
              <w:t>CDR</w:t>
            </w:r>
            <w:r>
              <w:rPr/>
              <w:t xml:space="preserve"> (Grubler et al., 2018).</w:t>
            </w:r>
          </w:p>
        </w:tc>
        <w:tc>
          <w:tcPr>
            <w:tcW w:w="668" w:type="dxa"/>
            <w:tcBorders/>
            <w:shd w:fill="auto" w:val="clear"/>
          </w:tcPr>
          <w:p>
            <w:pPr>
              <w:pStyle w:val="NoSpacing"/>
              <w:rPr>
                <w:sz w:val="16"/>
                <w:szCs w:val="16"/>
              </w:rPr>
            </w:pPr>
            <w:r>
              <w:rPr>
                <w:sz w:val="16"/>
                <w:szCs w:val="16"/>
              </w:rPr>
              <w:t>2.5.1</w:t>
            </w:r>
          </w:p>
        </w:tc>
      </w:tr>
      <w:tr>
        <w:trPr/>
        <w:tc>
          <w:tcPr>
            <w:tcW w:w="528" w:type="dxa"/>
            <w:tcBorders/>
            <w:shd w:fill="auto" w:val="clear"/>
          </w:tcPr>
          <w:p>
            <w:pPr>
              <w:pStyle w:val="NoSpacing"/>
              <w:rPr>
                <w:sz w:val="20"/>
                <w:szCs w:val="20"/>
              </w:rPr>
            </w:pPr>
            <w:r>
              <w:rPr>
                <w:sz w:val="20"/>
                <w:szCs w:val="20"/>
              </w:rPr>
              <w:t>128</w:t>
            </w:r>
          </w:p>
        </w:tc>
        <w:tc>
          <w:tcPr>
            <w:tcW w:w="8200" w:type="dxa"/>
            <w:tcBorders/>
            <w:shd w:fill="auto" w:val="clear"/>
          </w:tcPr>
          <w:p>
            <w:pPr>
              <w:pStyle w:val="TextBody"/>
              <w:spacing w:before="0" w:after="140"/>
              <w:rPr/>
            </w:pPr>
            <w:r>
              <w:rPr>
                <w:b/>
                <w:bCs/>
                <w:color w:val="00A65D"/>
              </w:rPr>
              <w:t>CDR</w:t>
            </w:r>
            <w:r>
              <w:rPr/>
              <w:t xml:space="preserve"> requirements are reduced under ‘sustainability’ related assumptions (Strefler et al., 2018b).</w:t>
            </w:r>
          </w:p>
        </w:tc>
        <w:tc>
          <w:tcPr>
            <w:tcW w:w="668" w:type="dxa"/>
            <w:tcBorders/>
            <w:shd w:fill="auto" w:val="clear"/>
          </w:tcPr>
          <w:p>
            <w:pPr>
              <w:pStyle w:val="NoSpacing"/>
              <w:rPr>
                <w:sz w:val="16"/>
                <w:szCs w:val="16"/>
              </w:rPr>
            </w:pPr>
            <w:r>
              <w:rPr>
                <w:sz w:val="16"/>
                <w:szCs w:val="16"/>
              </w:rPr>
              <w:t>2.5.1</w:t>
            </w:r>
          </w:p>
        </w:tc>
      </w:tr>
      <w:tr>
        <w:trPr/>
        <w:tc>
          <w:tcPr>
            <w:tcW w:w="528" w:type="dxa"/>
            <w:tcBorders/>
            <w:shd w:fill="auto" w:val="clear"/>
          </w:tcPr>
          <w:p>
            <w:pPr>
              <w:pStyle w:val="NoSpacing"/>
              <w:rPr>
                <w:sz w:val="20"/>
                <w:szCs w:val="20"/>
              </w:rPr>
            </w:pPr>
            <w:r>
              <w:rPr>
                <w:sz w:val="20"/>
                <w:szCs w:val="20"/>
              </w:rPr>
              <w:t>129</w:t>
            </w:r>
          </w:p>
        </w:tc>
        <w:tc>
          <w:tcPr>
            <w:tcW w:w="8200" w:type="dxa"/>
            <w:tcBorders/>
            <w:shd w:fill="auto" w:val="clear"/>
          </w:tcPr>
          <w:p>
            <w:pPr>
              <w:pStyle w:val="TextBody"/>
              <w:spacing w:before="0" w:after="140"/>
              <w:rPr/>
            </w:pPr>
            <w:r>
              <w:rPr/>
              <w:t xml:space="preserve">Such regimes also include current NDCs (Fawcett et al., 2015; Aldy et al., 2016; Rogelj et al., 2016a, 2017; Hof et al., 2017; van Soest et al., 2017), which have been reported to make achieving a 2°C pathway unattainable without </w:t>
            </w:r>
            <w:r>
              <w:rPr>
                <w:b/>
                <w:bCs/>
                <w:color w:val="00A65D"/>
              </w:rPr>
              <w:t>CDR</w:t>
            </w:r>
            <w:r>
              <w:rPr/>
              <w:t xml:space="preserve"> (Strefler et al., 2018b).</w:t>
            </w:r>
          </w:p>
        </w:tc>
        <w:tc>
          <w:tcPr>
            <w:tcW w:w="668" w:type="dxa"/>
            <w:tcBorders/>
            <w:shd w:fill="auto" w:val="clear"/>
          </w:tcPr>
          <w:p>
            <w:pPr>
              <w:pStyle w:val="NoSpacing"/>
              <w:rPr>
                <w:sz w:val="16"/>
                <w:szCs w:val="16"/>
              </w:rPr>
            </w:pPr>
            <w:r>
              <w:rPr>
                <w:sz w:val="16"/>
                <w:szCs w:val="16"/>
              </w:rPr>
              <w:t>2.5.1</w:t>
            </w:r>
          </w:p>
        </w:tc>
      </w:tr>
      <w:tr>
        <w:trPr/>
        <w:tc>
          <w:tcPr>
            <w:tcW w:w="528" w:type="dxa"/>
            <w:tcBorders/>
            <w:shd w:fill="auto" w:val="clear"/>
          </w:tcPr>
          <w:p>
            <w:pPr>
              <w:pStyle w:val="NoSpacing"/>
              <w:rPr>
                <w:sz w:val="20"/>
                <w:szCs w:val="20"/>
              </w:rPr>
            </w:pPr>
            <w:r>
              <w:rPr>
                <w:sz w:val="20"/>
                <w:szCs w:val="20"/>
              </w:rPr>
              <w:t>130</w:t>
            </w:r>
          </w:p>
        </w:tc>
        <w:tc>
          <w:tcPr>
            <w:tcW w:w="8200" w:type="dxa"/>
            <w:tcBorders/>
            <w:shd w:fill="auto" w:val="clear"/>
          </w:tcPr>
          <w:p>
            <w:pPr>
              <w:pStyle w:val="TextBody"/>
              <w:spacing w:before="0" w:after="140"/>
              <w:rPr/>
            </w:pPr>
            <w:r>
              <w:rPr/>
              <w:t xml:space="preserve">Pathways providing high estimates often have limited flexibility of substituting fossil fuels with low-carbon technologies and the associated need to compensate fossil-fuel emissions with </w:t>
            </w:r>
            <w:r>
              <w:rPr>
                <w:b/>
                <w:bCs/>
                <w:color w:val="00A65D"/>
              </w:rPr>
              <w:t>CDR</w:t>
            </w:r>
            <w:r>
              <w:rPr/>
              <w:t>.</w:t>
            </w:r>
          </w:p>
        </w:tc>
        <w:tc>
          <w:tcPr>
            <w:tcW w:w="668" w:type="dxa"/>
            <w:tcBorders/>
            <w:shd w:fill="auto" w:val="clear"/>
          </w:tcPr>
          <w:p>
            <w:pPr>
              <w:pStyle w:val="NoSpacing"/>
              <w:rPr>
                <w:sz w:val="16"/>
                <w:szCs w:val="16"/>
              </w:rPr>
            </w:pPr>
            <w:r>
              <w:rPr>
                <w:sz w:val="16"/>
                <w:szCs w:val="16"/>
              </w:rPr>
              <w:t>2.5.2.1</w:t>
            </w:r>
          </w:p>
        </w:tc>
      </w:tr>
      <w:tr>
        <w:trPr/>
        <w:tc>
          <w:tcPr>
            <w:tcW w:w="528" w:type="dxa"/>
            <w:tcBorders/>
            <w:shd w:fill="auto" w:val="clear"/>
          </w:tcPr>
          <w:p>
            <w:pPr>
              <w:pStyle w:val="NoSpacing"/>
              <w:rPr>
                <w:sz w:val="20"/>
                <w:szCs w:val="20"/>
              </w:rPr>
            </w:pPr>
            <w:r>
              <w:rPr>
                <w:sz w:val="20"/>
                <w:szCs w:val="20"/>
              </w:rPr>
              <w:t>131</w:t>
            </w:r>
          </w:p>
        </w:tc>
        <w:tc>
          <w:tcPr>
            <w:tcW w:w="8200" w:type="dxa"/>
            <w:tcBorders/>
            <w:shd w:fill="auto" w:val="clear"/>
          </w:tcPr>
          <w:p>
            <w:pPr>
              <w:pStyle w:val="TextBody"/>
              <w:spacing w:before="0" w:after="140"/>
              <w:rPr/>
            </w:pPr>
            <w:r>
              <w:rPr/>
              <w:t xml:space="preserve">The price of carbon is also sensitive to the non-availability of </w:t>
            </w:r>
            <w:r>
              <w:rPr>
                <w:b/>
                <w:bCs/>
                <w:color w:val="F58220"/>
              </w:rPr>
              <w:t>BECCS</w:t>
            </w:r>
            <w:r>
              <w:rPr/>
              <w:t xml:space="preserve"> (Bauer et al., 2018).</w:t>
            </w:r>
          </w:p>
        </w:tc>
        <w:tc>
          <w:tcPr>
            <w:tcW w:w="668" w:type="dxa"/>
            <w:tcBorders/>
            <w:shd w:fill="auto" w:val="clear"/>
          </w:tcPr>
          <w:p>
            <w:pPr>
              <w:pStyle w:val="NoSpacing"/>
              <w:rPr>
                <w:sz w:val="16"/>
                <w:szCs w:val="16"/>
              </w:rPr>
            </w:pPr>
            <w:r>
              <w:rPr>
                <w:sz w:val="16"/>
                <w:szCs w:val="16"/>
              </w:rPr>
              <w:t>2.5.2.1</w:t>
            </w:r>
          </w:p>
        </w:tc>
      </w:tr>
      <w:tr>
        <w:trPr/>
        <w:tc>
          <w:tcPr>
            <w:tcW w:w="528" w:type="dxa"/>
            <w:tcBorders/>
            <w:shd w:fill="auto" w:val="clear"/>
          </w:tcPr>
          <w:p>
            <w:pPr>
              <w:pStyle w:val="NoSpacing"/>
              <w:rPr>
                <w:sz w:val="20"/>
                <w:szCs w:val="20"/>
              </w:rPr>
            </w:pPr>
            <w:r>
              <w:rPr>
                <w:sz w:val="20"/>
                <w:szCs w:val="20"/>
              </w:rPr>
              <w:t>132</w:t>
            </w:r>
          </w:p>
        </w:tc>
        <w:tc>
          <w:tcPr>
            <w:tcW w:w="8200" w:type="dxa"/>
            <w:tcBorders/>
            <w:shd w:fill="auto" w:val="clear"/>
          </w:tcPr>
          <w:p>
            <w:pPr>
              <w:pStyle w:val="TextBody"/>
              <w:spacing w:before="0" w:after="140"/>
              <w:rPr/>
            </w:pPr>
            <w:r>
              <w:rPr/>
              <w:t xml:space="preserve">Stringent demand-side policies (e.g., tightened efficiency standards for buildings and appliances) driving the expansion, efficiency and provision of high-quality energy services are essential to meet a 1.5 ̊C mitigation target while reducing the reliance on </w:t>
            </w:r>
            <w:r>
              <w:rPr>
                <w:b/>
                <w:bCs/>
                <w:color w:val="00A65D"/>
              </w:rPr>
              <w:t>CDR</w:t>
            </w:r>
            <w:r>
              <w:rPr/>
              <w:t xml:space="preserve"> (Grubler et al., 2018).</w:t>
            </w:r>
          </w:p>
        </w:tc>
        <w:tc>
          <w:tcPr>
            <w:tcW w:w="668" w:type="dxa"/>
            <w:tcBorders/>
            <w:shd w:fill="auto" w:val="clear"/>
          </w:tcPr>
          <w:p>
            <w:pPr>
              <w:pStyle w:val="NoSpacing"/>
              <w:rPr>
                <w:sz w:val="16"/>
                <w:szCs w:val="16"/>
              </w:rPr>
            </w:pPr>
            <w:r>
              <w:rPr>
                <w:sz w:val="16"/>
                <w:szCs w:val="16"/>
              </w:rPr>
              <w:t>2.5.2.1</w:t>
            </w:r>
          </w:p>
        </w:tc>
      </w:tr>
      <w:tr>
        <w:trPr/>
        <w:tc>
          <w:tcPr>
            <w:tcW w:w="528" w:type="dxa"/>
            <w:tcBorders/>
            <w:shd w:fill="auto" w:val="clear"/>
          </w:tcPr>
          <w:p>
            <w:pPr>
              <w:pStyle w:val="NoSpacing"/>
              <w:rPr>
                <w:sz w:val="20"/>
                <w:szCs w:val="20"/>
              </w:rPr>
            </w:pPr>
            <w:r>
              <w:rPr>
                <w:sz w:val="20"/>
                <w:szCs w:val="20"/>
              </w:rPr>
              <w:t>133</w:t>
            </w:r>
          </w:p>
        </w:tc>
        <w:tc>
          <w:tcPr>
            <w:tcW w:w="8200" w:type="dxa"/>
            <w:tcBorders/>
            <w:shd w:fill="auto" w:val="clear"/>
          </w:tcPr>
          <w:p>
            <w:pPr>
              <w:pStyle w:val="TextBody"/>
              <w:spacing w:before="0" w:after="140"/>
              <w:rPr/>
            </w:pPr>
            <w:r>
              <w:rPr/>
              <w:t xml:space="preserve">In general, pathways with emphasis on demand reductions and policies that incentivize behavioural change, sustainable consumption patterns, healthy diets and relatively low use of </w:t>
            </w:r>
            <w:r>
              <w:rPr>
                <w:b/>
                <w:bCs/>
                <w:color w:val="00A65D"/>
              </w:rPr>
              <w:t>CDR</w:t>
            </w:r>
            <w:r>
              <w:rPr/>
              <w:t xml:space="preserve"> (or only </w:t>
            </w:r>
            <w:r>
              <w:rPr>
                <w:b/>
                <w:bCs/>
                <w:color w:val="0066B3"/>
              </w:rPr>
              <w:t>afforestation</w:t>
            </w:r>
            <w:r>
              <w:rPr/>
              <w:t>) show relatively more synergies with individual SDGs than other pathways.</w:t>
            </w:r>
          </w:p>
        </w:tc>
        <w:tc>
          <w:tcPr>
            <w:tcW w:w="668" w:type="dxa"/>
            <w:tcBorders/>
            <w:shd w:fill="auto" w:val="clear"/>
          </w:tcPr>
          <w:p>
            <w:pPr>
              <w:pStyle w:val="NoSpacing"/>
              <w:rPr>
                <w:sz w:val="16"/>
                <w:szCs w:val="16"/>
              </w:rPr>
            </w:pPr>
            <w:r>
              <w:rPr>
                <w:sz w:val="16"/>
                <w:szCs w:val="16"/>
              </w:rPr>
              <w:t>2.5.3</w:t>
            </w:r>
          </w:p>
        </w:tc>
      </w:tr>
      <w:tr>
        <w:trPr/>
        <w:tc>
          <w:tcPr>
            <w:tcW w:w="528" w:type="dxa"/>
            <w:tcBorders/>
            <w:shd w:fill="auto" w:val="clear"/>
          </w:tcPr>
          <w:p>
            <w:pPr>
              <w:pStyle w:val="NoSpacing"/>
              <w:rPr>
                <w:sz w:val="20"/>
                <w:szCs w:val="20"/>
              </w:rPr>
            </w:pPr>
            <w:r>
              <w:rPr>
                <w:sz w:val="20"/>
                <w:szCs w:val="20"/>
              </w:rPr>
              <w:t>134</w:t>
            </w:r>
          </w:p>
        </w:tc>
        <w:tc>
          <w:tcPr>
            <w:tcW w:w="8200" w:type="dxa"/>
            <w:tcBorders/>
            <w:shd w:fill="auto" w:val="clear"/>
          </w:tcPr>
          <w:p>
            <w:pPr>
              <w:pStyle w:val="TextBody"/>
              <w:spacing w:before="0" w:after="140"/>
              <w:rPr/>
            </w:pPr>
            <w:r>
              <w:rPr/>
              <w:t xml:space="preserve">Most 1.5°C and 2°C pathways are heavily reliant on </w:t>
            </w:r>
            <w:r>
              <w:rPr>
                <w:b/>
                <w:bCs/>
                <w:color w:val="00A65D"/>
              </w:rPr>
              <w:t>CDR</w:t>
            </w:r>
            <w:r>
              <w:rPr/>
              <w:t xml:space="preserve"> at a speculatively large scale before mid-century. There are a number of knowledge gaps associated which such technologies. </w:t>
            </w:r>
          </w:p>
        </w:tc>
        <w:tc>
          <w:tcPr>
            <w:tcW w:w="668" w:type="dxa"/>
            <w:tcBorders/>
            <w:shd w:fill="auto" w:val="clear"/>
          </w:tcPr>
          <w:p>
            <w:pPr>
              <w:pStyle w:val="NoSpacing"/>
              <w:rPr>
                <w:sz w:val="16"/>
                <w:szCs w:val="16"/>
              </w:rPr>
            </w:pPr>
            <w:r>
              <w:rPr>
                <w:sz w:val="16"/>
                <w:szCs w:val="16"/>
              </w:rPr>
              <w:t>2.6.3</w:t>
            </w:r>
          </w:p>
        </w:tc>
      </w:tr>
      <w:tr>
        <w:trPr/>
        <w:tc>
          <w:tcPr>
            <w:tcW w:w="528" w:type="dxa"/>
            <w:tcBorders/>
            <w:shd w:fill="auto" w:val="clear"/>
          </w:tcPr>
          <w:p>
            <w:pPr>
              <w:pStyle w:val="NoSpacing"/>
              <w:rPr>
                <w:sz w:val="20"/>
                <w:szCs w:val="20"/>
              </w:rPr>
            </w:pPr>
            <w:r>
              <w:rPr>
                <w:sz w:val="20"/>
                <w:szCs w:val="20"/>
              </w:rPr>
              <w:t>135</w:t>
            </w:r>
          </w:p>
        </w:tc>
        <w:tc>
          <w:tcPr>
            <w:tcW w:w="8200" w:type="dxa"/>
            <w:tcBorders/>
            <w:shd w:fill="auto" w:val="clear"/>
          </w:tcPr>
          <w:p>
            <w:pPr>
              <w:pStyle w:val="TextBody"/>
              <w:spacing w:before="0" w:after="140"/>
              <w:rPr/>
            </w:pPr>
            <w:r>
              <w:rPr>
                <w:b/>
                <w:bCs/>
                <w:color w:val="CE181E"/>
              </w:rPr>
              <w:t>Chapter 4</w:t>
            </w:r>
            <w:r>
              <w:rPr/>
              <w:t xml:space="preserve"> performs a detailed assessment of </w:t>
            </w:r>
            <w:r>
              <w:rPr>
                <w:b/>
                <w:bCs/>
                <w:color w:val="00A65D"/>
              </w:rPr>
              <w:t>CDR</w:t>
            </w:r>
            <w:r>
              <w:rPr/>
              <w:t xml:space="preserve"> technologies. </w:t>
            </w:r>
          </w:p>
        </w:tc>
        <w:tc>
          <w:tcPr>
            <w:tcW w:w="668" w:type="dxa"/>
            <w:tcBorders/>
            <w:shd w:fill="auto" w:val="clear"/>
          </w:tcPr>
          <w:p>
            <w:pPr>
              <w:pStyle w:val="NoSpacing"/>
              <w:rPr>
                <w:sz w:val="16"/>
                <w:szCs w:val="16"/>
              </w:rPr>
            </w:pPr>
            <w:r>
              <w:rPr>
                <w:sz w:val="16"/>
                <w:szCs w:val="16"/>
              </w:rPr>
              <w:t>2.6.3</w:t>
            </w:r>
          </w:p>
        </w:tc>
      </w:tr>
      <w:tr>
        <w:trPr/>
        <w:tc>
          <w:tcPr>
            <w:tcW w:w="528" w:type="dxa"/>
            <w:tcBorders/>
            <w:shd w:fill="auto" w:val="clear"/>
          </w:tcPr>
          <w:p>
            <w:pPr>
              <w:pStyle w:val="NoSpacing"/>
              <w:rPr>
                <w:sz w:val="20"/>
                <w:szCs w:val="20"/>
              </w:rPr>
            </w:pPr>
            <w:r>
              <w:rPr>
                <w:sz w:val="20"/>
                <w:szCs w:val="20"/>
              </w:rPr>
              <w:t>136</w:t>
            </w:r>
          </w:p>
        </w:tc>
        <w:tc>
          <w:tcPr>
            <w:tcW w:w="8200" w:type="dxa"/>
            <w:tcBorders/>
            <w:shd w:fill="auto" w:val="clear"/>
          </w:tcPr>
          <w:p>
            <w:pPr>
              <w:pStyle w:val="Normal"/>
              <w:rPr/>
            </w:pPr>
            <w:r>
              <w:rPr/>
              <w:t xml:space="preserve">Technologies other than </w:t>
            </w:r>
            <w:r>
              <w:rPr>
                <w:b/>
                <w:bCs/>
                <w:color w:val="F58220"/>
              </w:rPr>
              <w:t>BECCS</w:t>
            </w:r>
            <w:r>
              <w:rPr/>
              <w:t xml:space="preserve"> and </w:t>
            </w:r>
            <w:r>
              <w:rPr>
                <w:b/>
                <w:bCs/>
                <w:color w:val="0066B3"/>
              </w:rPr>
              <w:t>afforestation</w:t>
            </w:r>
            <w:r>
              <w:rPr/>
              <w:t xml:space="preserve"> have yet to be comprehensively assessed in integrated assessment approaches. </w:t>
            </w:r>
          </w:p>
        </w:tc>
        <w:tc>
          <w:tcPr>
            <w:tcW w:w="668" w:type="dxa"/>
            <w:tcBorders/>
            <w:shd w:fill="auto" w:val="clear"/>
          </w:tcPr>
          <w:p>
            <w:pPr>
              <w:pStyle w:val="NoSpacing"/>
              <w:rPr>
                <w:sz w:val="16"/>
                <w:szCs w:val="16"/>
              </w:rPr>
            </w:pPr>
            <w:r>
              <w:rPr>
                <w:sz w:val="16"/>
                <w:szCs w:val="16"/>
              </w:rPr>
              <w:t>2.6.3</w:t>
            </w:r>
          </w:p>
        </w:tc>
      </w:tr>
      <w:tr>
        <w:trPr/>
        <w:tc>
          <w:tcPr>
            <w:tcW w:w="528" w:type="dxa"/>
            <w:tcBorders/>
            <w:shd w:fill="auto" w:val="clear"/>
          </w:tcPr>
          <w:p>
            <w:pPr>
              <w:pStyle w:val="NoSpacing"/>
              <w:rPr>
                <w:sz w:val="20"/>
                <w:szCs w:val="20"/>
              </w:rPr>
            </w:pPr>
            <w:r>
              <w:rPr>
                <w:sz w:val="20"/>
                <w:szCs w:val="20"/>
              </w:rPr>
              <w:t>137</w:t>
            </w:r>
          </w:p>
        </w:tc>
        <w:tc>
          <w:tcPr>
            <w:tcW w:w="8200" w:type="dxa"/>
            <w:tcBorders/>
            <w:shd w:fill="auto" w:val="clear"/>
          </w:tcPr>
          <w:p>
            <w:pPr>
              <w:pStyle w:val="TextBody"/>
              <w:spacing w:before="0" w:after="140"/>
              <w:rPr/>
            </w:pPr>
            <w:r>
              <w:rPr/>
              <w:t xml:space="preserve">Evaluating the potential from </w:t>
            </w:r>
            <w:r>
              <w:rPr>
                <w:b/>
                <w:bCs/>
                <w:color w:val="F58220"/>
              </w:rPr>
              <w:t>BECCS</w:t>
            </w:r>
            <w:r>
              <w:rPr/>
              <w:t xml:space="preserve"> is problematic due to large uncertainties in future land projections due to differences in modelling approaches in current land-use models, and these differences are at least as great as the differences attributed to climate scenario variations. (</w:t>
            </w:r>
            <w:r>
              <w:rPr>
                <w:b/>
                <w:bCs/>
                <w:color w:val="CE181E"/>
              </w:rPr>
              <w:t>Section 2.3</w:t>
            </w:r>
            <w:r>
              <w:rPr/>
              <w:t>)</w:t>
            </w:r>
          </w:p>
        </w:tc>
        <w:tc>
          <w:tcPr>
            <w:tcW w:w="668" w:type="dxa"/>
            <w:tcBorders/>
            <w:shd w:fill="auto" w:val="clear"/>
          </w:tcPr>
          <w:p>
            <w:pPr>
              <w:pStyle w:val="NoSpacing"/>
              <w:rPr>
                <w:sz w:val="16"/>
                <w:szCs w:val="16"/>
              </w:rPr>
            </w:pPr>
            <w:r>
              <w:rPr>
                <w:sz w:val="16"/>
                <w:szCs w:val="16"/>
              </w:rPr>
              <w:t>2.6.3</w:t>
            </w:r>
          </w:p>
        </w:tc>
      </w:tr>
      <w:tr>
        <w:trPr/>
        <w:tc>
          <w:tcPr>
            <w:tcW w:w="528" w:type="dxa"/>
            <w:tcBorders/>
            <w:shd w:fill="auto" w:val="clear"/>
          </w:tcPr>
          <w:p>
            <w:pPr>
              <w:pStyle w:val="NoSpacing"/>
              <w:rPr>
                <w:sz w:val="20"/>
                <w:szCs w:val="20"/>
              </w:rPr>
            </w:pPr>
            <w:r>
              <w:rPr>
                <w:sz w:val="20"/>
                <w:szCs w:val="20"/>
              </w:rPr>
              <w:t>138</w:t>
            </w:r>
          </w:p>
        </w:tc>
        <w:tc>
          <w:tcPr>
            <w:tcW w:w="8200" w:type="dxa"/>
            <w:tcBorders/>
            <w:shd w:fill="auto" w:val="clear"/>
          </w:tcPr>
          <w:p>
            <w:pPr>
              <w:pStyle w:val="TextBody"/>
              <w:spacing w:before="0" w:after="140"/>
              <w:rPr/>
            </w:pPr>
            <w:r>
              <w:rPr/>
              <w:t xml:space="preserve">There is substantial uncertainty about the adverse effects of large-scale </w:t>
            </w:r>
            <w:r>
              <w:rPr>
                <w:b/>
                <w:bCs/>
                <w:color w:val="00A65D"/>
              </w:rPr>
              <w:t>CDR</w:t>
            </w:r>
            <w:r>
              <w:rPr/>
              <w:t xml:space="preserve"> deployment on the environment and societal sustainable development goals. It is not fully understood how land-use and land-management choices for large-scale </w:t>
            </w:r>
            <w:r>
              <w:rPr>
                <w:b/>
                <w:bCs/>
                <w:color w:val="F58220"/>
              </w:rPr>
              <w:t>BECCS</w:t>
            </w:r>
            <w:r>
              <w:rPr/>
              <w:t xml:space="preserve"> will affect various ecosystem services and sustainable development, and how they further translate into indirect impacts on climate, including GHG emissions other than CO 2 . (</w:t>
            </w:r>
            <w:r>
              <w:rPr>
                <w:b/>
                <w:bCs/>
                <w:color w:val="CE181E"/>
              </w:rPr>
              <w:t>Section 2.3, Section 2.5.3</w:t>
            </w:r>
            <w:r>
              <w:rPr/>
              <w:t>)</w:t>
            </w:r>
          </w:p>
        </w:tc>
        <w:tc>
          <w:tcPr>
            <w:tcW w:w="668" w:type="dxa"/>
            <w:tcBorders/>
            <w:shd w:fill="auto" w:val="clear"/>
          </w:tcPr>
          <w:p>
            <w:pPr>
              <w:pStyle w:val="NoSpacing"/>
              <w:rPr>
                <w:sz w:val="16"/>
                <w:szCs w:val="16"/>
              </w:rPr>
            </w:pPr>
            <w:r>
              <w:rPr>
                <w:sz w:val="16"/>
                <w:szCs w:val="16"/>
              </w:rPr>
              <w:t>2.6.3</w:t>
            </w:r>
          </w:p>
        </w:tc>
      </w:tr>
    </w:tbl>
    <w:p>
      <w:pPr>
        <w:pStyle w:val="Normal"/>
        <w:rPr/>
      </w:pPr>
      <w:r>
        <w:rPr/>
      </w:r>
    </w:p>
    <w:p>
      <w:pPr>
        <w:pStyle w:val="Normal"/>
        <w:rPr>
          <w:rStyle w:val="Berschrift1Zchn"/>
        </w:rPr>
      </w:pPr>
      <w:r>
        <w:rPr/>
      </w:r>
    </w:p>
    <w:p>
      <w:pPr>
        <w:pStyle w:val="Normal"/>
        <w:rPr/>
      </w:pPr>
      <w:r>
        <w:rPr>
          <w:rStyle w:val="Berschrift1Zchn"/>
        </w:rPr>
        <w:t>Executive Summary</w:t>
      </w:r>
    </w:p>
    <w:p>
      <w:pPr>
        <w:pStyle w:val="TextBody"/>
        <w:rPr/>
      </w:pPr>
      <w:r>
        <w:rPr>
          <w:rStyle w:val="Berschrift1Zchn"/>
          <w:b/>
          <w:bCs/>
          <w:color w:val="000000"/>
          <w:sz w:val="24"/>
          <w:szCs w:val="24"/>
        </w:rPr>
        <w:t>Limiting warming to 1.5°C depends on greenhouse gas (GHG) emissions over the next decades, where lower GHG emissions in 2030 lead to a higher chance of keeping peak warming to 1.5°C (high confidence).</w:t>
      </w:r>
      <w:r>
        <w:rPr>
          <w:rStyle w:val="Berschrift1Zchn"/>
          <w:b w:val="false"/>
          <w:bCs w:val="false"/>
          <w:color w:val="000000"/>
          <w:sz w:val="24"/>
          <w:szCs w:val="24"/>
        </w:rPr>
        <w:t xml:space="preserve"> Available pathways that aim for no or limited (less than 0.1°C) overshoot of 1.5°C keep GHG emissions in 2030 to 25–30 GtCO2e yr −1 in 2030 (interquartile range). This contrasts with median estimates for current unconditional NDCs of 52–58 GtCO2 e yr −1 in 2030. Pathways that aim for limiting warming to 1.5°C by 2100 after a temporary temperature overshoot rely on large-scale deployment of </w:t>
      </w:r>
      <w:r>
        <w:rPr>
          <w:rStyle w:val="Berschrift1Zchn"/>
          <w:b/>
          <w:bCs/>
          <w:color w:val="00A65D"/>
          <w:sz w:val="24"/>
          <w:szCs w:val="24"/>
        </w:rPr>
        <w:t>carbon dioxide removal (CDR)</w:t>
      </w:r>
      <w:r>
        <w:rPr>
          <w:rStyle w:val="Berschrift1Zchn"/>
          <w:b w:val="false"/>
          <w:bCs w:val="false"/>
          <w:color w:val="000000"/>
          <w:sz w:val="24"/>
          <w:szCs w:val="24"/>
        </w:rPr>
        <w:t xml:space="preserve"> measures, which are uncertain and entail clear risks. In model pathways with no or limited overshoot of 1.5°C, global net anthropogenic CO2 emissions decline by about 45% from 2010 levels by 2030 (40–60% interquartile range), reaching net zero around 2050 (2045–2055 interquartile range). For limiting global warming to below 2°C with at least 66% probability CO2 emissions are projected to decline by about 25% by 2030 in most pathways (10–30% interquartile range) and reach net zero around 2070 (2065–2080 interquartile range). 1 </w:t>
      </w:r>
      <w:r>
        <w:rPr>
          <w:rStyle w:val="Berschrift1Zchn"/>
          <w:b/>
          <w:bCs/>
          <w:color w:val="CE181E"/>
          <w:sz w:val="24"/>
          <w:szCs w:val="24"/>
        </w:rPr>
        <w:t>{2.2, 2.3.3, 2.3.5, 2.5.3, Cross-Chapter Boxes 6 in Chapter 3 and 9 in Chapter 4, 4.3.7}</w:t>
      </w:r>
    </w:p>
    <w:p>
      <w:pPr>
        <w:pStyle w:val="TextBody"/>
        <w:rPr/>
      </w:pPr>
      <w:r>
        <w:rPr>
          <w:rStyle w:val="Berschrift1Zchn"/>
          <w:b/>
          <w:bCs/>
          <w:color w:val="000000"/>
          <w:sz w:val="24"/>
          <w:szCs w:val="24"/>
        </w:rPr>
        <w:t>Limiting warming to 1.5°C implies reaching net zero CO2 emissions globally around 2050 and concurrent deep reductions in emissions of non-CO2 forcers, particularly methane (high confidence).</w:t>
      </w:r>
      <w:r>
        <w:rPr>
          <w:rStyle w:val="Berschrift1Zchn"/>
          <w:b w:val="false"/>
          <w:bCs w:val="false"/>
          <w:color w:val="000000"/>
          <w:sz w:val="24"/>
          <w:szCs w:val="24"/>
        </w:rPr>
        <w:t xml:space="preserve"> Such mitigation pathways are characterized by energy- demand reductions, decarbonization of electricity and other fuels, electrification of energy end use, deep reductions in agricultural emissions, and some form of </w:t>
      </w:r>
      <w:r>
        <w:rPr>
          <w:rStyle w:val="Berschrift1Zchn"/>
          <w:b/>
          <w:bCs/>
          <w:color w:val="00A65D"/>
          <w:sz w:val="24"/>
          <w:szCs w:val="24"/>
        </w:rPr>
        <w:t>CDR</w:t>
      </w:r>
      <w:r>
        <w:rPr>
          <w:rStyle w:val="Berschrift1Zchn"/>
          <w:b w:val="false"/>
          <w:bCs w:val="false"/>
          <w:color w:val="000000"/>
          <w:sz w:val="24"/>
          <w:szCs w:val="24"/>
        </w:rPr>
        <w:t xml:space="preserve"> with carbon storage on land or sequestration in geological reservoirs. Low energy demand and low demand for land- and GHG-intensive consumption goods facilitate limiting warming to as close as possible to 1.5°C. </w:t>
      </w:r>
      <w:r>
        <w:rPr>
          <w:rStyle w:val="Berschrift1Zchn"/>
          <w:b/>
          <w:bCs/>
          <w:color w:val="CE181E"/>
          <w:sz w:val="24"/>
          <w:szCs w:val="24"/>
        </w:rPr>
        <w:t>{2.2.2, 2.3.1, 2.3.5, 2.5.1, Cross-Chapter Box 9 in Chapter 4}.</w:t>
      </w:r>
    </w:p>
    <w:p>
      <w:pPr>
        <w:pStyle w:val="TextBody"/>
        <w:rPr/>
      </w:pPr>
      <w:r>
        <w:rPr>
          <w:rStyle w:val="Berschrift1Zchn"/>
          <w:b/>
          <w:bCs/>
          <w:color w:val="000000"/>
          <w:sz w:val="24"/>
          <w:szCs w:val="24"/>
        </w:rPr>
        <w:t xml:space="preserve">The Role of </w:t>
      </w:r>
      <w:r>
        <w:rPr>
          <w:rStyle w:val="Berschrift1Zchn"/>
          <w:b/>
          <w:bCs/>
          <w:color w:val="00A65D"/>
          <w:sz w:val="24"/>
          <w:szCs w:val="24"/>
        </w:rPr>
        <w:t>Carbon Dioxide Removal (CDR)</w:t>
      </w:r>
    </w:p>
    <w:p>
      <w:pPr>
        <w:pStyle w:val="TextBody"/>
        <w:rPr/>
      </w:pPr>
      <w:r>
        <w:rPr>
          <w:rStyle w:val="Berschrift1Zchn"/>
          <w:b/>
          <w:bCs/>
          <w:color w:val="000000"/>
          <w:sz w:val="24"/>
          <w:szCs w:val="24"/>
        </w:rPr>
        <w:t xml:space="preserve">All analysed pathways limiting warming to 1.5°C with no or limited overshoot use </w:t>
      </w: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 xml:space="preserve">to some extent to neutralize emissions from sources for which no mitigation measures have been identified and, in most cases, also to achieve net negative emissions to return global warming to 1.5°C following a peak (high confidence). </w:t>
      </w:r>
      <w:r>
        <w:rPr>
          <w:rStyle w:val="Berschrift1Zchn"/>
          <w:b w:val="false"/>
          <w:bCs w:val="false"/>
          <w:color w:val="000000"/>
          <w:sz w:val="24"/>
          <w:szCs w:val="24"/>
        </w:rPr>
        <w:t xml:space="preserve">The longer the delay in reducing CO2 emissions towards zero, the larger the likelihood of exceeding 1.5°C, and the heavier the implied reliance on net negative emissions after mid-century to return warming to 1.5°C (high confidence). The faster reduction of net CO2 emissions in 1.5°C compared to 2°C pathways is predominantly achieved by measures that result in less CO2 being produced and emitted, and only to a smaller degree through additional </w:t>
      </w:r>
      <w:r>
        <w:rPr>
          <w:rStyle w:val="Berschrift1Zchn"/>
          <w:b/>
          <w:bCs/>
          <w:color w:val="00A65D"/>
          <w:sz w:val="24"/>
          <w:szCs w:val="24"/>
        </w:rPr>
        <w:t>CDR</w:t>
      </w:r>
      <w:r>
        <w:rPr>
          <w:rStyle w:val="Berschrift1Zchn"/>
          <w:b w:val="false"/>
          <w:bCs w:val="false"/>
          <w:color w:val="000000"/>
          <w:sz w:val="24"/>
          <w:szCs w:val="24"/>
        </w:rPr>
        <w:t xml:space="preserve">. Limitations on the speed, scale and societal acceptability of </w:t>
      </w:r>
      <w:r>
        <w:rPr>
          <w:rStyle w:val="Berschrift1Zchn"/>
          <w:b/>
          <w:bCs/>
          <w:color w:val="00A65D"/>
          <w:sz w:val="24"/>
          <w:szCs w:val="24"/>
        </w:rPr>
        <w:t>CDR</w:t>
      </w:r>
      <w:r>
        <w:rPr>
          <w:rStyle w:val="Berschrift1Zchn"/>
          <w:b w:val="false"/>
          <w:bCs w:val="false"/>
          <w:color w:val="000000"/>
          <w:sz w:val="24"/>
          <w:szCs w:val="24"/>
        </w:rPr>
        <w:t xml:space="preserve"> deployment also limit the conceivable extent of temperature overshoot. Limits to our understanding of how the carbon cycle responds to net negative emissions increase the uncertainty about the effectiveness of </w:t>
      </w:r>
      <w:r>
        <w:rPr>
          <w:rStyle w:val="Berschrift1Zchn"/>
          <w:b/>
          <w:bCs/>
          <w:color w:val="00A65D"/>
          <w:sz w:val="24"/>
          <w:szCs w:val="24"/>
        </w:rPr>
        <w:t>CDR</w:t>
      </w:r>
      <w:r>
        <w:rPr>
          <w:rStyle w:val="Berschrift1Zchn"/>
          <w:b w:val="false"/>
          <w:bCs w:val="false"/>
          <w:color w:val="000000"/>
          <w:sz w:val="24"/>
          <w:szCs w:val="24"/>
        </w:rPr>
        <w:t xml:space="preserve"> to decline temperatures after a peak. </w:t>
      </w:r>
      <w:r>
        <w:rPr>
          <w:rStyle w:val="Berschrift1Zchn"/>
          <w:b/>
          <w:bCs/>
          <w:color w:val="CE181E"/>
          <w:sz w:val="24"/>
          <w:szCs w:val="24"/>
        </w:rPr>
        <w:t>{2.2, 2.3, 2.6, 4.3.7}</w:t>
      </w:r>
    </w:p>
    <w:p>
      <w:pPr>
        <w:pStyle w:val="TextBody"/>
        <w:rPr/>
      </w:pP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deployed at scale is unproven, and reliance on such technology is a major risk in the ability to limit warming to 1.5°C</w:t>
      </w:r>
      <w:r>
        <w:rPr>
          <w:rStyle w:val="Berschrift1Zchn"/>
          <w:b w:val="false"/>
          <w:bCs w:val="false"/>
          <w:color w:val="000000"/>
          <w:sz w:val="24"/>
          <w:szCs w:val="24"/>
        </w:rPr>
        <w:t xml:space="preserve">. </w:t>
      </w: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is needed less in pathways with particularly strong emphasis on energy efficiency and low demand. The scale and type of</w:t>
      </w:r>
      <w:r>
        <w:rPr>
          <w:rStyle w:val="Berschrift1Zchn"/>
          <w:b w:val="false"/>
          <w:bCs w:val="false"/>
          <w:color w:val="000000"/>
          <w:sz w:val="24"/>
          <w:szCs w:val="24"/>
        </w:rPr>
        <w:t xml:space="preserve"> </w:t>
      </w:r>
      <w:r>
        <w:rPr>
          <w:rStyle w:val="Berschrift1Zchn"/>
          <w:b/>
          <w:bCs/>
          <w:color w:val="00A65D"/>
          <w:sz w:val="24"/>
          <w:szCs w:val="24"/>
        </w:rPr>
        <w:t>CDR</w:t>
      </w:r>
      <w:r>
        <w:rPr>
          <w:rStyle w:val="Berschrift1Zchn"/>
          <w:b w:val="false"/>
          <w:bCs w:val="false"/>
          <w:color w:val="000000"/>
          <w:sz w:val="24"/>
          <w:szCs w:val="24"/>
        </w:rPr>
        <w:t xml:space="preserve"> </w:t>
      </w:r>
      <w:r>
        <w:rPr>
          <w:rStyle w:val="Berschrift1Zchn"/>
          <w:b/>
          <w:bCs/>
          <w:color w:val="000000"/>
          <w:sz w:val="24"/>
          <w:szCs w:val="24"/>
        </w:rPr>
        <w:t>deployment varies widely across 1.5°C pathways, with different consequences for achieving sustainable development objectives (high confidence).</w:t>
      </w:r>
      <w:r>
        <w:rPr>
          <w:rStyle w:val="Berschrift1Zchn"/>
          <w:b w:val="false"/>
          <w:bCs w:val="false"/>
          <w:color w:val="000000"/>
          <w:sz w:val="24"/>
          <w:szCs w:val="24"/>
        </w:rPr>
        <w:t xml:space="preserve"> Some pathways rely more on </w:t>
      </w:r>
      <w:r>
        <w:rPr>
          <w:rStyle w:val="Berschrift1Zchn"/>
          <w:b/>
          <w:bCs/>
          <w:color w:val="F58220"/>
          <w:sz w:val="24"/>
          <w:szCs w:val="24"/>
        </w:rPr>
        <w:t>bioenergy with carbon capture and storage (BECCS)</w:t>
      </w:r>
      <w:r>
        <w:rPr>
          <w:rStyle w:val="Berschrift1Zchn"/>
          <w:b w:val="false"/>
          <w:bCs w:val="false"/>
          <w:color w:val="000000"/>
          <w:sz w:val="24"/>
          <w:szCs w:val="24"/>
        </w:rPr>
        <w:t xml:space="preserve">, while others rely more on </w:t>
      </w:r>
      <w:r>
        <w:rPr>
          <w:rStyle w:val="Berschrift1Zchn"/>
          <w:b/>
          <w:bCs/>
          <w:color w:val="0066B3"/>
          <w:sz w:val="24"/>
          <w:szCs w:val="24"/>
        </w:rPr>
        <w:t>afforestation</w:t>
      </w:r>
      <w:r>
        <w:rPr>
          <w:rStyle w:val="Berschrift1Zchn"/>
          <w:b w:val="false"/>
          <w:bCs w:val="false"/>
          <w:color w:val="000000"/>
          <w:sz w:val="24"/>
          <w:szCs w:val="24"/>
        </w:rPr>
        <w:t xml:space="preserve">, which are the two </w:t>
      </w:r>
      <w:r>
        <w:rPr>
          <w:rStyle w:val="Berschrift1Zchn"/>
          <w:b/>
          <w:bCs/>
          <w:color w:val="00A65D"/>
          <w:sz w:val="24"/>
          <w:szCs w:val="24"/>
        </w:rPr>
        <w:t>CDR</w:t>
      </w:r>
      <w:r>
        <w:rPr>
          <w:rStyle w:val="Berschrift1Zchn"/>
          <w:b w:val="false"/>
          <w:bCs w:val="false"/>
          <w:color w:val="000000"/>
          <w:sz w:val="24"/>
          <w:szCs w:val="24"/>
        </w:rPr>
        <w:t xml:space="preserve"> methods most often included in integrated pathways. Trade-offs with other sustainability objectives occur predominantly through increased land, energy, water and investment demand. Bioenergy use is substantial in 1.5°C pathways with or without </w:t>
      </w:r>
      <w:r>
        <w:rPr>
          <w:rStyle w:val="Berschrift1Zchn"/>
          <w:b/>
          <w:bCs/>
          <w:color w:val="F58220"/>
          <w:sz w:val="24"/>
          <w:szCs w:val="24"/>
        </w:rPr>
        <w:t>BECCS</w:t>
      </w:r>
      <w:r>
        <w:rPr>
          <w:rStyle w:val="Berschrift1Zchn"/>
          <w:b w:val="false"/>
          <w:bCs w:val="false"/>
          <w:color w:val="000000"/>
          <w:sz w:val="24"/>
          <w:szCs w:val="24"/>
        </w:rPr>
        <w:t xml:space="preserve"> due to its multiple roles in decarbonizing energy use. </w:t>
      </w:r>
      <w:r>
        <w:rPr>
          <w:rStyle w:val="Berschrift1Zchn"/>
          <w:b/>
          <w:bCs/>
          <w:color w:val="CE181E"/>
          <w:sz w:val="24"/>
          <w:szCs w:val="24"/>
        </w:rPr>
        <w:t>{2.3.1, 2.5.3, 2.6.3, 4.3.7}</w:t>
      </w:r>
    </w:p>
    <w:p>
      <w:pPr>
        <w:pStyle w:val="Heading1"/>
        <w:rPr/>
      </w:pPr>
      <w:r>
        <w:rPr>
          <w:b/>
          <w:bCs/>
        </w:rPr>
        <w:t>2.1 Introduction to Mitigation Pathways and the Sustainable Development Context</w:t>
      </w:r>
    </w:p>
    <w:p>
      <w:pPr>
        <w:pStyle w:val="Heading2"/>
        <w:rPr/>
      </w:pPr>
      <w:r>
        <w:rPr/>
        <w:t>2.1.3 New Scenario Information since AR5</w:t>
      </w:r>
    </w:p>
    <w:p>
      <w:pPr>
        <w:pStyle w:val="TextBody"/>
        <w:rPr/>
      </w:pPr>
      <w:r>
        <w:rPr/>
        <w:t xml:space="preserve">Since the AR5, several new, integrated multimodel studies have appeared in the literature that explore specific characteristics of scenarios more stringent than the lowest scenario category assessed in AR5 than was assessed to limit warming below 2°C with greater that 66% likelihood (Rogelj et al., 2015b, 2018; Akimoto et al., 2017; Marcucci et al., 2017; Su et al., 2017; Bauer et al., 2018; Bertram et al., 2018; Grubler et al., 2018; Holz et al., 2018b; Kriegler et al., 2018a; Liu et al., 2018; Luderer et al., 2018; Strefler et al., 2018a; van Vuuren et al., 2018; Vrontisi et al., 2018; Zhang et al., 2018). Those scenarios explore 1.5°C-consistent pathways from multiple perspectives </w:t>
      </w:r>
      <w:r>
        <w:rPr>
          <w:b/>
          <w:bCs/>
          <w:color w:val="CE181E"/>
        </w:rPr>
        <w:t>Chapter 2 (see Supplementary Material 2.SM.1.3)</w:t>
      </w:r>
      <w:r>
        <w:rPr/>
        <w:t>, examining sensitivity to assumptions regarding:</w:t>
      </w:r>
    </w:p>
    <w:p>
      <w:pPr>
        <w:pStyle w:val="TextBody"/>
        <w:numPr>
          <w:ilvl w:val="0"/>
          <w:numId w:val="1"/>
        </w:numPr>
        <w:rPr/>
      </w:pPr>
      <w:r>
        <w:rPr/>
        <w:t>socio-economic drivers and developments including energy and food demand as, for example, characterized by the Shared Socio- Economic Pathways (SSPs; Cross-Chapter Box 1 in Chapter 1)</w:t>
      </w:r>
    </w:p>
    <w:p>
      <w:pPr>
        <w:pStyle w:val="TextBody"/>
        <w:numPr>
          <w:ilvl w:val="0"/>
          <w:numId w:val="1"/>
        </w:numPr>
        <w:rPr/>
      </w:pPr>
      <w:r>
        <w:rPr/>
        <w:t>near-term climate policies describing different levels of strengthening the NDCs</w:t>
      </w:r>
    </w:p>
    <w:p>
      <w:pPr>
        <w:pStyle w:val="TextBody"/>
        <w:numPr>
          <w:ilvl w:val="0"/>
          <w:numId w:val="1"/>
        </w:numPr>
        <w:rPr/>
      </w:pPr>
      <w:r>
        <w:rPr/>
        <w:t xml:space="preserve">the use of bioenergy and the availability and desirability of </w:t>
      </w:r>
      <w:r>
        <w:rPr>
          <w:b/>
          <w:bCs/>
          <w:color w:val="00A65D"/>
        </w:rPr>
        <w:t>carbon dioxide removal (CDR)</w:t>
      </w:r>
      <w:r>
        <w:rPr/>
        <w:t xml:space="preserve"> technologies</w:t>
      </w:r>
    </w:p>
    <w:p>
      <w:pPr>
        <w:pStyle w:val="TextBody"/>
        <w:rPr/>
      </w:pPr>
      <w:r>
        <w:rPr/>
        <w:t xml:space="preserve">In addition to the characteristics of the above-mentioned classes, four illustrative pathway archetypes have been selected and are used throughout this chapter to highlight specific features of and variations across 1.5°C pathways. These are chosen in particular to illustrate the spectrum of CO2 emissions reduction patterns consistent with 1.5°C, ranging from very rapid and deep near-term decreases, facilitated by efficiency and demand-side measures that lead to limited </w:t>
      </w:r>
      <w:r>
        <w:rPr>
          <w:b/>
          <w:bCs/>
          <w:color w:val="00A65D"/>
        </w:rPr>
        <w:t>CDR</w:t>
      </w:r>
      <w:r>
        <w:rPr/>
        <w:t xml:space="preserve"> requirements, to relatively slower but still rapid emissions reductions that lead to a temperature overshoot and necessitate large </w:t>
      </w:r>
      <w:r>
        <w:rPr>
          <w:b/>
          <w:bCs/>
          <w:color w:val="00A65D"/>
        </w:rPr>
        <w:t>CDR</w:t>
      </w:r>
      <w:r>
        <w:rPr/>
        <w:t xml:space="preserve"> deployment later in the century </w:t>
      </w:r>
      <w:r>
        <w:rPr>
          <w:b/>
          <w:bCs/>
          <w:color w:val="CE181E"/>
        </w:rPr>
        <w:t>(Section 2.3)</w:t>
      </w:r>
      <w:r>
        <w:rPr/>
        <w:t>.</w:t>
      </w:r>
    </w:p>
    <w:p>
      <w:pPr>
        <w:pStyle w:val="Heading2"/>
        <w:rPr/>
      </w:pPr>
      <w:r>
        <w:rPr/>
        <w:t>2.1.4 Utility of Integrated Assessment Models (IAMs) in the Context of this Report</w:t>
      </w:r>
    </w:p>
    <w:p>
      <w:pPr>
        <w:pStyle w:val="TextBody"/>
        <w:rPr/>
      </w:pPr>
      <w:r>
        <w:rPr/>
        <w:t xml:space="preserve">Detailed, process-based IAMs are a diverse set of models ranging from partial equilibrium energy–land models to computable general equilibrium models of the global economy, from myopic to perfect foresight models, and from models with to models without endogenous technological change (Supplementary Material 2.SM.1.2). The IAMs used in this chapter have limited to no coverage of climate impacts. They typically use GHG pricing mechanisms to induce emissions reductions and associated changes in energy and land uses consistent with the imposed climate goal. The scenarios generated by these models are defined by the choice of climate goals and assumptions about near-term climate policy developments. They are also shaped by assumptions about mitigation potentials and technologies as well as baseline developments such as, for example, those represented by different Shared Socio-Economic Pathways (SSPs), especially those pertaining to energy and food demand (Riahi et al., 2017). See </w:t>
      </w:r>
      <w:r>
        <w:rPr>
          <w:b/>
          <w:bCs/>
          <w:color w:val="CE181E"/>
        </w:rPr>
        <w:t>Section 2.3.1</w:t>
      </w:r>
      <w:r>
        <w:rPr/>
        <w:t xml:space="preserve"> for discussion of these assumptions. Since the AR5, the scenario literature has greatly expanded the exploration of these dimensions. This includes low-demand scenarios (Grubler et al., 2018; van Vuuren et al., 2018), scenarios taking into account a larger set of sustainable development goals (Bertram et al., 2018), scenarios with restricted availability of </w:t>
      </w:r>
      <w:r>
        <w:rPr>
          <w:b/>
          <w:bCs/>
          <w:color w:val="00A65D"/>
        </w:rPr>
        <w:t>CDR</w:t>
      </w:r>
      <w:r>
        <w:rPr/>
        <w:t xml:space="preserve"> technologies (Bauer et al., 2018; Grubler et al., 2018; Holz et al., 2018b; Kriegler et al., 2018a; Strefler et al., 2018b; van Vuuren et al., 2018), scenarios with near-term action dominated by regulatory policies (Kriegler et al., 2018a) and scenario variations across the SSPs (Riahi et al., 2017; Rogelj et al., 2018). IAM results depend upon multiple underlying assumptions, for example, the extent to which global markets and economies are assumed to operate frictionless and policies are cost-optimized, assumptions about technological progress and availability and costs of mitigation and </w:t>
      </w:r>
      <w:r>
        <w:rPr>
          <w:b/>
          <w:bCs/>
          <w:color w:val="00A65D"/>
        </w:rPr>
        <w:t>CDR</w:t>
      </w:r>
      <w:r>
        <w:rPr/>
        <w:t xml:space="preserve"> measures, assumptions about underlying socio-economic developments and future energy, food and materials demand, and assumptions about the geographic and temporal pattern of future regulatory and carbon pricing policies (see </w:t>
      </w:r>
      <w:r>
        <w:rPr>
          <w:b/>
          <w:bCs/>
          <w:color w:val="CE181E"/>
        </w:rPr>
        <w:t>Supplementary Material 2.SM.1.2</w:t>
      </w:r>
      <w:r>
        <w:rPr/>
        <w:t xml:space="preserve"> for additional discussion on IAMs and their limitations).</w:t>
      </w:r>
    </w:p>
    <w:p>
      <w:pPr>
        <w:pStyle w:val="TextBody"/>
        <w:rPr/>
      </w:pPr>
      <w:r>
        <w:rPr/>
      </w:r>
    </w:p>
    <w:p>
      <w:pPr>
        <w:pStyle w:val="Heading1"/>
        <w:rPr/>
      </w:pPr>
      <w:r>
        <w:rPr>
          <w:b/>
          <w:bCs/>
        </w:rPr>
        <w:t>2.2 Geophysical relationships and Constraints</w:t>
      </w:r>
    </w:p>
    <w:p>
      <w:pPr>
        <w:pStyle w:val="Heading2"/>
        <w:rPr/>
      </w:pPr>
      <w:r>
        <w:rPr/>
        <w:t>2.2.2 The remaining 1.5°C Carbon Budget</w:t>
      </w:r>
    </w:p>
    <w:p>
      <w:pPr>
        <w:pStyle w:val="Heading2"/>
        <w:rPr/>
      </w:pPr>
      <w:r>
        <w:rPr/>
        <w:t>2.2.2.2 CO2 and non-CO2 contributions to the remaining carbon budget</w:t>
      </w:r>
    </w:p>
    <w:p>
      <w:pPr>
        <w:pStyle w:val="TextBody"/>
        <w:rPr/>
      </w:pPr>
      <w:r>
        <w:rPr/>
        <w:t xml:space="preserve">The remaining carbon budgets assessed in this section are consistent with limiting peak warming to the indicated levels of additional warming. However, if these budgets are exceeded and the use of </w:t>
      </w:r>
      <w:r>
        <w:rPr>
          <w:b/>
          <w:bCs/>
          <w:color w:val="00A65D"/>
        </w:rPr>
        <w:t>CDR</w:t>
      </w:r>
      <w:r>
        <w:rPr/>
        <w:t xml:space="preserve"> (see </w:t>
      </w:r>
      <w:r>
        <w:rPr>
          <w:b/>
          <w:bCs/>
          <w:color w:val="CE181E"/>
        </w:rPr>
        <w:t>Sections 2.3 and 2.4</w:t>
      </w:r>
      <w:r>
        <w:rPr/>
        <w:t>) is envisaged to return cumulative CO2 emissions to within the carbon budget at a later point in time, additional uncertainties apply because the TCRE is different under increasing and decreasing atmospheric CO2 concentrations due to ocean thermal and carbon cycle inertia (Herrington and Zickfeld, 2014; Krasting et al., 2014; Zickfeld et al., 2016). This asymmetrical behaviour makes carbon budgets path-dependent in the case of a budget and/or temperature overshoot (MacDougall et al., 2015). Although potentially large for scenarios with large overshoot (MacDougall et al., 2015), this path-dependence of carbon budgets has not been well quantified for 1.5°C- and 2°C-consistent scenarios and as such remains an important knowledge gap. This assessment does not explicitly account for path dependence but takes it into consideration for its overall confidence assessment.</w:t>
      </w:r>
    </w:p>
    <w:p>
      <w:pPr>
        <w:pStyle w:val="TextBody"/>
        <w:rPr/>
      </w:pPr>
      <w:r>
        <w:rPr/>
      </w:r>
    </w:p>
    <w:p>
      <w:pPr>
        <w:pStyle w:val="Heading1"/>
        <w:rPr/>
      </w:pPr>
      <w:r>
        <w:rPr>
          <w:b/>
          <w:bCs/>
        </w:rPr>
        <w:t>2.3 Overview of 1.5°C Mitigation Pathways</w:t>
      </w:r>
    </w:p>
    <w:p>
      <w:pPr>
        <w:pStyle w:val="Heading2"/>
        <w:rPr/>
      </w:pPr>
      <w:r>
        <w:rPr/>
        <w:t>2.3.1 Range of assumptions underlying 1.5°C pathways</w:t>
      </w:r>
    </w:p>
    <w:p>
      <w:pPr>
        <w:pStyle w:val="Heading2"/>
        <w:rPr/>
      </w:pPr>
      <w:r>
        <w:rPr/>
        <w:t>2.3.1.2 Mitigation options in 1.5°C pathways</w:t>
      </w:r>
    </w:p>
    <w:p>
      <w:pPr>
        <w:pStyle w:val="TextBody"/>
        <w:rPr/>
      </w:pPr>
      <w:r>
        <w:rPr/>
      </w:r>
    </w:p>
    <w:p>
      <w:pPr>
        <w:pStyle w:val="TextBody"/>
        <w:rPr/>
      </w:pPr>
      <w:r>
        <w:rPr/>
        <w:t xml:space="preserve">In the context of 1.5°C pathways, the portfolio of mitigation options available to the model becomes an increasingly important factor. IAMs include a wide variety of mitigation options, as well as measures that achieve </w:t>
      </w:r>
      <w:r>
        <w:rPr>
          <w:b/>
          <w:bCs/>
          <w:color w:val="00A65D"/>
        </w:rPr>
        <w:t>CDR</w:t>
      </w:r>
      <w:r>
        <w:rPr/>
        <w:t xml:space="preserve"> from the atmosphere (Krey et al., 2014a, b) (see </w:t>
      </w:r>
      <w:r>
        <w:rPr>
          <w:b/>
          <w:bCs/>
          <w:color w:val="CE181E"/>
        </w:rPr>
        <w:t>Chapter 4, Section 4.3</w:t>
      </w:r>
      <w:r>
        <w:rPr/>
        <w:t xml:space="preserve"> for a broad assessment of available mitigation measures). For the purpose of this assessment, we elicited technology availability in models that submitted scenarios to the database as summarized in Supplementary Material 2.SM.1.2, where a detailed picture of the technology variety underlying available 1.5°C-consistent pathways is provided. Modelling choices on whether a particular mitigation measure is included are influenced by an assessment of its global mitigation potential, the availability of data and literature describing</w:t>
      </w:r>
    </w:p>
    <w:p>
      <w:pPr>
        <w:pStyle w:val="TextBody"/>
        <w:rPr/>
      </w:pPr>
      <w:r>
        <w:rPr/>
      </w:r>
    </w:p>
    <w:p>
      <w:pPr>
        <w:pStyle w:val="TextBody"/>
        <w:rPr/>
      </w:pPr>
      <w:r>
        <w:rPr/>
        <w:t>This elicitation (</w:t>
      </w:r>
      <w:r>
        <w:rPr>
          <w:b/>
          <w:bCs/>
          <w:color w:val="CE181E"/>
        </w:rPr>
        <w:t>Supplementary Material 2.SM.1.2</w:t>
      </w:r>
      <w:r>
        <w:rPr/>
        <w:t xml:space="preserve">) confirms that IAMs cover most supply-side mitigation options on the process level, while many demand-side options are treated as part of underlying assumptions, which can be varied (Clarke et al., 2014). In recent years, there has been increasing attention on improving the modelling of integrating variable renewable energy into the power system (Creutzig et al., 2017; Luderer et al., 2017; Pietzcker et al., 2017) and of behavioural change and other factors influencing future demand for energy and food (van Sluisveld et al., 2016; McCollum et al., 2017; Weindl et al., 2017), including in the context of 1.5°C-consistent pathways (Grubler et al., 2018; van Vuuren et al., 2018). The literature on the many diverse </w:t>
      </w:r>
      <w:r>
        <w:rPr>
          <w:b/>
          <w:bCs/>
          <w:color w:val="00A65D"/>
        </w:rPr>
        <w:t>CDR</w:t>
      </w:r>
      <w:r>
        <w:rPr/>
        <w:t xml:space="preserve"> options only recently started to develop strongly (Minx et al., 2017) (see </w:t>
      </w:r>
      <w:r>
        <w:rPr>
          <w:b/>
          <w:bCs/>
          <w:color w:val="CE181E"/>
        </w:rPr>
        <w:t>Chapter 4, Section 4.3.7</w:t>
      </w:r>
      <w:r>
        <w:rPr/>
        <w:t xml:space="preserve"> for a detailed assessment), and hence these options are only partially included in IAM analyses. IAMs mostly incorporate </w:t>
      </w:r>
      <w:r>
        <w:rPr>
          <w:b/>
          <w:bCs/>
          <w:color w:val="0066B3"/>
        </w:rPr>
        <w:t>afforestation</w:t>
      </w:r>
      <w:r>
        <w:rPr/>
        <w:t xml:space="preserve"> and </w:t>
      </w:r>
      <w:r>
        <w:rPr>
          <w:b/>
          <w:bCs/>
          <w:color w:val="F58220"/>
        </w:rPr>
        <w:t>bioenergy with carbon capture and storage (BECCS)</w:t>
      </w:r>
      <w:r>
        <w:rPr/>
        <w:t xml:space="preserve"> and only in few cases also include direct air capture with CCS (DACCS) (Chen and Tavoni, 2013; Marcucci et al., 2017; Strefler et al., 2018b).</w:t>
      </w:r>
    </w:p>
    <w:p>
      <w:pPr>
        <w:pStyle w:val="TextBody"/>
        <w:rPr/>
      </w:pPr>
      <w:r>
        <w:rPr/>
      </w:r>
    </w:p>
    <w:p>
      <w:pPr>
        <w:pStyle w:val="TextBody"/>
        <w:rPr/>
      </w:pPr>
      <w:r>
        <w:rPr/>
        <w:t xml:space="preserve">Several studies have either directly or indirectly explored the dependence of 1.5°C-consistent pathways on specific (sets of) mitigation and </w:t>
      </w:r>
      <w:r>
        <w:rPr>
          <w:b/>
          <w:bCs/>
          <w:color w:val="00A65D"/>
        </w:rPr>
        <w:t>CDR</w:t>
      </w:r>
      <w:r>
        <w:rPr/>
        <w:t xml:space="preserve"> technologies (Bauer et al., 2018; Grubler et al., 2018; Holz et al., 2018b; Kriegler et al., 2018a; Liu et al., 2018; Rogelj et al., 2018; Strefler et al., 2018b; van Vuuren et al., 2018). However, there are a few potentially disruptive technologies that are typically not yet well covered in IAMs and that have the potential to alter the shape of mitigation pathways beyond the ranges in the IAM-based literature. Those are also included in </w:t>
      </w:r>
      <w:r>
        <w:rPr>
          <w:b/>
          <w:bCs/>
          <w:color w:val="CE181E"/>
        </w:rPr>
        <w:t>Supplementary Material 2.SM.1.2</w:t>
      </w:r>
      <w:r>
        <w:rPr/>
        <w:t>. The configuration of carbon-neutral energy systems projected in mitigation pathways can vary widely, but they all share a substantial reliance on bioenergy under the assumption of effective land-use emissions control. There are other configurations with less reliance on bioenergy that are not yet comprehensively covered by global mitigation pathway modelling. One approach is to dramatically reduce and electrify energy demand for transportation and manufacturing to levels that make residual non-electric fuel use negligible or replaceable by limited amounts of electrolytic hydrogen. Such an approach is presented in a first-of-its kind low-energy-demand scenario (Grubler et al., 2018) which is part of this assessment. Other approaches rely less on energy demand reductions, but employ cheap renewable electricity to push the boundaries of electrification in the industry and transport sectors (Breyer et al., 2017; Jacobson, 2017). In addition, these approaches deploy renewable-based Power-2-X (read: Power to “x”) technologies to substitute residual fossil-fuel use (Brynolf et al., 2018). An important element of carbon-neutral Power-2-X applications is the combination of hydrogen generated from renewable electricity and CO2 captured from the atmosphere (Zeman and Keith, 2008). Alternatively, algae are considered as a bioenergy source with more limited implications.</w:t>
      </w:r>
    </w:p>
    <w:p>
      <w:pPr>
        <w:pStyle w:val="TextBody"/>
        <w:rPr/>
      </w:pPr>
      <w:r>
        <w:rPr/>
      </w:r>
    </w:p>
    <w:p>
      <w:pPr>
        <w:pStyle w:val="TextBody"/>
        <w:rPr/>
      </w:pPr>
      <w:r>
        <w:rPr/>
        <w:t xml:space="preserve">Furthermore, a range of measures could radically reduce agricultural and land-use emissions and are not yet well-covered in IAM modelling. This includes plant-based proteins (Joshi and Kumar, 2015) and cultured meat (Post, 2012) with the potential to substitute for livestock products at much lower GHG footprints (Tuomisto and Teixeira de Mattos, 2011). Large-scale use of synthetic or algae-based proteins for animal feed could free pasture land for other uses (Madeira et al., 2017; Pikaar et al., 2018). Novel technologies such as methanogen inhibitors and vaccines (Wedlock et al., 2013; Hristov et al., 2015; Herrero et al., 2016; Subharat et al., 2016) as well as synthetic and biological nitrification inhibitors (Subbarao et al., 2013; Di and Cameron, 2016) could substantially reduce future non-CO2 emissions from agriculture if commercialized successfully. Enhancing carbon sequestration in soils (Paustian et al., 2016; Frank et al., 2017; Zomer et al., 2017) can provide the dual benefit of </w:t>
      </w:r>
      <w:r>
        <w:rPr>
          <w:b/>
          <w:bCs/>
          <w:color w:val="00A65D"/>
        </w:rPr>
        <w:t>CDR</w:t>
      </w:r>
      <w:r>
        <w:rPr/>
        <w:t xml:space="preserve"> and improved soil quality. A range of conservation, restoration and land management options can also increase terrestrial carbon uptake (Griscom et al., 2017). In addition, the literature discusses </w:t>
      </w:r>
      <w:r>
        <w:rPr>
          <w:b/>
          <w:bCs/>
          <w:color w:val="00A65D"/>
        </w:rPr>
        <w:t>CDR</w:t>
      </w:r>
      <w:r>
        <w:rPr/>
        <w:t xml:space="preserve"> measures to permanently sequester atmospheric carbon in rocks (mineralization and enhanced weathering, see </w:t>
      </w:r>
      <w:r>
        <w:rPr>
          <w:b/>
          <w:bCs/>
          <w:color w:val="CE181E"/>
        </w:rPr>
        <w:t>Chapter 4, Section 4.3.7</w:t>
      </w:r>
      <w:r>
        <w:rPr/>
        <w:t>) as well as carbon capture and usage in long-lived products like plastics and carbon fibres (Mazzotti et al., 2005; Hartmann et al., 2013). Progress in the understanding of the technical viability, economics and sustainability of these ways to achieve and maintain carbon neutral energy and land use can affect the characteristics, costs and feasibility of 1.5°C-consistent pathways significantly.</w:t>
      </w:r>
    </w:p>
    <w:p>
      <w:pPr>
        <w:pStyle w:val="TextBody"/>
        <w:rPr/>
      </w:pPr>
      <w:r>
        <w:rPr/>
      </w:r>
    </w:p>
    <w:p>
      <w:pPr>
        <w:pStyle w:val="Heading2"/>
        <w:rPr/>
      </w:pPr>
      <w:r>
        <w:rPr/>
        <w:t>2.3.2 Key Characteristics of 1.5°C Pathways</w:t>
      </w:r>
    </w:p>
    <w:p>
      <w:pPr>
        <w:pStyle w:val="TextBody"/>
        <w:rPr/>
      </w:pPr>
      <w:r>
        <w:rPr/>
        <w:t>1.5°C-consistent pathways are characterized by a rapid phase out of CO2 emissions and deep emissions reductions in other GHGs and climate forcers (</w:t>
      </w:r>
      <w:r>
        <w:rPr>
          <w:b/>
          <w:bCs/>
          <w:color w:val="CE181E"/>
        </w:rPr>
        <w:t>Section 2.2.2 and 2.3.3</w:t>
      </w:r>
      <w:r>
        <w:rPr/>
        <w:t>). This is achieved by broad transformations in the energy; industry; transport; buildings; and agriculture, forestry and other land-use (AFOLU) sectors (</w:t>
      </w:r>
      <w:r>
        <w:rPr>
          <w:b/>
          <w:bCs/>
          <w:color w:val="CE181E"/>
        </w:rPr>
        <w:t>Section 2.4</w:t>
      </w:r>
      <w:r>
        <w:rPr/>
        <w:t>) (Bauer et al., 2018; Grubler et al., 2018; Holz et al., 2018b; Kriegler et al., 2018b; Liu et al., 2018; Luderer et al., 2018; Rogelj et al., 2018; van Vuuren et al., 2018; Zhang et al., 2018). Here we assess 1.5°C-consistent pathways with and without overshoot during the 21st century. One study also explores pathways overshooting 1.5°C for longer than the 21st century (Akimoto et al., 2017), but these are not considered 1.5°C-consistent pathways in this report (</w:t>
      </w:r>
      <w:r>
        <w:rPr>
          <w:b/>
          <w:bCs/>
          <w:color w:val="CE181E"/>
        </w:rPr>
        <w:t>Chapter 1, Section 1.1.3</w:t>
      </w:r>
      <w:r>
        <w:rPr/>
        <w:t>). This subsection summarizes robust and varying properties of 1.5°C-consistent pathways regarding system transformations, emission reductions and overshoot. It aims to provide an introduction to the detailed assessment of the emissions evolution (</w:t>
      </w:r>
      <w:r>
        <w:rPr>
          <w:b/>
          <w:bCs/>
          <w:color w:val="CE181E"/>
        </w:rPr>
        <w:t>Section 2.3.3</w:t>
      </w:r>
      <w:r>
        <w:rPr/>
        <w:t xml:space="preserve">), </w:t>
      </w:r>
      <w:r>
        <w:rPr>
          <w:b/>
          <w:bCs/>
          <w:color w:val="00A65D"/>
        </w:rPr>
        <w:t>CDR</w:t>
      </w:r>
      <w:r>
        <w:rPr/>
        <w:t xml:space="preserve"> deployment (</w:t>
      </w:r>
      <w:r>
        <w:rPr>
          <w:b/>
          <w:bCs/>
          <w:color w:val="CE181E"/>
        </w:rPr>
        <w:t>Section 2.3.4</w:t>
      </w:r>
      <w:r>
        <w:rPr/>
        <w:t>), energy (</w:t>
      </w:r>
      <w:r>
        <w:rPr>
          <w:b/>
          <w:bCs/>
          <w:color w:val="CE181E"/>
        </w:rPr>
        <w:t>Section 2.4.1, 2.4.2</w:t>
      </w:r>
      <w:r>
        <w:rPr/>
        <w:t>), industry (</w:t>
      </w:r>
      <w:r>
        <w:rPr>
          <w:b/>
          <w:bCs/>
          <w:color w:val="CE181E"/>
        </w:rPr>
        <w:t>2.4.3.1</w:t>
      </w:r>
      <w:r>
        <w:rPr/>
        <w:t>), buildings (</w:t>
      </w:r>
      <w:r>
        <w:rPr>
          <w:b/>
          <w:bCs/>
          <w:color w:val="CE181E"/>
        </w:rPr>
        <w:t>2.4.3.2</w:t>
      </w:r>
      <w:r>
        <w:rPr/>
        <w:t>), transport (</w:t>
      </w:r>
      <w:r>
        <w:rPr>
          <w:b/>
          <w:bCs/>
          <w:color w:val="CE181E"/>
        </w:rPr>
        <w:t>2.4.3.3</w:t>
      </w:r>
      <w:r>
        <w:rPr/>
        <w:t>) and land-use transformations (</w:t>
      </w:r>
      <w:r>
        <w:rPr>
          <w:b/>
          <w:bCs/>
          <w:color w:val="CE181E"/>
        </w:rPr>
        <w:t>Section 2.4.4</w:t>
      </w:r>
      <w:r>
        <w:rPr/>
        <w:t xml:space="preserve">) in 1.5°C-consistent pathways. Throughout </w:t>
      </w:r>
      <w:r>
        <w:rPr>
          <w:b/>
          <w:bCs/>
          <w:color w:val="CE181E"/>
        </w:rPr>
        <w:t>Sections 2.3 and 2.4</w:t>
      </w:r>
      <w:r>
        <w:rPr/>
        <w:t>, pathway properties are highlighted with four 1.5°C-consistent pathway archetypes (LED, S1, S2, S5; referred to as P1, P2, P3, and P4 in the Summary for Policymakers) covering a wide range of different socio-economic and technology assumptions (</w:t>
      </w:r>
      <w:r>
        <w:rPr>
          <w:b/>
          <w:bCs/>
          <w:color w:val="CE181E"/>
        </w:rPr>
        <w:t>Figure 2.5, Section 2.3.1</w:t>
      </w:r>
      <w:r>
        <w:rPr/>
        <w:t>).</w:t>
      </w:r>
    </w:p>
    <w:p>
      <w:pPr>
        <w:pStyle w:val="TextBody"/>
        <w:rPr/>
      </w:pPr>
      <w:r>
        <w:rPr/>
      </w:r>
    </w:p>
    <w:p>
      <w:pPr>
        <w:pStyle w:val="Heading2"/>
        <w:rPr/>
      </w:pPr>
      <w:r>
        <w:rPr/>
        <w:t>2.3.2.1 Variation in system transformations underlying 1.5°C</w:t>
      </w:r>
    </w:p>
    <w:p>
      <w:pPr>
        <w:pStyle w:val="Heading2"/>
        <w:rPr/>
      </w:pPr>
      <w:r>
        <w:rPr/>
        <w:t>pathways</w:t>
      </w:r>
    </w:p>
    <w:p>
      <w:pPr>
        <w:pStyle w:val="TextBody"/>
        <w:rPr/>
      </w:pPr>
      <w:r>
        <w:rPr/>
        <w:t>Be it for the energy, transport, buildings, industry, or AFOLU sector, the literature shows that multiple options and choices are available in each of these sectors to pursue stringent emissions reductions (</w:t>
      </w:r>
      <w:r>
        <w:rPr>
          <w:b/>
          <w:bCs/>
          <w:color w:val="CE181E"/>
        </w:rPr>
        <w:t>Section 2.3.1.2, Supplementary Material 2.SM.1.2, Chapter 4, Section 4.3</w:t>
      </w:r>
      <w:r>
        <w:rPr/>
        <w:t>). Because the overall emissions total under a pathway is limited by a geophysical carbon budget (</w:t>
      </w:r>
      <w:r>
        <w:rPr>
          <w:b/>
          <w:bCs/>
          <w:color w:val="CE181E"/>
        </w:rPr>
        <w:t>Section 2.2.2</w:t>
      </w:r>
      <w:r>
        <w:rPr/>
        <w:t xml:space="preserve">), choices in one sector affect the efforts that are required from others (Clarke et al., 2014). A robust feature of 1.5°C-consistent pathways, as highlighted by the set of pathway archetypes in Figure 2.5, is a virtually full decarbonization of the power sector around mid-century, a feature shared with 2°C-consistent pathways. The additional emissions reductions in 1.5°C-consistent compared to 2°C-consistent pathways come predominantly from the transport and industry sectors (Luderer et al., 2018). Emissions can be apportioned differently across sectors, for example, by focussing on reducing the overall amount of CO2 produced in the energy end-use sectors, and using limited contributions of </w:t>
      </w:r>
      <w:r>
        <w:rPr>
          <w:b/>
          <w:bCs/>
          <w:color w:val="0066B3"/>
        </w:rPr>
        <w:t>CDR by the AFOLU sector</w:t>
      </w:r>
      <w:r>
        <w:rPr/>
        <w:t xml:space="preserve"> (</w:t>
      </w:r>
      <w:r>
        <w:rPr>
          <w:b/>
          <w:bCs/>
          <w:color w:val="0066B3"/>
        </w:rPr>
        <w:t>afforestation</w:t>
      </w:r>
      <w:r>
        <w:rPr/>
        <w:t xml:space="preserve"> and reforestation, S1 and LED pathways in </w:t>
      </w:r>
      <w:r>
        <w:rPr>
          <w:b/>
          <w:bCs/>
          <w:color w:val="CE181E"/>
        </w:rPr>
        <w:t>Figure 2.5</w:t>
      </w:r>
      <w:r>
        <w:rPr/>
        <w:t xml:space="preserve">) (Grubler et al., 2018; Holz et al., 2018b; van Vuuren et al., 2018), or by being more lenient about the amount of CO2 that continues to be produced in the above-mentioned end-use sectors (both by 2030 and mid-century) and strongly relying on technological </w:t>
      </w:r>
      <w:r>
        <w:rPr>
          <w:b/>
          <w:bCs/>
          <w:color w:val="00A65D"/>
        </w:rPr>
        <w:t>CDR</w:t>
      </w:r>
      <w:r>
        <w:rPr/>
        <w:t xml:space="preserve"> options like </w:t>
      </w:r>
      <w:r>
        <w:rPr>
          <w:b/>
          <w:bCs/>
          <w:color w:val="F58220"/>
        </w:rPr>
        <w:t>BECCS</w:t>
      </w:r>
      <w:r>
        <w:rPr/>
        <w:t xml:space="preserve"> (</w:t>
      </w:r>
      <w:r>
        <w:rPr>
          <w:b/>
          <w:bCs/>
          <w:color w:val="CE181E"/>
        </w:rPr>
        <w:t>S2 and S5 pathways in Figure 2.5</w:t>
      </w:r>
      <w:r>
        <w:rPr/>
        <w:t>) (Luderer et al., 2018; Rogelj et al., 2018). Major drivers of these differences are assumptions about energy and food demand and the stringency of near-term climate policy (see the difference between early action in the scenarios S1, LED and more moderate action until 2030 in the scenarios S2, S5). Furthermore, the carbon budget in each of these pathways depends also on the non-CO2 mitigation measures implemented in each of them, particularly for agricultural emissions (</w:t>
      </w:r>
      <w:r>
        <w:rPr>
          <w:b/>
          <w:bCs/>
          <w:color w:val="CE181E"/>
        </w:rPr>
        <w:t>Sections 2.2.2, 2.3.3</w:t>
      </w:r>
      <w:r>
        <w:rPr/>
        <w:t xml:space="preserve">) (Gernaat et al., 2015). Those pathways differ not only in terms of their deployment of mitigation and </w:t>
      </w:r>
      <w:r>
        <w:rPr>
          <w:b/>
          <w:bCs/>
          <w:color w:val="00A65D"/>
        </w:rPr>
        <w:t>CDR</w:t>
      </w:r>
      <w:r>
        <w:rPr/>
        <w:t xml:space="preserve"> measures (</w:t>
      </w:r>
      <w:r>
        <w:rPr>
          <w:b/>
          <w:bCs/>
          <w:color w:val="CE181E"/>
        </w:rPr>
        <w:t>Sections 2.3.4 and 2.4</w:t>
      </w:r>
      <w:r>
        <w:rPr/>
        <w:t>), but also in terms of the resulting temperature overshoot (</w:t>
      </w:r>
      <w:r>
        <w:rPr>
          <w:b/>
          <w:bCs/>
          <w:color w:val="CE181E"/>
        </w:rPr>
        <w:t>Figure 2.1</w:t>
      </w:r>
      <w:r>
        <w:rPr/>
        <w:t xml:space="preserve">). Furthermore, they have very different implications for the achievement of sustainable development objectives, as further discussed in </w:t>
      </w:r>
      <w:r>
        <w:rPr>
          <w:b/>
          <w:bCs/>
          <w:color w:val="CE181E"/>
        </w:rPr>
        <w:t>Section 2.5.3.</w:t>
      </w:r>
    </w:p>
    <w:p>
      <w:pPr>
        <w:pStyle w:val="TextBody"/>
        <w:rPr/>
      </w:pPr>
      <w:r>
        <w:rPr/>
      </w:r>
    </w:p>
    <w:p>
      <w:pPr>
        <w:pStyle w:val="TextBody"/>
        <w:rPr/>
      </w:pPr>
      <w:r>
        <w:rPr/>
        <w:t>Most 1.5°C-consistent pathways show more stringent emissions reductions by 2030 than implied by the NDCs (</w:t>
      </w:r>
      <w:r>
        <w:rPr>
          <w:b/>
          <w:bCs/>
          <w:color w:val="CE181E"/>
        </w:rPr>
        <w:t>Section 2.3.5</w:t>
      </w:r>
      <w:r>
        <w:rPr/>
        <w:t>) The lower end of those pathways reach down to below 20 GtCO2 yr −1 in 2030 (</w:t>
      </w:r>
      <w:r>
        <w:rPr>
          <w:b/>
          <w:bCs/>
          <w:color w:val="CE181E"/>
        </w:rPr>
        <w:t>Section 2.3.3, Table 2.4</w:t>
      </w:r>
      <w:r>
        <w:rPr/>
        <w:t xml:space="preserve">), less than half of what is implied by the NDCs. Whether such pathways will be able to limit warming to 1.5°C without overshoot will depend on whether cumulative net CO2 emissions over the 21st century can be kept below the remaining carbon budget at any time. Net global CO2 emissions are derived from the gross amount of CO2 that humans annually emit into the atmosphere reduced by the amount of anthropogenic </w:t>
      </w:r>
      <w:r>
        <w:rPr>
          <w:b/>
          <w:bCs/>
          <w:color w:val="00A65D"/>
        </w:rPr>
        <w:t>CDR</w:t>
      </w:r>
      <w:r>
        <w:rPr/>
        <w:t xml:space="preserve"> in each year. New research has looked more closely at the amount and the drivers of gross CO2 emissions from fossil-fuel combustion and industrial processes (FFI) in deep mitigation pathways (Luderer et al., 2018), and found that the larger part of remaining CO2 emissions come from direct fossil-fuel use in the transport and industry sectors, while residual energy supply sector emissions (mostly from the power sector) are limited by a rapid approach to net zero CO2 emissions until mid-century. The 1.5°C pathways with no or limited (&lt;0.1°C) overshoot that were reported in the scenario database project remaining FFI CO2 emissions of 610–1260 GtCO2 over the period 2018–2100 (5th–95th percentile range; median: 880 GtCO2 ). Kriegler et al. (2018b) conducted a sensitivity analysis that explores the four central options for reducing fossil-fuel emissions: lowering energy demand, electrifying energy services, decarbonizing the power sector and decarbonizing non-electric fuel use in energy end-use sectors. By exploring these options to their extremes, they found a lowest value of 500 GtCO2 (2018–2100) gross fossil-fuel CO2 emissions for the hypothetical case of aligning the strongest assumptions for all four mitigation options. The two lines of evidence and the fact that available 1.5°C pathways cover a wide range of assumptions (</w:t>
      </w:r>
      <w:r>
        <w:rPr>
          <w:b/>
          <w:bCs/>
          <w:color w:val="CE181E"/>
        </w:rPr>
        <w:t>Section 2.3.1</w:t>
      </w:r>
      <w:r>
        <w:rPr/>
        <w:t>) give a robust indication of a lower limit of about 500 GtCO2 remaining fossil-fuel and industry CO2 emissions in the 21st century.</w:t>
      </w:r>
    </w:p>
    <w:p>
      <w:pPr>
        <w:pStyle w:val="TextBody"/>
        <w:rPr/>
      </w:pPr>
      <w:r>
        <w:rPr/>
      </w:r>
    </w:p>
    <w:p>
      <w:pPr>
        <w:pStyle w:val="TextBody"/>
        <w:rPr/>
      </w:pPr>
      <w:r>
        <w:rPr/>
        <w:t xml:space="preserve">To compare these numbers with the remaining carbon budget, CO2 emissions from agriculture, forestry and other land use (AFOLU) need to be taken into account. In many of the 1.5°C-consistent pathways, AFOLU CO2 emissions reach zero at or before mid-century and then turn to negative values (Table 2.4). This means human changes to the land lead to atmospheric carbon being stored in plants and soils. This needs to be distinguished from the natural CO2 uptake by land, which is not accounted for in the anthropogenic AFOLU CO2 emissions reported in the pathways. Given the difference in estimating the ‘anthropogenic’ sink between countries and the global integrated assessment and carbon modelling community (Grassi et al., 2017), the AFOLU CO2 estimates included here are not necessarily directly comparable with countries’ estimates at global level. The cumulated amount of AFOLU CO2 emissions until the time they reach zero combine with the fossil-fuel and industry CO2 emissions to give a total amount of gross emissions of 650–1270 GtCO2 for the period 2018–2100 (5th–95th percentile; median 950 GtCO2 ) in 1.5°C pathways with no or limited overshoot. The lower end of the range is close to what emerges from a scenario of transformative change that halves CO2 emissions every decade from 2020 to 2050 (Rockström et al., 2017). All these estimates are above the remaining carbon budget for a one-in-two chance of limiting warming below 1.5°C without overshoot, including the low end of the hypothetical sensitivity analysis of Kriegler et al. (2018b), who assumes 75 Gt AFOLU CO2 emissions adding to a total of 575 GtCO2 gross CO2 emissions. As almost no cases have been identified that keep gross CO2 emissions within the remaining carbon budget for a one-in-two chance of limiting warming to 1.5°C, and based on current understanding of the geophysical response and its uncertainties, the available evidence indicates that avoiding overshoot of 1.5°C will require some type of </w:t>
      </w:r>
      <w:r>
        <w:rPr>
          <w:b/>
          <w:bCs/>
          <w:color w:val="00A65D"/>
        </w:rPr>
        <w:t>CDR</w:t>
      </w:r>
      <w:r>
        <w:rPr/>
        <w:t xml:space="preserve"> in a broad sense, e.g., via </w:t>
      </w:r>
      <w:r>
        <w:rPr>
          <w:b/>
          <w:bCs/>
          <w:color w:val="0066B3"/>
        </w:rPr>
        <w:t>net negative AFOLU CO2 emissions</w:t>
      </w:r>
      <w:r>
        <w:rPr/>
        <w:t xml:space="preserve"> (medium confidence). (</w:t>
      </w:r>
      <w:r>
        <w:rPr>
          <w:b/>
          <w:bCs/>
          <w:color w:val="CE181E"/>
        </w:rPr>
        <w:t>Table 2.2</w:t>
      </w:r>
      <w:r>
        <w:rPr/>
        <w:t>).</w:t>
      </w:r>
    </w:p>
    <w:p>
      <w:pPr>
        <w:pStyle w:val="TextBody"/>
        <w:rPr/>
      </w:pPr>
      <w:r>
        <w:rPr/>
      </w:r>
    </w:p>
    <w:p>
      <w:pPr>
        <w:pStyle w:val="TextBody"/>
        <w:rPr/>
      </w:pPr>
      <w:r>
        <w:rPr/>
        <w:t xml:space="preserve">Net CO2 emissions can fall below gross CO2 emissions, if </w:t>
      </w:r>
      <w:r>
        <w:rPr>
          <w:b/>
          <w:bCs/>
          <w:color w:val="00A65D"/>
        </w:rPr>
        <w:t>CDR</w:t>
      </w:r>
      <w:r>
        <w:rPr/>
        <w:t xml:space="preserve"> is brought into the mix. Studies have looked at mitigation and </w:t>
      </w:r>
      <w:r>
        <w:rPr>
          <w:b/>
          <w:bCs/>
          <w:color w:val="00A65D"/>
        </w:rPr>
        <w:t>CDR</w:t>
      </w:r>
      <w:r>
        <w:rPr/>
        <w:t xml:space="preserve"> in combination to identify strategies for limiting warming to 1.5°C (Sanderson et al., 2016; Ricke et al., 2017). </w:t>
      </w:r>
      <w:r>
        <w:rPr>
          <w:b/>
          <w:bCs/>
          <w:color w:val="00A65D"/>
        </w:rPr>
        <w:t>CDR</w:t>
      </w:r>
      <w:r>
        <w:rPr/>
        <w:t xml:space="preserve">, which may include </w:t>
      </w:r>
      <w:r>
        <w:rPr>
          <w:b/>
          <w:bCs/>
          <w:color w:val="0066B3"/>
        </w:rPr>
        <w:t>net negative AFOLU</w:t>
      </w:r>
      <w:r>
        <w:rPr/>
        <w:t xml:space="preserve"> </w:t>
      </w:r>
      <w:r>
        <w:rPr>
          <w:b/>
          <w:bCs/>
          <w:color w:val="0066B3"/>
        </w:rPr>
        <w:t>CO2 emissions</w:t>
      </w:r>
      <w:r>
        <w:rPr/>
        <w:t xml:space="preserve">, is deployed by all 1.5°C-consistent pathways available to this assessment, but the scale of deployment and choice of </w:t>
      </w:r>
      <w:r>
        <w:rPr>
          <w:b/>
          <w:bCs/>
          <w:color w:val="00A65D"/>
        </w:rPr>
        <w:t>CDR</w:t>
      </w:r>
      <w:r>
        <w:rPr/>
        <w:t xml:space="preserve"> measures varies widely (</w:t>
      </w:r>
      <w:r>
        <w:rPr>
          <w:b/>
          <w:bCs/>
          <w:color w:val="CE181E"/>
        </w:rPr>
        <w:t>Section 2.3.4</w:t>
      </w:r>
      <w:r>
        <w:rPr/>
        <w:t xml:space="preserve">). Furthermore, no </w:t>
      </w:r>
      <w:r>
        <w:rPr>
          <w:b/>
          <w:bCs/>
          <w:color w:val="00A65D"/>
        </w:rPr>
        <w:t>CDR</w:t>
      </w:r>
      <w:r>
        <w:rPr/>
        <w:t xml:space="preserve"> technology has been deployed at scale yet, and all come with concerns about their potential (Fuss et al., 2018), feasibility (Nemet et al., 2018) and/or sustainability (Smith et al., 2015; Fuss et al., 2018) (see </w:t>
      </w:r>
      <w:r>
        <w:rPr>
          <w:b/>
          <w:bCs/>
          <w:color w:val="CE181E"/>
        </w:rPr>
        <w:t xml:space="preserve">Sections 2.3.4, 4.3.2 and 4.3.7 and Cross-Chapter Box 7 in Chapter 3 </w:t>
      </w:r>
      <w:r>
        <w:rPr/>
        <w:t xml:space="preserve">for further discussion). </w:t>
      </w:r>
      <w:r>
        <w:rPr>
          <w:b/>
          <w:bCs/>
          <w:color w:val="00A65D"/>
        </w:rPr>
        <w:t>CDR</w:t>
      </w:r>
      <w:r>
        <w:rPr/>
        <w:t xml:space="preserve"> can have two very different functions in  1.5°C-consistent pathways. If deployed in the first half of the century, before net zero CO2 emissions are reached, it neutralizes some of the remaining CO2 emissions year by year and thus slows the accumulation of CO2 in the atmosphere. In this first function it can be used to remain within the carbon budget and avoid overshoot. If </w:t>
      </w:r>
      <w:r>
        <w:rPr>
          <w:b/>
          <w:bCs/>
          <w:color w:val="00A65D"/>
        </w:rPr>
        <w:t>CDR</w:t>
      </w:r>
      <w:r>
        <w:rPr/>
        <w:t xml:space="preserve"> is deployed in the second half of the century after carbon neutrality has been established, it can still be used to neutralize some residual emissions from other sectors, but also to create net negative emissions that actively draw down the cumulative amount of CO2 emissions to return below a 1.5°C warming level. In the second function, </w:t>
      </w:r>
      <w:r>
        <w:rPr>
          <w:b/>
          <w:bCs/>
          <w:color w:val="00A65D"/>
        </w:rPr>
        <w:t>CDR</w:t>
      </w:r>
      <w:r>
        <w:rPr/>
        <w:t xml:space="preserve"> enables temporary overshoot. The literature points to strong limitations to upscaling </w:t>
      </w:r>
      <w:r>
        <w:rPr>
          <w:b/>
          <w:bCs/>
          <w:color w:val="00A65D"/>
        </w:rPr>
        <w:t>CDR</w:t>
      </w:r>
      <w:r>
        <w:rPr/>
        <w:t xml:space="preserve"> (limiting its first abovementioned function) and to sustainability constraints (limiting both abovementioned functions) (Fuss et al., 2018; Minx et al., 2018; Nemet et al., 2018). Large uncertainty hence exists about what amount of </w:t>
      </w:r>
      <w:r>
        <w:rPr>
          <w:b/>
          <w:bCs/>
          <w:color w:val="00A65D"/>
        </w:rPr>
        <w:t>CDR</w:t>
      </w:r>
      <w:r>
        <w:rPr/>
        <w:t xml:space="preserve"> could actually be available before mid-century. Kriegler et al. (2018b) explore a case limiting </w:t>
      </w:r>
      <w:r>
        <w:rPr>
          <w:b/>
          <w:bCs/>
          <w:color w:val="00A65D"/>
        </w:rPr>
        <w:t>CDR</w:t>
      </w:r>
      <w:r>
        <w:rPr/>
        <w:t xml:space="preserve"> to 100 GtCO2 until 2050, and the 1.5°C pathways with no or limited overshoot available in the report’s database project 40–260 GtCO2 CDR until the point of carbon neutrality (5th to 95th percentile; median 110 GtCO2 ). Because gross CO2 emissions in most cases exceed the remaining carbon budget by several hundred GtCO2 and given the limits to </w:t>
      </w:r>
      <w:r>
        <w:rPr>
          <w:b/>
          <w:bCs/>
          <w:color w:val="00A65D"/>
        </w:rPr>
        <w:t>CDR</w:t>
      </w:r>
      <w:r>
        <w:rPr/>
        <w:t xml:space="preserve"> deployment until 2050, most of the 1.5°C-consistent pathways available to this assessment are overshoot pathways. However, the scenario database also contains nine non-overshoot pathways that remain below 1.5°C throughout the 21st century (</w:t>
      </w:r>
      <w:r>
        <w:rPr>
          <w:b/>
          <w:bCs/>
          <w:color w:val="CE181E"/>
        </w:rPr>
        <w:t>Table 2.1</w:t>
      </w:r>
      <w:r>
        <w:rPr/>
        <w:t xml:space="preserve">). </w:t>
      </w:r>
    </w:p>
    <w:p>
      <w:pPr>
        <w:pStyle w:val="TextBody"/>
        <w:rPr/>
      </w:pPr>
      <w:r>
        <w:rPr/>
      </w:r>
    </w:p>
    <w:p>
      <w:pPr>
        <w:pStyle w:val="Heading2"/>
        <w:rPr/>
      </w:pPr>
      <w:r>
        <w:rPr/>
        <w:t>2.3.3 Emissions Evolution in 1.5°C Pathways</w:t>
      </w:r>
    </w:p>
    <w:p>
      <w:pPr>
        <w:pStyle w:val="TextBody"/>
        <w:tabs>
          <w:tab w:val="left" w:pos="7095" w:leader="none"/>
        </w:tabs>
        <w:rPr/>
      </w:pPr>
      <w:r>
        <w:rPr/>
        <w:t>Appropriate benchmark values of aggregated GHG emissions depend on a variety of factors. First and foremost, they are determined by the desired likelihood to keep warming below 1.5°C and the extent to which projected temporary overshoot is to be avoided (</w:t>
      </w:r>
      <w:r>
        <w:rPr>
          <w:b/>
          <w:bCs/>
          <w:color w:val="CE181E"/>
        </w:rPr>
        <w:t>Sections 2.2, 2.3.2, and 2.3.5</w:t>
      </w:r>
      <w:r>
        <w:rPr/>
        <w:t>). For instance, median aggregated 2030 GHG emissions are about 10 GtCO 2 e yr −1 lower in 1.5°C-low-OS compared to 1.5°C-high- OS pathways, with respective interquartile ranges of 26–31 and 36–49 GtCO 2 e yr −1 (</w:t>
      </w:r>
      <w:r>
        <w:rPr>
          <w:b/>
          <w:bCs/>
          <w:color w:val="CE181E"/>
        </w:rPr>
        <w:t>Table 2.4</w:t>
      </w:r>
      <w:r>
        <w:rPr/>
        <w:t xml:space="preserve">). These ranges correspond to about 25–30 and 35–48 GtCO 2 e yr −1 in 2030, respectively, when aggregated with 100-year Global Warming Potentials from the IPCC Second Assessment Report. The limited evidence available for pathways aiming to limit warming below 1.5°C without overshoot or with limited amounts of </w:t>
      </w:r>
      <w:r>
        <w:rPr>
          <w:b/>
          <w:bCs/>
          <w:color w:val="00A65D"/>
        </w:rPr>
        <w:t>CDR</w:t>
      </w:r>
      <w:r>
        <w:rPr/>
        <w:t xml:space="preserve"> (Grubler et al., 2018; Holz et al., 2018b; van Vuuren et al., 2018) indicates that under these conditions consistent emissions in 2030 would fall at the lower end and below the above mentioned ranges. Due to the small number of 1.5°C pathways with no overshoot in the report’s database (</w:t>
      </w:r>
      <w:r>
        <w:rPr>
          <w:b/>
          <w:bCs/>
          <w:color w:val="CE181E"/>
        </w:rPr>
        <w:t>Table 2.4</w:t>
      </w:r>
      <w:r>
        <w:rPr/>
        <w:t>) and the potential for a downward bias in the selection of underlying scenario assumptions, the headline range for 1.5°C pathways with no or limited overshoot is also assessed to be of the order of 25–30 GtCO 2 e yr −1 . Ranges for the 1.5°C-low-OS and Lower-2°C classes only overlap outside their interquartile ranges, highlighting the more accelerated reductions in 1.5°C-consistent compared to 2°C-consistent pathways.</w:t>
      </w:r>
    </w:p>
    <w:p>
      <w:pPr>
        <w:pStyle w:val="TextBody"/>
        <w:rPr/>
      </w:pPr>
      <w:r>
        <w:rPr/>
      </w:r>
    </w:p>
    <w:p>
      <w:pPr>
        <w:pStyle w:val="TextBody"/>
        <w:rPr/>
      </w:pPr>
      <w:r>
        <w:rPr/>
        <w:t>Appropriate emissions benchmark values also depend on the acceptable or desired portfolio of mitigation measures, representing clearly identified trade-offs and choices (</w:t>
      </w:r>
      <w:r>
        <w:rPr>
          <w:b/>
          <w:bCs/>
          <w:color w:val="CE181E"/>
        </w:rPr>
        <w:t>Sections 2.3.4, 2.4, and 2.5.3</w:t>
      </w:r>
      <w:r>
        <w:rPr/>
        <w:t xml:space="preserve">) (Luderer et al., 2013; Rogelj et al., 2013a; Clarke et al., 2014; Krey et al., 2014a; Strefler et al., 2018b). For example, lower 2030 GHG emissions correlate with a lower dependence on the future availability and desirability of </w:t>
      </w:r>
      <w:r>
        <w:rPr>
          <w:b/>
          <w:bCs/>
          <w:color w:val="00A65D"/>
        </w:rPr>
        <w:t>CDR</w:t>
      </w:r>
      <w:r>
        <w:rPr/>
        <w:t xml:space="preserve"> (Strefler et al., 2018b). On the other hand, pathways that assume or anticipate only limited deployment of </w:t>
      </w:r>
      <w:r>
        <w:rPr>
          <w:b/>
          <w:bCs/>
          <w:color w:val="00A65D"/>
        </w:rPr>
        <w:t>CDR</w:t>
      </w:r>
      <w:r>
        <w:rPr/>
        <w:t xml:space="preserve"> during the 21st century imply lower emissions benchmarks over the coming decades, which are achieved in models through further reducing CO 2 emissions in the coming decades. The pathway archetypes used in the chapter illustrate this further (</w:t>
      </w:r>
      <w:r>
        <w:rPr>
          <w:b/>
          <w:bCs/>
          <w:color w:val="CE181E"/>
        </w:rPr>
        <w:t>Figure 2.6</w:t>
      </w:r>
      <w:r>
        <w:rPr/>
        <w:t xml:space="preserve">). Under middle-of-the-road assumptions of technological and socioeconomic development, pathway S2 suggests emission benchmarks of 34, 12 and −8 GtCO 2 e yr −1 in the years 2030, 2050, and 2100, respectively. In contrast, a pathway that further limits overshoot and aims at eliminating the reliance on negative emissions technologies like </w:t>
      </w:r>
      <w:r>
        <w:rPr>
          <w:b/>
          <w:bCs/>
          <w:color w:val="F58220"/>
        </w:rPr>
        <w:t>BECCS</w:t>
      </w:r>
      <w:r>
        <w:rPr/>
        <w:t xml:space="preserve"> as well as CCS (here labelled as the LED pathway) shows deeper emissions reductions in 2030 to limit the cumulative amount of CO 2 until net zero global CO 2 emissions (carbon neutrality). The LED pathway here suggests emission benchmarks of 25, 9 and 2 GtCO 2 e yr −1 in the years 2030, 2050, and 2100, respectively. However, a pathway that allows and plans for the successful large-scale deployment of </w:t>
      </w:r>
      <w:r>
        <w:rPr>
          <w:b/>
          <w:bCs/>
          <w:color w:val="F58220"/>
        </w:rPr>
        <w:t>BECCS</w:t>
      </w:r>
      <w:r>
        <w:rPr/>
        <w:t xml:space="preserve"> by and beyond 2050 (S5) shows a shift in the opposite direction. The variation within and between the abovementioned ranges of 2030 GHG benchmarks hence depends strongly on societal choices and preferences related to the acceptability and availability of certain technologies.</w:t>
      </w:r>
    </w:p>
    <w:p>
      <w:pPr>
        <w:pStyle w:val="TextBody"/>
        <w:rPr/>
      </w:pPr>
      <w:r>
        <w:rPr/>
      </w:r>
    </w:p>
    <w:p>
      <w:pPr>
        <w:pStyle w:val="TextBody"/>
        <w:rPr/>
      </w:pPr>
      <w:r>
        <w:rPr/>
        <w:t xml:space="preserve">As a result of the interplay between residual CO 2 and non-CO 2 emissions and </w:t>
      </w:r>
      <w:r>
        <w:rPr>
          <w:b/>
          <w:bCs/>
          <w:color w:val="00A65D"/>
        </w:rPr>
        <w:t>CDR</w:t>
      </w:r>
      <w:r>
        <w:rPr/>
        <w:t>, global GHG emissions reach net zero levels at different times in different 1.5°C-consistent pathways. Interquartile ranges of the years in which 1.5°C-low-OS and 1.5°C-high-OS reach net zero GHG emissions range from 2060 to 2080 (</w:t>
      </w:r>
      <w:r>
        <w:rPr>
          <w:b/>
          <w:bCs/>
          <w:color w:val="CE181E"/>
        </w:rPr>
        <w:t>Table 2.4</w:t>
      </w:r>
      <w:r>
        <w:rPr/>
        <w:t>). A seesaw characteristic can be found between near-term emissions reductions and the timing of net zero GHG emissions. This is because pathways with limited emissions reductions in the next one to two decades require net negative CO 2 emissions later on (see earlier). Most 1.5°C-high-OS pathways lead to net zero GHG emissions in approximately the third quarter of this century, because all of them rely on significant amounts of annual net negative CO 2 emissions in the second half of the century to decline temperatures after overshoot (</w:t>
      </w:r>
      <w:r>
        <w:rPr>
          <w:b/>
          <w:bCs/>
          <w:color w:val="CE181E"/>
        </w:rPr>
        <w:t>Table 2.4</w:t>
      </w:r>
      <w:r>
        <w:rPr/>
        <w:t>). However, in pathways that aim at limiting overshoot as much as possible or more slowly decline temperatures after their peak, emissions reach the point of net zero GHG emissions slightly later or at times never. Early emissions reductions in this case reduce the requirement for net negative CO 2 emissions. Estimates of 2030 GHG emissions in line with the current NDCs overlap with the highest quartile of 1.5°C-high-OS pathways (</w:t>
      </w:r>
      <w:r>
        <w:rPr>
          <w:b/>
          <w:bCs/>
          <w:color w:val="CE181E"/>
        </w:rPr>
        <w:t>Cross-Chapter Box 9 in Chapter 4</w:t>
      </w:r>
      <w:r>
        <w:rPr/>
        <w:t>).</w:t>
      </w:r>
    </w:p>
    <w:p>
      <w:pPr>
        <w:pStyle w:val="TextBody"/>
        <w:rPr/>
      </w:pPr>
      <w:r>
        <w:rPr/>
      </w:r>
    </w:p>
    <w:p>
      <w:pPr>
        <w:pStyle w:val="Heading2"/>
        <w:rPr/>
      </w:pPr>
      <w:r>
        <w:rPr/>
        <w:t>2.3.3.1 Emissions of long-lived climate forcers</w:t>
      </w:r>
    </w:p>
    <w:p>
      <w:pPr>
        <w:pStyle w:val="TextBody"/>
        <w:rPr/>
      </w:pPr>
      <w:r>
        <w:rPr/>
        <w:t>Climate effects of long-lived climate forcers (LLCFs) are dominated by CO 2 , with smaller contributions of N2O and some fluorinated gases (Myhre et al., 2013; Blanco et al., 2014). Overall net CO 2 emissions in pathways are the result of a combination of various anthropogenic contributions (</w:t>
      </w:r>
      <w:r>
        <w:rPr>
          <w:b/>
          <w:bCs/>
          <w:color w:val="CE181E"/>
        </w:rPr>
        <w:t>Figure 2.5</w:t>
      </w:r>
      <w:r>
        <w:rPr/>
        <w:t xml:space="preserve">) (Clarke et al., 2014): (i) CO 2 produced by fossil-fuel combustion and industrial processes, (ii) CO 2 emissions or removals from the agriculture, forestry and other land use (AFOLU) sector, (iii) CO 2 capture and sequestration (CCS) from fossil fuels or industrial activities before it is released to the atmosphere, (iv) CO 2 removal by technological means, which in current pathways is mainly achieved by </w:t>
      </w:r>
      <w:r>
        <w:rPr>
          <w:b/>
          <w:bCs/>
          <w:color w:val="F58220"/>
        </w:rPr>
        <w:t>BECCS</w:t>
      </w:r>
      <w:r>
        <w:rPr/>
        <w:t xml:space="preserve"> and </w:t>
      </w:r>
      <w:r>
        <w:rPr>
          <w:b/>
          <w:bCs/>
          <w:color w:val="0066B3"/>
        </w:rPr>
        <w:t>AFOLU-related CDR</w:t>
      </w:r>
      <w:r>
        <w:rPr/>
        <w:t xml:space="preserve">, although other options could be conceivable (see </w:t>
      </w:r>
      <w:r>
        <w:rPr>
          <w:b/>
          <w:bCs/>
          <w:color w:val="CE181E"/>
        </w:rPr>
        <w:t>Chapter 4, Section 4.3.7</w:t>
      </w:r>
      <w:r>
        <w:rPr/>
        <w:t>). Pathways apply these four contributions in different configurations (</w:t>
      </w:r>
      <w:r>
        <w:rPr>
          <w:b/>
          <w:bCs/>
          <w:color w:val="CE181E"/>
        </w:rPr>
        <w:t>Figure 2.5</w:t>
      </w:r>
      <w:r>
        <w:rPr/>
        <w:t>) depending on societal choices and preferences related to the acceptability and availability of certain technologies, the timing and stringency of near-term climate policy, and the ability to limit the demand that drives baseline emissions (Marangoni et al., 2017; Riahi et al., 2017; Grubler et al., 2018; Rogelj et al., 2018; van Vuuren et al., 2018), and come with very different implication for sustainable development (</w:t>
      </w:r>
      <w:r>
        <w:rPr>
          <w:b/>
          <w:bCs/>
          <w:color w:val="CE181E"/>
        </w:rPr>
        <w:t>Section 2.5.3</w:t>
      </w:r>
      <w:r>
        <w:rPr/>
        <w:t>).</w:t>
      </w:r>
    </w:p>
    <w:p>
      <w:pPr>
        <w:pStyle w:val="TextBody"/>
        <w:rPr/>
      </w:pPr>
      <w:r>
        <w:rPr/>
      </w:r>
    </w:p>
    <w:p>
      <w:pPr>
        <w:pStyle w:val="TextBody"/>
        <w:rPr/>
      </w:pPr>
      <w:r>
        <w:rPr/>
        <w:t>The development of CO 2 emissions in the second half of the century in 1.5°C pathways is characterized by the need to stay or return within a carbon budget. Figure 2.6 shows net CO 2 and N 2 O emissions from various sources in 2050 and 2100 in 1.5°C pathways in the literature. Virtually all 1.5°C pathways obtain net negative CO 2 emissions at some point during the 21st century, but the extent to which net negative emissions are relied upon varies substantially (</w:t>
      </w:r>
      <w:r>
        <w:rPr>
          <w:b/>
          <w:bCs/>
          <w:color w:val="CE181E"/>
        </w:rPr>
        <w:t>Figure 2.6, Table 2.4</w:t>
      </w:r>
      <w:r>
        <w:rPr/>
        <w:t xml:space="preserve">). This net withdrawal of CO 2 from the atmosphere compensates for residual long-lived non-CO 2 GHG emissions that also accumulate in the atmosphere (like N2O) or cancels some of the build-up of CO 2 due to earlier emissions to achieve increasingly higher likelihoods that warming stays or returns below 1.5°C (see </w:t>
      </w:r>
      <w:r>
        <w:rPr>
          <w:b/>
          <w:bCs/>
          <w:color w:val="CE181E"/>
        </w:rPr>
        <w:t>Section 2.3.4</w:t>
      </w:r>
      <w:r>
        <w:rPr/>
        <w:t xml:space="preserve"> for a discussion of various uses of </w:t>
      </w:r>
      <w:r>
        <w:rPr>
          <w:b/>
          <w:bCs/>
          <w:color w:val="00A65D"/>
        </w:rPr>
        <w:t>CDR</w:t>
      </w:r>
      <w:r>
        <w:rPr/>
        <w:t>). Even non-overshoot pathways that aim at achieving temperature stabilization would hence deploy a certain amount of net negative CO 2 emissions to offset any accumulating long-lived non-CO 2 GHGs. The 1.5°C overshoot pathways display significantly larger amounts of annual net negative CO 2 emissions in the second half of the century. The larger the overshoot the more net negative CO 2 emissions are required to return temperatures to 1.5°C by the end of the century (</w:t>
      </w:r>
      <w:r>
        <w:rPr>
          <w:b/>
          <w:bCs/>
          <w:color w:val="CE181E"/>
        </w:rPr>
        <w:t>Table 2.4, Figure 2.1</w:t>
      </w:r>
      <w:r>
        <w:rPr/>
        <w:t>).</w:t>
      </w:r>
    </w:p>
    <w:p>
      <w:pPr>
        <w:pStyle w:val="TextBody"/>
        <w:rPr/>
      </w:pPr>
      <w:r>
        <w:rPr/>
      </w:r>
    </w:p>
    <w:p>
      <w:pPr>
        <w:pStyle w:val="Heading2"/>
        <w:rPr/>
      </w:pPr>
      <w:r>
        <w:rPr/>
        <w:t>2.3.4 CDR in 1.5°C Pathways</w:t>
      </w:r>
    </w:p>
    <w:p>
      <w:pPr>
        <w:pStyle w:val="TextBody"/>
        <w:rPr/>
      </w:pPr>
      <w:r>
        <w:rPr/>
        <w:t xml:space="preserve">Deep mitigation pathways assessed in AR5 showed significant deployment of </w:t>
      </w:r>
      <w:r>
        <w:rPr>
          <w:b/>
          <w:bCs/>
          <w:color w:val="00A65D"/>
        </w:rPr>
        <w:t>CDR</w:t>
      </w:r>
      <w:r>
        <w:rPr/>
        <w:t xml:space="preserve">, in particular through </w:t>
      </w:r>
      <w:r>
        <w:rPr>
          <w:b/>
          <w:bCs/>
          <w:color w:val="F58220"/>
        </w:rPr>
        <w:t>BECCS</w:t>
      </w:r>
      <w:r>
        <w:rPr/>
        <w:t xml:space="preserve"> (Clarke et al., 2014). This has led to increased debate about the necessity, feasibility and desirability of large-scale </w:t>
      </w:r>
      <w:r>
        <w:rPr>
          <w:b/>
          <w:bCs/>
          <w:color w:val="00A65D"/>
        </w:rPr>
        <w:t>CDR</w:t>
      </w:r>
      <w:r>
        <w:rPr/>
        <w:t xml:space="preserve"> deployment, sometimes also called </w:t>
      </w:r>
      <w:r>
        <w:rPr>
          <w:b/>
          <w:bCs/>
          <w:color w:val="A3238E"/>
        </w:rPr>
        <w:t>‘negative emissions technologies’</w:t>
      </w:r>
      <w:r>
        <w:rPr/>
        <w:t xml:space="preserve"> in the literature (Fuss et al., 2014; Anderson and Peters, 2016; Williamson, 2016; van Vuuren et al., 2017a; Obersteiner et al., 2018). Most </w:t>
      </w:r>
      <w:r>
        <w:rPr>
          <w:b/>
          <w:bCs/>
          <w:color w:val="00A65D"/>
        </w:rPr>
        <w:t>CDR</w:t>
      </w:r>
      <w:r>
        <w:rPr/>
        <w:t xml:space="preserve"> technologies remain largely unproven to date and raise substantial concerns about adverse side-effects on environmental and social sustainability (Smith et al., 2015; Dooley and Kartha, 2018). A set of key questions emerge: how strongly do 1.5°C-consistent pathways rely on </w:t>
      </w:r>
      <w:r>
        <w:rPr>
          <w:b/>
          <w:bCs/>
          <w:color w:val="00A65D"/>
        </w:rPr>
        <w:t>CDR</w:t>
      </w:r>
      <w:r>
        <w:rPr/>
        <w:t xml:space="preserve"> deployment and what types of </w:t>
      </w:r>
      <w:r>
        <w:rPr>
          <w:b/>
          <w:bCs/>
          <w:color w:val="00A65D"/>
        </w:rPr>
        <w:t>CDR</w:t>
      </w:r>
      <w:r>
        <w:rPr/>
        <w:t xml:space="preserve"> measures are deployed at which scale? How does this vary across available 1.5°C-consistent pathways and on which factors does it depend? How does </w:t>
      </w:r>
      <w:r>
        <w:rPr>
          <w:b/>
          <w:bCs/>
          <w:color w:val="00A65D"/>
        </w:rPr>
        <w:t>CDR</w:t>
      </w:r>
      <w:r>
        <w:rPr/>
        <w:t xml:space="preserve"> deployment compare between 1.5°C- and 2°C-consistent pathways and how does it compare with the findings at the time of the AR5? How does </w:t>
      </w:r>
      <w:r>
        <w:rPr>
          <w:b/>
          <w:bCs/>
          <w:color w:val="00A65D"/>
        </w:rPr>
        <w:t>CDR</w:t>
      </w:r>
      <w:r>
        <w:rPr/>
        <w:t xml:space="preserve"> deployment in 1.5°C-consistent pathways relate to questions about availability, policy implementation and sustainable development implications that have been raised about </w:t>
      </w:r>
      <w:r>
        <w:rPr>
          <w:b/>
          <w:bCs/>
          <w:color w:val="00A65D"/>
        </w:rPr>
        <w:t>CDR</w:t>
      </w:r>
      <w:r>
        <w:rPr/>
        <w:t xml:space="preserve"> technologies? The first three questions are assessed in this section with the goal to provide an overview and assessment of </w:t>
      </w:r>
      <w:r>
        <w:rPr>
          <w:b/>
          <w:bCs/>
          <w:color w:val="00A65D"/>
        </w:rPr>
        <w:t>CDR</w:t>
      </w:r>
      <w:r>
        <w:rPr/>
        <w:t xml:space="preserve"> deployment in the 1.5°C pathway literature. The fourth question is only touched upon here and is addressed in greater depth in </w:t>
      </w:r>
      <w:r>
        <w:rPr>
          <w:b/>
          <w:bCs/>
          <w:color w:val="CE181E"/>
        </w:rPr>
        <w:t>Chapter 4, Section 4.3.7</w:t>
      </w:r>
      <w:r>
        <w:rPr/>
        <w:t xml:space="preserve">, which assesses the rapidly growing literature on costs, potentials, availability and sustainability implications of individual </w:t>
      </w:r>
      <w:r>
        <w:rPr>
          <w:b/>
          <w:bCs/>
          <w:color w:val="00A65D"/>
        </w:rPr>
        <w:t>CDR</w:t>
      </w:r>
      <w:r>
        <w:rPr/>
        <w:t xml:space="preserve"> measures (Minx et al., 2017, 2018; Fuss et al., 2018; Nemet et al., 2018). In addition, Section 2.3.5 assesses the relationship between delayed mitigation action and increased </w:t>
      </w:r>
      <w:r>
        <w:rPr>
          <w:b/>
          <w:bCs/>
          <w:color w:val="00A65D"/>
        </w:rPr>
        <w:t>CDR</w:t>
      </w:r>
      <w:r>
        <w:rPr/>
        <w:t xml:space="preserve"> reliance. </w:t>
      </w:r>
      <w:r>
        <w:rPr>
          <w:b/>
          <w:bCs/>
          <w:color w:val="00A65D"/>
        </w:rPr>
        <w:t>CDR</w:t>
      </w:r>
      <w:r>
        <w:rPr/>
        <w:t xml:space="preserve"> deployment is intricately linked to the land-use transformation in 1.5°C-consistent pathways. This transformation is assessed in </w:t>
      </w:r>
      <w:r>
        <w:rPr>
          <w:b/>
          <w:bCs/>
          <w:color w:val="CE181E"/>
        </w:rPr>
        <w:t>Section 2.4.4</w:t>
      </w:r>
      <w:r>
        <w:rPr/>
        <w:t xml:space="preserve">. Bioenergy and BECCS impacts on sustainable land management are further assessed in </w:t>
      </w:r>
      <w:r>
        <w:rPr>
          <w:b/>
          <w:bCs/>
          <w:color w:val="CE181E"/>
        </w:rPr>
        <w:t>Chapter 3, Section 3.6.2 and Cross-Chapter Box 7 in Chapter 3</w:t>
      </w:r>
      <w:r>
        <w:rPr/>
        <w:t xml:space="preserve">. Ultimately, a comprehensive assessment of the land implication of land-based </w:t>
      </w:r>
      <w:r>
        <w:rPr>
          <w:b/>
          <w:bCs/>
          <w:color w:val="00A65D"/>
        </w:rPr>
        <w:t>CDR</w:t>
      </w:r>
      <w:r>
        <w:rPr/>
        <w:t xml:space="preserve"> measures will be provided in the IPCC AR6 Special Report on Climate Change and Land (SRCCL).</w:t>
      </w:r>
    </w:p>
    <w:p>
      <w:pPr>
        <w:pStyle w:val="TextBody"/>
        <w:rPr/>
      </w:pPr>
      <w:r>
        <w:rPr/>
      </w:r>
    </w:p>
    <w:p>
      <w:pPr>
        <w:pStyle w:val="Heading2"/>
        <w:rPr/>
      </w:pPr>
      <w:r>
        <w:rPr/>
        <w:t>2.3.4.1 CDR technologies and deployment levels in 1.5°C pathways</w:t>
      </w:r>
    </w:p>
    <w:p>
      <w:pPr>
        <w:pStyle w:val="TextBody"/>
        <w:rPr/>
      </w:pPr>
      <w:r>
        <w:rPr/>
        <w:t xml:space="preserve">A number of approaches to actively remove carbon-dioxide from the atmosphere are increasingly discussed in the literature (Minx et al., 2018) (see also </w:t>
      </w:r>
      <w:r>
        <w:rPr>
          <w:b/>
          <w:bCs/>
          <w:color w:val="CE181E"/>
        </w:rPr>
        <w:t>Chapter 4, Section 4.3.7</w:t>
      </w:r>
      <w:r>
        <w:rPr/>
        <w:t xml:space="preserve">). Approaches under consideration include the enhancement of terrestrial and coastalcarbon storage in plants and soils such as </w:t>
      </w:r>
      <w:r>
        <w:rPr>
          <w:b/>
          <w:bCs/>
          <w:color w:val="0066B3"/>
        </w:rPr>
        <w:t>afforestation</w:t>
      </w:r>
      <w:r>
        <w:rPr/>
        <w:t xml:space="preserve"> and reforestation (Canadell and Raupach, 2008), soil carbon enhancement (Paustian et al., 2016; Frank et al., 2017; Zomer et al., 2017), and other conservation, restoration, and management options for natural and managed land (Griscom et al., 2017) and coastal ecosystems (McLeod et al., 2011). Biochar sequestration (Woolf et al., 2010; Smith, 2016; Werner et al., 2018) provides an additional route for terrestrial carbon storage. Other approaches are concerned with storing atmospheric carbon dioxide in geological formations. They include the combination of </w:t>
      </w:r>
      <w:r>
        <w:rPr>
          <w:b/>
          <w:bCs/>
          <w:color w:val="F58220"/>
        </w:rPr>
        <w:t>biomass use for energy production with carbon capture and storage (BECCS)</w:t>
      </w:r>
      <w:r>
        <w:rPr/>
        <w:t xml:space="preserve"> (Obersteiner et al., 2001; Keith and Rhodes, 2002; Gough and Upham, 2011) and direct air capture with storage (DACCS) using chemical solvents and sorbents (Zeman and Lackner, 2004; Keith et al., 2006; Socolow et al., 2011). Further approaches investigate the mineralization of atmospheric carbon dioxide (Mazzotti et al., 2005; Matter et al., 2016), including enhanced weathering of rocks (Schuiling and Krijgsman, 2006; Hartmann et al., 2013; Strefler et al., 2018a). A fourth group of approaches is concerned with the sequestration of carbon dioxide in the oceans, for example by means of ocean alkalinization (Kheshgi, 1995; Rau, 2011; Ilyina et al., 2013; Lenton et al., 2018). The costs, </w:t>
      </w:r>
      <w:r>
        <w:rPr>
          <w:b/>
          <w:bCs/>
          <w:color w:val="00A65D"/>
        </w:rPr>
        <w:t>CDR</w:t>
      </w:r>
      <w:r>
        <w:rPr/>
        <w:t xml:space="preserve"> potential and environmental side effects of  several of these measures are increasingly investigated and compared in the literature, but large uncertainties remain, in particular concerning the feasibility and impact of large-scale deployment of </w:t>
      </w:r>
      <w:r>
        <w:rPr>
          <w:b/>
          <w:bCs/>
          <w:color w:val="00A65D"/>
        </w:rPr>
        <w:t>CDR</w:t>
      </w:r>
      <w:r>
        <w:rPr/>
        <w:t xml:space="preserve"> measures (The Royal Society, 2009; Smith et al., 2015; Psarras et al., 2017; Fuss et al., 2018) (see </w:t>
      </w:r>
      <w:r>
        <w:rPr>
          <w:b/>
          <w:bCs/>
          <w:color w:val="CE181E"/>
        </w:rPr>
        <w:t>Chapter 4.3.7</w:t>
      </w:r>
      <w:r>
        <w:rPr/>
        <w:t>). There are also proposals to remove methane, nitrous oxide and halocarbons via photocatalysis from the atmosphere (Boucher and Folberth, 2010; de Richter et al., 2017), but a broader assessment of their effectiveness, cost and sustainability impacts is lacking to date.</w:t>
      </w:r>
    </w:p>
    <w:p>
      <w:pPr>
        <w:pStyle w:val="TextBody"/>
        <w:rPr/>
      </w:pPr>
      <w:r>
        <w:rPr/>
      </w:r>
    </w:p>
    <w:p>
      <w:pPr>
        <w:pStyle w:val="TextBody"/>
        <w:rPr/>
      </w:pPr>
      <w:r>
        <w:rPr/>
        <w:t xml:space="preserve">Only some of these approaches have so far been considered in IAMs (see </w:t>
      </w:r>
      <w:r>
        <w:rPr>
          <w:b/>
          <w:bCs/>
          <w:color w:val="CE181E"/>
        </w:rPr>
        <w:t>Section 2.3.1.2</w:t>
      </w:r>
      <w:r>
        <w:rPr/>
        <w:t xml:space="preserve">). The mitigation scenario literature up to AR5 mostly included </w:t>
      </w:r>
      <w:r>
        <w:rPr>
          <w:b/>
          <w:bCs/>
          <w:color w:val="F58220"/>
        </w:rPr>
        <w:t>BECCS</w:t>
      </w:r>
      <w:r>
        <w:rPr/>
        <w:t xml:space="preserve"> and, to a more limited extent, </w:t>
      </w:r>
      <w:r>
        <w:rPr>
          <w:b/>
          <w:bCs/>
          <w:color w:val="0066B3"/>
        </w:rPr>
        <w:t>afforestation</w:t>
      </w:r>
      <w:r>
        <w:rPr/>
        <w:t xml:space="preserve"> and reforestation (Clarke et al., 2014). Since then, some 2°C- and 1.5°C-consistent pathways including additional </w:t>
      </w:r>
      <w:r>
        <w:rPr>
          <w:b/>
          <w:bCs/>
          <w:color w:val="00A65D"/>
        </w:rPr>
        <w:t>CDR</w:t>
      </w:r>
      <w:r>
        <w:rPr/>
        <w:t xml:space="preserve"> measures such as DACCS (Chen and Tavoni, 2013; Marcucci et al., 2017; Lehtilä and Koljonen, 2018; Strefler et al., 2018b) and soil carbon sequestration (Frank et al., 2017) have become available. Other, more speculative approaches, in particular ocean-based </w:t>
      </w:r>
      <w:r>
        <w:rPr>
          <w:b/>
          <w:bCs/>
          <w:color w:val="00A65D"/>
        </w:rPr>
        <w:t>CDR</w:t>
      </w:r>
      <w:r>
        <w:rPr/>
        <w:t xml:space="preserve"> and removal of non-CO 2 gases, have not yet been taken up by the literature on mitigation pathways. See </w:t>
      </w:r>
      <w:r>
        <w:rPr>
          <w:b/>
          <w:bCs/>
          <w:color w:val="CE181E"/>
        </w:rPr>
        <w:t>Supplementary Material 2.SM.1.2</w:t>
      </w:r>
      <w:r>
        <w:rPr/>
        <w:t xml:space="preserve"> for an overview on the coverage of </w:t>
      </w:r>
      <w:r>
        <w:rPr>
          <w:b/>
          <w:bCs/>
          <w:color w:val="00A65D"/>
        </w:rPr>
        <w:t>CDR</w:t>
      </w:r>
      <w:r>
        <w:rPr/>
        <w:t xml:space="preserve"> measures in models which contributed pathways to this assessment. </w:t>
      </w:r>
      <w:r>
        <w:rPr>
          <w:b/>
          <w:bCs/>
          <w:color w:val="CE181E"/>
        </w:rPr>
        <w:t>Chapter 4.3.7</w:t>
      </w:r>
      <w:r>
        <w:rPr/>
        <w:t xml:space="preserve"> assesses the potential, costs, and sustainability implications of the full range of </w:t>
      </w:r>
      <w:r>
        <w:rPr>
          <w:b/>
          <w:bCs/>
          <w:color w:val="00A65D"/>
        </w:rPr>
        <w:t>CDR</w:t>
      </w:r>
      <w:r>
        <w:rPr/>
        <w:t xml:space="preserve"> measures.</w:t>
      </w:r>
    </w:p>
    <w:p>
      <w:pPr>
        <w:pStyle w:val="TextBody"/>
        <w:rPr/>
      </w:pPr>
      <w:r>
        <w:rPr/>
      </w:r>
    </w:p>
    <w:p>
      <w:pPr>
        <w:pStyle w:val="TextBody"/>
        <w:rPr/>
      </w:pPr>
      <w:r>
        <w:rPr/>
        <w:t xml:space="preserve">Integrated assessment modelling has not yet explored land conservation, restoration and management options to remove carbon dioxide from the atmosphere in sufficient depth, despite land management having a potentially considerable impact on the terrestrial carbon stock (Erb et al., 2018). Moreover, associated </w:t>
      </w:r>
      <w:r>
        <w:rPr>
          <w:b/>
          <w:bCs/>
          <w:color w:val="00A65D"/>
        </w:rPr>
        <w:t>CDR</w:t>
      </w:r>
      <w:r>
        <w:rPr/>
        <w:t xml:space="preserve"> measures have low technological requirements, and come with potential environmental and social co-benefits (Griscom et al., 2017). Despite the evolving capabilities of IAMs in accounting for a wider range of </w:t>
      </w:r>
      <w:r>
        <w:rPr>
          <w:b/>
          <w:bCs/>
          <w:color w:val="00A65D"/>
        </w:rPr>
        <w:t>CDR</w:t>
      </w:r>
      <w:r>
        <w:rPr/>
        <w:t xml:space="preserve"> measures, 1.5°C-consistent pathways assessed here continue to predominantly rely on </w:t>
      </w:r>
      <w:r>
        <w:rPr>
          <w:b/>
          <w:bCs/>
          <w:color w:val="F58220"/>
        </w:rPr>
        <w:t>BECCS</w:t>
      </w:r>
      <w:r>
        <w:rPr/>
        <w:t xml:space="preserve"> and </w:t>
      </w:r>
      <w:r>
        <w:rPr>
          <w:b/>
          <w:bCs/>
          <w:color w:val="0066B3"/>
        </w:rPr>
        <w:t>afforestation</w:t>
      </w:r>
      <w:r>
        <w:rPr/>
        <w:t xml:space="preserve">/reforestation (see </w:t>
      </w:r>
      <w:r>
        <w:rPr>
          <w:b/>
          <w:bCs/>
          <w:color w:val="CE181E"/>
        </w:rPr>
        <w:t>Supplementary Material 2.SM.1.2</w:t>
      </w:r>
      <w:r>
        <w:rPr/>
        <w:t xml:space="preserve">).However, IAMs with spatially explicit land-use modelling include a full accounting of land-use change emissions comprising carbon stored in the terrestrial biosphere and soils. </w:t>
      </w:r>
      <w:r>
        <w:rPr>
          <w:b/>
          <w:bCs/>
          <w:color w:val="0066B3"/>
        </w:rPr>
        <w:t>Net CDR in the AFOLU sector</w:t>
      </w:r>
      <w:r>
        <w:rPr/>
        <w:t xml:space="preserve">, including but not restricted to </w:t>
      </w:r>
      <w:r>
        <w:rPr>
          <w:b/>
          <w:bCs/>
          <w:color w:val="0066B3"/>
        </w:rPr>
        <w:t>afforestation</w:t>
      </w:r>
      <w:r>
        <w:rPr/>
        <w:t xml:space="preserve"> and reforestation, can thus in principle be inferred by comparing AFOLU CO 2 emissions between a baseline scenario and a 1.5°C-consistent pathway from the same model and study. However, baseline AFOLU CO 2 emissions can not only be reduced by </w:t>
      </w:r>
      <w:r>
        <w:rPr>
          <w:b/>
          <w:bCs/>
          <w:i w:val="false"/>
          <w:iCs w:val="false"/>
          <w:color w:val="0066B3"/>
        </w:rPr>
        <w:t>CDR in the AFOLU sector</w:t>
      </w:r>
      <w:r>
        <w:rPr/>
        <w:t xml:space="preserve"> but also by measures to reduce deforestation and preserve land carbon stocks. The pathway literature and pathway data available to this assessment do not yet allow separating the two contributions. As a conservative approximation, the additional </w:t>
      </w:r>
      <w:r>
        <w:rPr>
          <w:b/>
          <w:bCs/>
          <w:color w:val="0066B3"/>
        </w:rPr>
        <w:t>net negative AFOLU CO 2 emissions</w:t>
      </w:r>
      <w:r>
        <w:rPr/>
        <w:t xml:space="preserve"> below the baseline are taken as a proxy for </w:t>
      </w:r>
      <w:r>
        <w:rPr>
          <w:b/>
          <w:bCs/>
          <w:color w:val="0066B3"/>
        </w:rPr>
        <w:t>AFOLU CDR</w:t>
      </w:r>
      <w:r>
        <w:rPr/>
        <w:t xml:space="preserve"> in this assessment. Because this does not include </w:t>
      </w:r>
      <w:r>
        <w:rPr>
          <w:b/>
          <w:bCs/>
          <w:color w:val="00A65D"/>
        </w:rPr>
        <w:t>CDR</w:t>
      </w:r>
      <w:r>
        <w:rPr/>
        <w:t xml:space="preserve"> that was deployed before reaching net zero AFOLU CO 2 emissions, this approximation is a lower-bound for terrestrial </w:t>
      </w:r>
      <w:r>
        <w:rPr>
          <w:b/>
          <w:bCs/>
          <w:color w:val="00A65D"/>
        </w:rPr>
        <w:t>CDR</w:t>
      </w:r>
      <w:r>
        <w:rPr/>
        <w:t xml:space="preserve"> in the AFOLU sector (including all mitigation-policy-related factors that lead to </w:t>
      </w:r>
      <w:r>
        <w:rPr>
          <w:b/>
          <w:bCs/>
          <w:color w:val="0066B3"/>
        </w:rPr>
        <w:t>net negative AFOLU CO 2 emissions</w:t>
      </w:r>
      <w:r>
        <w:rPr/>
        <w:t>).</w:t>
      </w:r>
    </w:p>
    <w:p>
      <w:pPr>
        <w:pStyle w:val="TextBody"/>
        <w:rPr/>
      </w:pPr>
      <w:r>
        <w:rPr/>
      </w:r>
    </w:p>
    <w:p>
      <w:pPr>
        <w:pStyle w:val="TextBody"/>
        <w:rPr/>
      </w:pPr>
      <w:r>
        <w:rPr/>
        <w:t xml:space="preserve">The scale and type of </w:t>
      </w:r>
      <w:r>
        <w:rPr>
          <w:b/>
          <w:bCs/>
          <w:color w:val="00A65D"/>
        </w:rPr>
        <w:t>CDR</w:t>
      </w:r>
      <w:r>
        <w:rPr/>
        <w:t xml:space="preserve"> deployment in 1.5°C-consistent pathways varies widely (</w:t>
      </w:r>
      <w:r>
        <w:rPr>
          <w:b/>
          <w:bCs/>
          <w:color w:val="CE181E"/>
        </w:rPr>
        <w:t>Figure 2.9 and 2.10</w:t>
      </w:r>
      <w:r>
        <w:rPr/>
        <w:t xml:space="preserve">). Overall </w:t>
      </w:r>
      <w:r>
        <w:rPr>
          <w:b/>
          <w:bCs/>
          <w:color w:val="00A65D"/>
        </w:rPr>
        <w:t>CDR</w:t>
      </w:r>
      <w:r>
        <w:rPr/>
        <w:t xml:space="preserve"> deployment over the 21st century is substantial in most of the pathways, and deployment levels cover a wide range, on the order of 100–1000 Gt CO 2 in 1.5°C pathways with no or limited overshoot (730 [260–1030] GtCO 2 , for median and 5th–95th percentile range). Both </w:t>
      </w:r>
      <w:r>
        <w:rPr>
          <w:b/>
          <w:bCs/>
          <w:color w:val="F58220"/>
        </w:rPr>
        <w:t>BECCS</w:t>
      </w:r>
      <w:r>
        <w:rPr/>
        <w:t xml:space="preserve"> (480 [0–1000] GtCO 2 in 1.5°C pathways with no or limited overshoot) and </w:t>
      </w:r>
      <w:r>
        <w:rPr>
          <w:b/>
          <w:bCs/>
          <w:color w:val="0066B3"/>
        </w:rPr>
        <w:t>AFOLU CDR</w:t>
      </w:r>
      <w:r>
        <w:rPr/>
        <w:t xml:space="preserve"> measures including </w:t>
      </w:r>
      <w:r>
        <w:rPr>
          <w:b/>
          <w:bCs/>
          <w:color w:val="0066B3"/>
        </w:rPr>
        <w:t>afforestation</w:t>
      </w:r>
      <w:r>
        <w:rPr/>
        <w:t xml:space="preserve"> and reforestation (210 [10-540] GtCO 2 in 1.5°C pathways with no or limited overshoot) can play a major role, 4 but for both cases pathways exist where they play no role at all. This shows the flexibility in substituting between individual </w:t>
      </w:r>
      <w:r>
        <w:rPr>
          <w:b/>
          <w:bCs/>
          <w:color w:val="00A65D"/>
        </w:rPr>
        <w:t>CDR</w:t>
      </w:r>
      <w:r>
        <w:rPr/>
        <w:t xml:space="preserve"> measures, once a portfolio of options becomes available. The high end of the </w:t>
      </w:r>
      <w:r>
        <w:rPr>
          <w:b/>
          <w:bCs/>
          <w:color w:val="00A65D"/>
        </w:rPr>
        <w:t>CDR</w:t>
      </w:r>
      <w:r>
        <w:rPr/>
        <w:t xml:space="preserve"> deployment range is populated by high overshoot pathways, as illustrated by pathway archetype S5 based on SSP5 (fossil-fuelled development, see </w:t>
      </w:r>
      <w:r>
        <w:rPr>
          <w:b/>
          <w:bCs/>
          <w:color w:val="CE181E"/>
        </w:rPr>
        <w:t>Section 2.3.1.1</w:t>
      </w:r>
      <w:r>
        <w:rPr/>
        <w:t xml:space="preserve">) and characterized by very large </w:t>
      </w:r>
      <w:r>
        <w:rPr>
          <w:b/>
          <w:bCs/>
          <w:color w:val="F58220"/>
        </w:rPr>
        <w:t>BECCS</w:t>
      </w:r>
      <w:r>
        <w:rPr/>
        <w:t xml:space="preserve"> deployment to return warming to 1.5°C by 2100 (Kriegler et al., 2017). In contrast, the low end is populated by a few pathways with no or limited overshoot that limit </w:t>
      </w:r>
      <w:r>
        <w:rPr>
          <w:b/>
          <w:bCs/>
          <w:color w:val="00A65D"/>
        </w:rPr>
        <w:t>CDR</w:t>
      </w:r>
      <w:r>
        <w:rPr/>
        <w:t xml:space="preserve"> to on the order of 100–200 GtCO 2 over the 21st century, coming entirely from terrestrial </w:t>
      </w:r>
      <w:r>
        <w:rPr>
          <w:b/>
          <w:bCs/>
          <w:color w:val="00A65D"/>
        </w:rPr>
        <w:t>CDR</w:t>
      </w:r>
      <w:r>
        <w:rPr/>
        <w:t xml:space="preserve"> measures with no or small use of </w:t>
      </w:r>
      <w:r>
        <w:rPr>
          <w:b/>
          <w:bCs/>
          <w:color w:val="F58220"/>
        </w:rPr>
        <w:t>BECCS</w:t>
      </w:r>
      <w:r>
        <w:rPr/>
        <w:t xml:space="preserve">. These are pathways with very low energy demand facilitating the rapid phase-out of fossil fuels and process emissions that exclude </w:t>
      </w:r>
      <w:r>
        <w:rPr>
          <w:b/>
          <w:bCs/>
          <w:color w:val="F58220"/>
        </w:rPr>
        <w:t>BECCS</w:t>
      </w:r>
      <w:r>
        <w:rPr/>
        <w:t xml:space="preserve"> and CCS use (Grubler et al., 2018) and/or pathways with rapid shifts to sustainable food consumption freeing up sufficient land areas for </w:t>
      </w:r>
      <w:r>
        <w:rPr>
          <w:b/>
          <w:bCs/>
          <w:color w:val="0066B3"/>
        </w:rPr>
        <w:t>afforestation</w:t>
      </w:r>
      <w:r>
        <w:rPr/>
        <w:t xml:space="preserve"> and reforestation (Haberl et al., 2011; van Vuuren et al., 2018). Some pathways use neither </w:t>
      </w:r>
      <w:r>
        <w:rPr>
          <w:b/>
          <w:bCs/>
          <w:color w:val="F58220"/>
        </w:rPr>
        <w:t>BECCS</w:t>
      </w:r>
      <w:r>
        <w:rPr/>
        <w:t xml:space="preserve"> nor </w:t>
      </w:r>
      <w:r>
        <w:rPr>
          <w:b/>
          <w:bCs/>
          <w:color w:val="0066B3"/>
        </w:rPr>
        <w:t>afforestation</w:t>
      </w:r>
      <w:r>
        <w:rPr/>
        <w:t xml:space="preserve"> but still rely on </w:t>
      </w:r>
      <w:r>
        <w:rPr>
          <w:b/>
          <w:bCs/>
          <w:color w:val="00A65D"/>
        </w:rPr>
        <w:t>CDR</w:t>
      </w:r>
      <w:r>
        <w:rPr/>
        <w:t xml:space="preserve"> through considerable </w:t>
      </w:r>
      <w:r>
        <w:rPr>
          <w:b/>
          <w:bCs/>
          <w:color w:val="0066B3"/>
        </w:rPr>
        <w:t>net negative CO 2 emissions in the AFOLU</w:t>
      </w:r>
      <w:r>
        <w:rPr/>
        <w:t xml:space="preserve"> sector around mid-century (Holz et al., 2018b). We conclude that the role of </w:t>
      </w:r>
      <w:r>
        <w:rPr>
          <w:b/>
          <w:bCs/>
          <w:color w:val="F58220"/>
        </w:rPr>
        <w:t>BECCS</w:t>
      </w:r>
      <w:r>
        <w:rPr/>
        <w:t xml:space="preserve"> as a dominant </w:t>
      </w:r>
      <w:r>
        <w:rPr>
          <w:b/>
          <w:bCs/>
          <w:color w:val="00A65D"/>
        </w:rPr>
        <w:t>CDR</w:t>
      </w:r>
      <w:r>
        <w:rPr/>
        <w:t xml:space="preserve"> measure in deep mitigation pathways has been reduced since the time of the AR5. This is related to three factors: a larger variation of underlying assumptions about socio-economic drivers (Riahi et al., 2017; Rogelj et al., 2018) and associated energy (Grubler et al., 2018) and food demand (van Vuuren et al., 2018); the incorporation of a larger portfolio of mitigation and </w:t>
      </w:r>
      <w:r>
        <w:rPr>
          <w:b/>
          <w:bCs/>
          <w:color w:val="00A65D"/>
        </w:rPr>
        <w:t>CDR</w:t>
      </w:r>
      <w:r>
        <w:rPr/>
        <w:t xml:space="preserve"> options (Marcucci et al., 2017; Grubler et al., 2018; Lehtilä and Koljonen, 2018; Liu et al., 2018; van Vuuren et al., 2018); and targeted analysis of deployment limits for (specific) </w:t>
      </w:r>
      <w:r>
        <w:rPr>
          <w:b/>
          <w:bCs/>
          <w:color w:val="00A65D"/>
        </w:rPr>
        <w:t>CDR</w:t>
      </w:r>
      <w:r>
        <w:rPr/>
        <w:t xml:space="preserve"> measures (Holz et al., 2018b; Kriegler et al., 2018a; Strefler et al., 2018b), including the availability of bioenergy (Bauer et al., 2018), CCS (Krey et al., 2014a; Grubler et al., 2018) and </w:t>
      </w:r>
      <w:r>
        <w:rPr>
          <w:b/>
          <w:bCs/>
          <w:color w:val="0066B3"/>
        </w:rPr>
        <w:t>afforestation</w:t>
      </w:r>
      <w:r>
        <w:rPr/>
        <w:t xml:space="preserve"> (Popp et al., 2014b, 2017). As additional </w:t>
      </w:r>
      <w:r>
        <w:rPr>
          <w:b/>
          <w:bCs/>
          <w:color w:val="00A65D"/>
        </w:rPr>
        <w:t>CDR</w:t>
      </w:r>
      <w:r>
        <w:rPr/>
        <w:t xml:space="preserve"> measures are being built into IAMs, the prevalence of </w:t>
      </w:r>
      <w:r>
        <w:rPr>
          <w:b/>
          <w:bCs/>
          <w:color w:val="F58220"/>
        </w:rPr>
        <w:t>BECCS</w:t>
      </w:r>
      <w:r>
        <w:rPr/>
        <w:t xml:space="preserve"> is expected to be further reduced.</w:t>
      </w:r>
    </w:p>
    <w:p>
      <w:pPr>
        <w:pStyle w:val="TextBody"/>
        <w:rPr/>
      </w:pPr>
      <w:r>
        <w:rPr/>
      </w:r>
    </w:p>
    <w:p>
      <w:pPr>
        <w:pStyle w:val="TextBody"/>
        <w:rPr/>
      </w:pPr>
      <w:r>
        <w:rPr/>
        <w:t xml:space="preserve">As discussed in </w:t>
      </w:r>
      <w:r>
        <w:rPr>
          <w:b/>
          <w:bCs/>
          <w:color w:val="CE181E"/>
        </w:rPr>
        <w:t>Section 2.3.2</w:t>
      </w:r>
      <w:r>
        <w:rPr/>
        <w:t xml:space="preserve">, </w:t>
      </w:r>
      <w:r>
        <w:rPr>
          <w:b/>
          <w:bCs/>
          <w:color w:val="00A65D"/>
        </w:rPr>
        <w:t>CDR</w:t>
      </w:r>
      <w:r>
        <w:rPr/>
        <w:t xml:space="preserve"> can be used in two ways in mitigation pathways: (i) to move more rapidly towards the point of carbon neutrality and maintain it afterwards in order to stabilize global mean temperature rise, and (ii) to produce net negative CO 2 emissions, drawing down anthropogenic CO 2 in the atmosphere in order to decline global mean temperature after an overshoot peak (Kriegler et al., 2018b; Obersteiner et al., 2018). Both uses are important in 1.5°C-consistent pathways (</w:t>
      </w:r>
      <w:r>
        <w:rPr>
          <w:b/>
          <w:bCs/>
          <w:color w:val="CE181E"/>
        </w:rPr>
        <w:t>Figure 2.9 and 2.10</w:t>
      </w:r>
      <w:r>
        <w:rPr/>
        <w:t xml:space="preserve">). Because of the tighter remaining 1.5°C carbon budget, and because many pathways in the literature do not restrict exceeding this budget prior to 2100, the relative weight of the net negative emissions component of </w:t>
      </w:r>
      <w:r>
        <w:rPr>
          <w:b/>
          <w:bCs/>
          <w:color w:val="00A65D"/>
        </w:rPr>
        <w:t>CDR</w:t>
      </w:r>
      <w:r>
        <w:rPr/>
        <w:t xml:space="preserve"> increases compared to 2°C-consistent pathways. The amount of compensatory </w:t>
      </w:r>
      <w:r>
        <w:rPr>
          <w:b/>
          <w:bCs/>
          <w:color w:val="00A65D"/>
        </w:rPr>
        <w:t>CDR</w:t>
      </w:r>
      <w:r>
        <w:rPr/>
        <w:t xml:space="preserve"> remains roughly the same over the century. This is the net effect of stronger deployment of compensatory </w:t>
      </w:r>
      <w:r>
        <w:rPr>
          <w:b/>
          <w:bCs/>
          <w:color w:val="00A65D"/>
        </w:rPr>
        <w:t>CDR</w:t>
      </w:r>
      <w:r>
        <w:rPr/>
        <w:t xml:space="preserve"> until mid-century to accelerate the approach to carbon neutrality and less compensatory </w:t>
      </w:r>
      <w:r>
        <w:rPr>
          <w:b/>
          <w:bCs/>
          <w:color w:val="00A65D"/>
        </w:rPr>
        <w:t>CDR</w:t>
      </w:r>
      <w:r>
        <w:rPr/>
        <w:t xml:space="preserve"> in the second half of the century due to deeper mitigation of end-use sectors in 1.5°C-consistent pathways (Luderer et al., 2018). Comparing median levels, end-of-century net cumulative CO 2 emissions are roughly 600 GtCO 2 smaller in 1.5°C compared to 2°C-consistent pathways, with approximately two thirds coming from further reductions of gross CO 2 emissions and the remaining third from increased </w:t>
      </w:r>
      <w:r>
        <w:rPr>
          <w:b/>
          <w:bCs/>
          <w:color w:val="00A65D"/>
        </w:rPr>
        <w:t>CDR</w:t>
      </w:r>
      <w:r>
        <w:rPr/>
        <w:t xml:space="preserve"> deployment. As a result, median levels of total </w:t>
      </w:r>
      <w:r>
        <w:rPr>
          <w:b/>
          <w:bCs/>
          <w:color w:val="00A65D"/>
        </w:rPr>
        <w:t>CDR</w:t>
      </w:r>
      <w:r>
        <w:rPr/>
        <w:t xml:space="preserve"> deployment in 1.5°C-consistent pathways are larger than in 2°C-consistent pathways (</w:t>
      </w:r>
      <w:r>
        <w:rPr>
          <w:b/>
          <w:bCs/>
          <w:color w:val="CE181E"/>
        </w:rPr>
        <w:t>Figure 2.9</w:t>
      </w:r>
      <w:r>
        <w:rPr/>
        <w:t>), but with marked variations in each pathway class.</w:t>
      </w:r>
    </w:p>
    <w:p>
      <w:pPr>
        <w:pStyle w:val="TextBody"/>
        <w:rPr/>
      </w:pPr>
      <w:r>
        <w:rPr/>
      </w:r>
    </w:p>
    <w:p>
      <w:pPr>
        <w:pStyle w:val="TextBody"/>
        <w:rPr/>
      </w:pPr>
      <w:r>
        <w:rPr/>
        <w:t xml:space="preserve">Ramp-up rates of individual </w:t>
      </w:r>
      <w:r>
        <w:rPr>
          <w:b/>
          <w:bCs/>
          <w:color w:val="00A65D"/>
        </w:rPr>
        <w:t>CDR</w:t>
      </w:r>
      <w:r>
        <w:rPr/>
        <w:t xml:space="preserve"> measures in 1.5°C-consistent pathways are provided in </w:t>
      </w:r>
      <w:r>
        <w:rPr>
          <w:b/>
          <w:bCs/>
          <w:color w:val="CE181E"/>
        </w:rPr>
        <w:t>Table 2.4</w:t>
      </w:r>
      <w:r>
        <w:rPr/>
        <w:t xml:space="preserve">. </w:t>
      </w:r>
      <w:r>
        <w:rPr>
          <w:b/>
          <w:bCs/>
          <w:color w:val="F58220"/>
        </w:rPr>
        <w:t>BECCS</w:t>
      </w:r>
      <w:r>
        <w:rPr/>
        <w:t xml:space="preserve"> deployment is still limited in 2030, but ramps up to median levels of 3 (Below-1.5°C), 5 (1.5°C-low-OS) and 7 GtCO 2 yr −1 (1.5°C-high-OS) in 2050, and to 6 (Below-1.5°C), 12 (1.5°C-low-OS) and 15 GtCO 2 yr −1 (1.5°C-high-OS) in 2100, respectively. In 1.5°C pathways with no or limited overshoot, this amounts to 0–1, 0–8, and 0–16 GtCO 2 yr −1 in 2030, 2050, and 2100, respectively (ranges refer to the union of the min-max range of the Below-1.5°C and the interquartile range of the 1.5°C-low-OS class; see </w:t>
      </w:r>
      <w:r>
        <w:rPr>
          <w:b/>
          <w:bCs/>
          <w:color w:val="CE181E"/>
        </w:rPr>
        <w:t>Table 2.4</w:t>
      </w:r>
      <w:r>
        <w:rPr/>
        <w:t xml:space="preserve">). </w:t>
      </w:r>
      <w:r>
        <w:rPr>
          <w:b/>
          <w:bCs/>
          <w:color w:val="0066B3"/>
        </w:rPr>
        <w:t>Net CDR in the AFOLU sector</w:t>
      </w:r>
      <w:r>
        <w:rPr/>
        <w:t xml:space="preserve"> reaches slightly lower levels in 2050, and stays more constant until 2100. In 1.5°C pathways with no or limited overshoot, </w:t>
      </w:r>
      <w:r>
        <w:rPr>
          <w:b/>
          <w:bCs/>
          <w:color w:val="0066B3"/>
        </w:rPr>
        <w:t>AFOLU</w:t>
      </w:r>
      <w:r>
        <w:rPr>
          <w:color w:val="0066B3"/>
        </w:rPr>
        <w:t xml:space="preserve"> </w:t>
      </w:r>
      <w:r>
        <w:rPr>
          <w:b/>
          <w:bCs/>
          <w:color w:val="0066B3"/>
        </w:rPr>
        <w:t>CDR</w:t>
      </w:r>
      <w:r>
        <w:rPr/>
        <w:t xml:space="preserve"> amounts to 0–5, 1–11, and 1–5 GtCO 2 yr −1 (see above for the definition of the ranges) in 2030, 2050, and 2100, respectively. In contrast to </w:t>
      </w:r>
      <w:r>
        <w:rPr>
          <w:b/>
          <w:bCs/>
          <w:color w:val="F58220"/>
        </w:rPr>
        <w:t>BECCS</w:t>
      </w:r>
      <w:r>
        <w:rPr/>
        <w:t xml:space="preserve">, </w:t>
      </w:r>
      <w:r>
        <w:rPr>
          <w:b/>
          <w:bCs/>
          <w:color w:val="0066B3"/>
        </w:rPr>
        <w:t>AFOLU</w:t>
      </w:r>
      <w:r>
        <w:rPr>
          <w:color w:val="0066B3"/>
        </w:rPr>
        <w:t xml:space="preserve"> </w:t>
      </w:r>
      <w:r>
        <w:rPr>
          <w:b/>
          <w:bCs/>
          <w:color w:val="0066B3"/>
        </w:rPr>
        <w:t>CDR</w:t>
      </w:r>
      <w:r>
        <w:rPr/>
        <w:t xml:space="preserve"> is more strongly deployed in non-overshoot than overshoot pathways. This indicates differences in the timing of the two </w:t>
      </w:r>
      <w:r>
        <w:rPr>
          <w:b/>
          <w:bCs/>
          <w:color w:val="00A65D"/>
        </w:rPr>
        <w:t>CDR</w:t>
      </w:r>
      <w:r>
        <w:rPr/>
        <w:t xml:space="preserve"> approaches. </w:t>
      </w:r>
      <w:r>
        <w:rPr>
          <w:b/>
          <w:bCs/>
          <w:color w:val="0066B3"/>
        </w:rPr>
        <w:t>Afforestation</w:t>
      </w:r>
      <w:r>
        <w:rPr/>
        <w:t xml:space="preserve"> is scaled up until around mid-century, when the time of carbon neutrality is reached in 1.5°C-consistent pathways, while </w:t>
      </w:r>
      <w:r>
        <w:rPr>
          <w:b/>
          <w:bCs/>
          <w:color w:val="F58220"/>
        </w:rPr>
        <w:t>BECCS</w:t>
      </w:r>
      <w:r>
        <w:rPr/>
        <w:t xml:space="preserve"> is projected to be used predominantly in the 2nd half of the century (</w:t>
      </w:r>
      <w:r>
        <w:rPr>
          <w:b/>
          <w:bCs/>
          <w:color w:val="CE181E"/>
        </w:rPr>
        <w:t>Figure 2.5</w:t>
      </w:r>
      <w:r>
        <w:rPr/>
        <w:t xml:space="preserve">). This reflects the fact that </w:t>
      </w:r>
      <w:r>
        <w:rPr>
          <w:b/>
          <w:bCs/>
          <w:color w:val="0066B3"/>
        </w:rPr>
        <w:t>afforestation</w:t>
      </w:r>
      <w:r>
        <w:rPr/>
        <w:t xml:space="preserve"> is a readily available </w:t>
      </w:r>
      <w:r>
        <w:rPr>
          <w:b/>
          <w:bCs/>
          <w:color w:val="00A65D"/>
        </w:rPr>
        <w:t>CDR</w:t>
      </w:r>
      <w:r>
        <w:rPr/>
        <w:t xml:space="preserve"> technology, while </w:t>
      </w:r>
      <w:r>
        <w:rPr>
          <w:b/>
          <w:bCs/>
          <w:color w:val="F58220"/>
        </w:rPr>
        <w:t>BECCS</w:t>
      </w:r>
      <w:r>
        <w:rPr/>
        <w:t xml:space="preserve"> is more costly and much less mature a technology. As a result, the two options contribute differently to compensating concurrent CO 2 emissions (until 2050) and to producing net negative CO 2 emissions (post-2050). </w:t>
      </w:r>
      <w:r>
        <w:rPr>
          <w:b/>
          <w:bCs/>
          <w:color w:val="F58220"/>
        </w:rPr>
        <w:t>BECCS</w:t>
      </w:r>
      <w:r>
        <w:rPr/>
        <w:t xml:space="preserve"> deployment is particularly strong in pathways with high overshoots but can also feature in pathways with low overshoot (see </w:t>
      </w:r>
      <w:r>
        <w:rPr>
          <w:b/>
          <w:bCs/>
          <w:color w:val="CE181E"/>
        </w:rPr>
        <w:t>Figure 2.5 and 2.10</w:t>
      </w:r>
      <w:r>
        <w:rPr/>
        <w:t xml:space="preserve">). Annual deployment levels until mid-century are not found to be significantly different between 2°C-consistent pathways and 1.5°C-consistent pathways with no or low overshoot. This suggests similar implementation challenges for ramping up </w:t>
      </w:r>
      <w:r>
        <w:rPr>
          <w:b/>
          <w:bCs/>
          <w:color w:val="F58220"/>
        </w:rPr>
        <w:t>BECCS</w:t>
      </w:r>
      <w:r>
        <w:rPr/>
        <w:t xml:space="preserve"> deployment at the rates projected in the pathways (Honegger and Reiner, 2018; Nemet et al., 2018). The feasibility and sustainability of upscaling </w:t>
      </w:r>
      <w:r>
        <w:rPr>
          <w:b/>
          <w:bCs/>
          <w:color w:val="00A65D"/>
        </w:rPr>
        <w:t>CDR</w:t>
      </w:r>
      <w:r>
        <w:rPr/>
        <w:t xml:space="preserve"> at these rates is assessed in </w:t>
      </w:r>
      <w:r>
        <w:rPr>
          <w:b/>
          <w:bCs/>
          <w:color w:val="CE181E"/>
        </w:rPr>
        <w:t>Chapter 4.3.7</w:t>
      </w:r>
      <w:r>
        <w:rPr/>
        <w:t>.</w:t>
      </w:r>
    </w:p>
    <w:p>
      <w:pPr>
        <w:pStyle w:val="TextBody"/>
        <w:rPr/>
      </w:pPr>
      <w:r>
        <w:rPr/>
      </w:r>
    </w:p>
    <w:p>
      <w:pPr>
        <w:pStyle w:val="TextBody"/>
        <w:rPr/>
      </w:pPr>
      <w:r>
        <w:rPr/>
        <w:t xml:space="preserve">Concerns have been raised that building expectations about large-scale </w:t>
      </w:r>
      <w:r>
        <w:rPr>
          <w:b/>
          <w:bCs/>
          <w:color w:val="00A65D"/>
        </w:rPr>
        <w:t>CDR</w:t>
      </w:r>
      <w:r>
        <w:rPr/>
        <w:t xml:space="preserve"> deployment in the future can lead to an actual reduction of near-term mitigation efforts (Geden, 2015; Anderson and Peters, 2016; Dooley and Kartha, 2018). The pathway literature confirms that </w:t>
      </w:r>
      <w:r>
        <w:rPr>
          <w:b/>
          <w:bCs/>
          <w:color w:val="00A65D"/>
        </w:rPr>
        <w:t>CDR</w:t>
      </w:r>
      <w:r>
        <w:rPr/>
        <w:t xml:space="preserve"> availability influences the shape of mitigation pathways critically (Krey et al., 2014a; Holz et al., 2018b; Kriegler et al., 2018a; Strefler et al., 2018b). Deeper near-term emissions reductions are required to reach the 1.5°C–2°C target range if </w:t>
      </w:r>
      <w:r>
        <w:rPr>
          <w:b/>
          <w:bCs/>
          <w:color w:val="00A65D"/>
        </w:rPr>
        <w:t>CDR</w:t>
      </w:r>
      <w:r>
        <w:rPr/>
        <w:t xml:space="preserve"> availability is constrained. As a result, the least-cost benchmark pathways to derive GHG emissions gap estimates (UNEP, 2017) are dependent on assumptions about </w:t>
      </w:r>
      <w:r>
        <w:rPr>
          <w:b/>
          <w:bCs/>
          <w:color w:val="00A65D"/>
        </w:rPr>
        <w:t>CDR</w:t>
      </w:r>
      <w:r>
        <w:rPr/>
        <w:t xml:space="preserve"> availability. Using GHG benchmarks in climate policy makes implicit assumptions about </w:t>
      </w:r>
      <w:r>
        <w:rPr>
          <w:b/>
          <w:bCs/>
          <w:color w:val="00A65D"/>
        </w:rPr>
        <w:t>CDR</w:t>
      </w:r>
      <w:r>
        <w:rPr/>
        <w:t xml:space="preserve"> availability (Fuss et al., 2014; van Vuuren et al., 2017a). At the same time, the literature also shows that rapid and stringent mitigation as well as large-scale </w:t>
      </w:r>
      <w:r>
        <w:rPr>
          <w:b/>
          <w:bCs/>
          <w:color w:val="00A65D"/>
        </w:rPr>
        <w:t>CDR</w:t>
      </w:r>
      <w:r>
        <w:rPr/>
        <w:t xml:space="preserve"> deployment occur simultaneously in 1.5°C pathways due to the tight remaining carbon budget (Luderer et al., 2018). Thus, an emissions gap is identified even for high </w:t>
      </w:r>
      <w:r>
        <w:rPr>
          <w:b/>
          <w:bCs/>
          <w:color w:val="00A65D"/>
        </w:rPr>
        <w:t>CDR</w:t>
      </w:r>
      <w:r>
        <w:rPr/>
        <w:t xml:space="preserve"> availability (Strefler et al., 2018b), contradicting a wait-and-see approach. There are significant trade-offs between near-term action, overshoot and reliance on </w:t>
      </w:r>
      <w:r>
        <w:rPr>
          <w:b/>
          <w:bCs/>
          <w:color w:val="00A65D"/>
        </w:rPr>
        <w:t>CDR</w:t>
      </w:r>
      <w:r>
        <w:rPr/>
        <w:t xml:space="preserve"> deployment in the long-term which are assessed in </w:t>
      </w:r>
      <w:r>
        <w:rPr>
          <w:b/>
          <w:bCs/>
          <w:color w:val="CE181E"/>
        </w:rPr>
        <w:t>Section 2.3.5</w:t>
      </w:r>
      <w:r>
        <w:rPr/>
        <w:t>.</w:t>
      </w:r>
    </w:p>
    <w:p>
      <w:pPr>
        <w:pStyle w:val="TextBody"/>
        <w:rPr/>
      </w:pPr>
      <w:r>
        <w:rPr/>
      </w:r>
    </w:p>
    <w:p>
      <w:pPr>
        <w:pStyle w:val="Heading2"/>
        <w:rPr/>
      </w:pPr>
      <w:r>
        <w:rPr/>
        <w:t>2.3.4.2 Sustainability implications of CDR deployment in 1.5°C pathways</w:t>
      </w:r>
    </w:p>
    <w:p>
      <w:pPr>
        <w:pStyle w:val="TextBody"/>
        <w:rPr/>
      </w:pPr>
      <w:r>
        <w:rPr/>
        <w:t xml:space="preserve">Strong concerns about the sustainability implications of large-scale </w:t>
      </w:r>
      <w:r>
        <w:rPr>
          <w:b/>
          <w:bCs/>
          <w:color w:val="00A65D"/>
        </w:rPr>
        <w:t>CDR</w:t>
      </w:r>
      <w:r>
        <w:rPr/>
        <w:t xml:space="preserve"> deployment in deep mitigation pathways have been raised in the literature (Williamson and Bodle, 2016; Boysen et al., 2017b; Dooley and Kartha, 2018; Heck et al., 2018), and a number of important knowledge gaps have been identified (Fuss et al., 2016). An assessment of the literature on implementation constraints and sustainable development implications of </w:t>
      </w:r>
      <w:r>
        <w:rPr>
          <w:b/>
          <w:bCs/>
          <w:color w:val="00A65D"/>
        </w:rPr>
        <w:t>CDR</w:t>
      </w:r>
      <w:r>
        <w:rPr/>
        <w:t xml:space="preserve"> measures is provided in </w:t>
      </w:r>
      <w:r>
        <w:rPr>
          <w:b/>
          <w:bCs/>
          <w:color w:val="CE181E"/>
        </w:rPr>
        <w:t>Chapter 4</w:t>
      </w:r>
      <w:r>
        <w:rPr/>
        <w:t xml:space="preserve">, </w:t>
      </w:r>
      <w:r>
        <w:rPr>
          <w:b/>
          <w:bCs/>
          <w:color w:val="CE181E"/>
        </w:rPr>
        <w:t>Section 4.3.7 and the Cross-chapter Box 7 in Chapter 3</w:t>
      </w:r>
      <w:r>
        <w:rPr/>
        <w:t xml:space="preserve">. An initial discussion of potential environmental side effects of </w:t>
      </w:r>
      <w:r>
        <w:rPr>
          <w:b/>
          <w:bCs/>
          <w:color w:val="00A65D"/>
        </w:rPr>
        <w:t>CDR</w:t>
      </w:r>
      <w:r>
        <w:rPr/>
        <w:t xml:space="preserve"> deployment in 1.5°C-consistent pathways is provided in </w:t>
      </w:r>
      <w:r>
        <w:rPr>
          <w:b/>
          <w:bCs/>
          <w:color w:val="CE181E"/>
        </w:rPr>
        <w:t>this section</w:t>
      </w:r>
      <w:r>
        <w:rPr/>
        <w:t xml:space="preserve">. </w:t>
      </w:r>
      <w:r>
        <w:rPr>
          <w:b/>
          <w:bCs/>
          <w:color w:val="CE181E"/>
        </w:rPr>
        <w:t>Chapter 4, Section 4.3.7</w:t>
      </w:r>
      <w:r>
        <w:rPr/>
        <w:t xml:space="preserve"> then contrasts </w:t>
      </w:r>
      <w:r>
        <w:rPr>
          <w:b/>
          <w:bCs/>
          <w:color w:val="00A65D"/>
        </w:rPr>
        <w:t>CDR</w:t>
      </w:r>
      <w:r>
        <w:rPr/>
        <w:t xml:space="preserve"> deployment in 1.5°C-consistent pathways with other branches of literature on limitations of </w:t>
      </w:r>
      <w:r>
        <w:rPr>
          <w:b/>
          <w:bCs/>
          <w:color w:val="00A65D"/>
        </w:rPr>
        <w:t>CDR</w:t>
      </w:r>
      <w:r>
        <w:rPr/>
        <w:t>. Integrated modelling aims to explore a range of developments compatible with specific climate goals and often does not include the full set of broader environmental and societal concerns beyond climate change. This has given rise to the concept of sustainable development pathways (</w:t>
      </w:r>
      <w:r>
        <w:rPr>
          <w:b/>
          <w:bCs/>
          <w:color w:val="CE181E"/>
        </w:rPr>
        <w:t>Cross-Chapter Box 1 in Chapter 1</w:t>
      </w:r>
      <w:r>
        <w:rPr/>
        <w:t>) (van Vuuren et al., 2015), and there is an increasing body of work to extend integrated modelling to cover a broader range of sustainable development goals (</w:t>
      </w:r>
      <w:r>
        <w:rPr>
          <w:b/>
          <w:bCs/>
          <w:color w:val="CE181E"/>
        </w:rPr>
        <w:t>Section 2.6</w:t>
      </w:r>
      <w:r>
        <w:rPr/>
        <w:t xml:space="preserve">). However, only some of the available 1.5°C-consistent pathways were developed within a larger sustainable development context (Bertram et al., 2018; Grubler et al., 2018; Rogelj et al., 2018; van Vuuren et al., 2018). As discussed in </w:t>
      </w:r>
      <w:r>
        <w:rPr>
          <w:b/>
          <w:bCs/>
          <w:color w:val="CE181E"/>
        </w:rPr>
        <w:t>Section 2.3.4.1</w:t>
      </w:r>
      <w:r>
        <w:rPr/>
        <w:t xml:space="preserve">, those pathways are characterized by low energy and/or food demand effectively limiting fossil-fuel substitution and alleviating land competition, respectively. They also include regulatory policies for deepening early action and ensuring environmental protection (Bertram et al., 2018). Overall sustainability implications of 1.5°C-consistent pathways are assessed in </w:t>
      </w:r>
      <w:r>
        <w:rPr>
          <w:b/>
          <w:bCs/>
          <w:color w:val="CE181E"/>
        </w:rPr>
        <w:t>Section 2.5.3 and Chapter 5, Section 5.4</w:t>
      </w:r>
      <w:r>
        <w:rPr/>
        <w:t>.</w:t>
      </w:r>
    </w:p>
    <w:p>
      <w:pPr>
        <w:pStyle w:val="TextBody"/>
        <w:rPr/>
      </w:pPr>
      <w:r>
        <w:rPr/>
      </w:r>
    </w:p>
    <w:p>
      <w:pPr>
        <w:pStyle w:val="TextBody"/>
        <w:rPr/>
      </w:pPr>
      <w:r>
        <w:rPr/>
        <w:t xml:space="preserve">Individual </w:t>
      </w:r>
      <w:r>
        <w:rPr>
          <w:b/>
          <w:bCs/>
          <w:color w:val="00A65D"/>
        </w:rPr>
        <w:t>CDR</w:t>
      </w:r>
      <w:r>
        <w:rPr/>
        <w:t xml:space="preserve"> measures have different characteristics and therefore would carry different risks for their sustainable deployment at scale (Smith et al., 2015). Terrestrial </w:t>
      </w:r>
      <w:r>
        <w:rPr>
          <w:b/>
          <w:bCs/>
          <w:color w:val="00A65D"/>
        </w:rPr>
        <w:t>CDR</w:t>
      </w:r>
      <w:r>
        <w:rPr/>
        <w:t xml:space="preserve"> measures, </w:t>
      </w:r>
      <w:r>
        <w:rPr>
          <w:b/>
          <w:bCs/>
          <w:color w:val="F58220"/>
        </w:rPr>
        <w:t>BECCS</w:t>
      </w:r>
      <w:r>
        <w:rPr/>
        <w:t xml:space="preserve"> and enhanced weathering of rock powder distributed on agricultural lands require land. Those land-based measures could have substantial impacts on environmental services and ecosystems (</w:t>
      </w:r>
      <w:r>
        <w:rPr>
          <w:b/>
          <w:bCs/>
          <w:color w:val="CE181E"/>
        </w:rPr>
        <w:t>Cross-Chapter Box 7 in Chapter 3</w:t>
      </w:r>
      <w:r>
        <w:rPr/>
        <w:t xml:space="preserve">) (Smith and Torn, 2013; Boysen et al., 2016; Heck et al., 2016; Krause et al., 2017). Measures like </w:t>
      </w:r>
      <w:r>
        <w:rPr>
          <w:b/>
          <w:bCs/>
          <w:color w:val="0066B3"/>
        </w:rPr>
        <w:t>afforestation</w:t>
      </w:r>
      <w:r>
        <w:rPr/>
        <w:t xml:space="preserve"> and bioenergy with and without CCS that directly compete with other land uses could have significant impacts on agricultural and food systems (Creutzig et al., 2012, 2015; Calvin et al., 2014; Popp et al., 2014b, 2017; Kreidenweis et al., 2016; Boysen et al., 2017a; Frank et al., 2017; Stevanović et al., 2017; Strapasson et al., 2017; Humpenöder et al., 2018). </w:t>
      </w:r>
      <w:r>
        <w:rPr>
          <w:b/>
          <w:bCs/>
          <w:color w:val="F58220"/>
        </w:rPr>
        <w:t>BECCS</w:t>
      </w:r>
      <w:r>
        <w:rPr/>
        <w:t xml:space="preserve"> using dedicated bioenergy crops could substantially increase agricultural water demand (Bonsch et al., 2014; Séférian et al., 2018) and nitrogen fertilizer use (Bodirsky et al., 2014). DACCS and </w:t>
      </w:r>
      <w:r>
        <w:rPr>
          <w:b/>
          <w:bCs/>
          <w:color w:val="F58220"/>
        </w:rPr>
        <w:t>BECCS</w:t>
      </w:r>
      <w:r>
        <w:rPr/>
        <w:t xml:space="preserve"> rely on CCS and would require safe storage space in geological formations, including management of leakage risks (Pawar et al., 2015) and induced seismicity (Nicol et al., 2013). Some approaches like DACCS have high energy demand (Socolow et al., 2011). Most of the </w:t>
      </w:r>
      <w:r>
        <w:rPr>
          <w:b/>
          <w:bCs/>
          <w:color w:val="00A65D"/>
        </w:rPr>
        <w:t>CDR</w:t>
      </w:r>
      <w:r>
        <w:rPr/>
        <w:t xml:space="preserve"> measures currently discussed could have significant impacts on either land, energy, water, or nutrients if deployed at scale (Smith et al., 2015). However, actual trade-offs depend on a multitude factors (Haberl et al., 2011; Erb et al., 2012; Humpenöder et al., 2018), including the modalities of </w:t>
      </w:r>
      <w:r>
        <w:rPr>
          <w:b/>
          <w:bCs/>
          <w:color w:val="00A65D"/>
        </w:rPr>
        <w:t>CDR</w:t>
      </w:r>
      <w:r>
        <w:rPr/>
        <w:t xml:space="preserve"> deployment (e.g., on marginal vs. productive land) (Bauer et al., 2018), socio-economic developments (Popp et al., 2017), dietary choices (Stehfest et al., 2009; Popp et al., 2010; van Sluisveld et al., 2016; Weindl et al., 2017; van Vuuren et al., 2018), yield increases, livestock productivity and other advances in agricultural technology (Havlik et al., 2013; Valin et al., 2013; Havlík et al., 2014; Weindl et al., 2015; Erb et al., 2016b), land policies (Schmitz et al., 2012; Calvin et al., 2014; Popp et al., 2014a), and governance of land use (Unruh, 2011; Buck, 2016; Honegger and Reiner, 2018).</w:t>
      </w:r>
    </w:p>
    <w:p>
      <w:pPr>
        <w:pStyle w:val="TextBody"/>
        <w:rPr/>
      </w:pPr>
      <w:r>
        <w:rPr/>
      </w:r>
    </w:p>
    <w:p>
      <w:pPr>
        <w:pStyle w:val="TextBody"/>
        <w:rPr/>
      </w:pPr>
      <w:r>
        <w:rPr>
          <w:b/>
          <w:bCs/>
          <w:color w:val="CE181E"/>
        </w:rPr>
        <w:t>Figure 2.11</w:t>
      </w:r>
      <w:r>
        <w:rPr/>
        <w:t xml:space="preserve"> shows the land requirements for </w:t>
      </w:r>
      <w:r>
        <w:rPr>
          <w:b/>
          <w:bCs/>
          <w:color w:val="F58220"/>
        </w:rPr>
        <w:t>BECCS</w:t>
      </w:r>
      <w:r>
        <w:rPr/>
        <w:t xml:space="preserve"> and </w:t>
      </w:r>
      <w:r>
        <w:rPr>
          <w:b/>
          <w:bCs/>
          <w:color w:val="0066B3"/>
        </w:rPr>
        <w:t>afforestation</w:t>
      </w:r>
      <w:r>
        <w:rPr/>
        <w:t xml:space="preserve"> in the selected 1.5°C-consistent pathway archetypes, including the LED (Grubler et al., 2018) and S1 pathways (Fujimori, 2017; Rogelj et al., 2018) following a sustainable development paradigm. As discussed, these land-use patterns are heavily influenced by assumptions about, among other things, future population levels, crop yields, livestock production systems, and food and livestock demand, which all vary between the pathways (Popp et al., 2017) (</w:t>
      </w:r>
      <w:r>
        <w:rPr>
          <w:b/>
          <w:bCs/>
          <w:color w:val="CE181E"/>
        </w:rPr>
        <w:t>Section 2.3.1.1</w:t>
      </w:r>
      <w:r>
        <w:rPr/>
        <w:t xml:space="preserve">). In pathways that allow for large-scale </w:t>
      </w:r>
      <w:r>
        <w:rPr>
          <w:b/>
          <w:bCs/>
          <w:color w:val="0066B3"/>
        </w:rPr>
        <w:t>afforestation</w:t>
      </w:r>
      <w:r>
        <w:rPr/>
        <w:t xml:space="preserve"> in addition to </w:t>
      </w:r>
      <w:r>
        <w:rPr>
          <w:b/>
          <w:bCs/>
          <w:color w:val="F58220"/>
        </w:rPr>
        <w:t>BECCS</w:t>
      </w:r>
      <w:r>
        <w:rPr/>
        <w:t xml:space="preserve">, land demand for </w:t>
      </w:r>
      <w:r>
        <w:rPr>
          <w:b/>
          <w:bCs/>
          <w:color w:val="0066B3"/>
        </w:rPr>
        <w:t>afforestation</w:t>
      </w:r>
      <w:r>
        <w:rPr/>
        <w:t xml:space="preserve"> can be larger than for </w:t>
      </w:r>
      <w:r>
        <w:rPr>
          <w:b/>
          <w:bCs/>
          <w:color w:val="F58220"/>
        </w:rPr>
        <w:t>BECCS</w:t>
      </w:r>
      <w:r>
        <w:rPr/>
        <w:t xml:space="preserve"> (Humpenöder et al., 2014). This follows from the assumption in the modelled pathways that, unlike bioenergy crops, forests are not harvested to allow unabated carbon storage on the same patch of land. If wood harvest and subsequent processing or burial are taken into account, this finding can change. There are also synergies between the various uses of land, which are not reflected in the depicted pathways. Trees can grow on agricultural land (Zomer et al., 2016), and harvested wood can be used with </w:t>
      </w:r>
      <w:r>
        <w:rPr>
          <w:b/>
          <w:bCs/>
          <w:color w:val="F58220"/>
        </w:rPr>
        <w:t>BECCS</w:t>
      </w:r>
      <w:r>
        <w:rPr/>
        <w:t xml:space="preserve"> and pyrolysis systems (Werner et al., 2018). The pathways show a very substantial land demand for the two </w:t>
      </w:r>
      <w:r>
        <w:rPr>
          <w:b/>
          <w:bCs/>
          <w:color w:val="00A65D"/>
        </w:rPr>
        <w:t>CDR</w:t>
      </w:r>
      <w:r>
        <w:rPr/>
        <w:t xml:space="preserve"> measures combined, up to the magnitude of the current global cropland area. This is achieved in IAMs in particular by a conversion of pasture land freed by intensification of livestock production systems, pasture intensification and/or demand changes (Weindl et al., 2017), and to a more limited extent, cropland for food production, as wellas expansion into natural land. However, pursuing such large-scale changes in land use would pose significant food supply, environmental and governance challenges, concerning both land management and tenure (Unruh, 2011; Erb et al., 2012, 2016b; Haberl et al., 2013; Haberl, 2015; Buck, 2016), particularly if synergies between land uses, the relevance of dietary changes for reducing land demand, and co-benefits with other sustainable development objectives are not fully recognized. A general discussion of the land-use transformation in 1.5°C-consistent pathways is provided in </w:t>
      </w:r>
      <w:r>
        <w:rPr>
          <w:b/>
          <w:bCs/>
          <w:color w:val="CE181E"/>
        </w:rPr>
        <w:t>Section 2.4.4</w:t>
      </w:r>
      <w:r>
        <w:rPr/>
        <w:t>.</w:t>
      </w:r>
    </w:p>
    <w:p>
      <w:pPr>
        <w:pStyle w:val="TextBody"/>
        <w:rPr/>
      </w:pPr>
      <w:r>
        <w:rPr/>
      </w:r>
    </w:p>
    <w:p>
      <w:pPr>
        <w:pStyle w:val="TextBody"/>
        <w:rPr/>
      </w:pPr>
      <w:r>
        <w:rPr/>
        <w:t xml:space="preserve">An important consideration for </w:t>
      </w:r>
      <w:r>
        <w:rPr>
          <w:b/>
          <w:bCs/>
          <w:color w:val="00A65D"/>
        </w:rPr>
        <w:t>CDR</w:t>
      </w:r>
      <w:r>
        <w:rPr/>
        <w:t xml:space="preserve"> which moves carbon from the atmosphere to the geological, oceanic or terrestrial carbon pools is the permanence of carbon stored in these different pools (Matthews and Caldeira, 2008; NRC, 2015; Fuss et al., 2016; Jones et al., 2016) (see also </w:t>
      </w:r>
      <w:r>
        <w:rPr>
          <w:b/>
          <w:bCs/>
          <w:color w:val="CE181E"/>
        </w:rPr>
        <w:t>Chapter 4,</w:t>
      </w:r>
      <w:r>
        <w:rPr/>
        <w:t xml:space="preserve"> </w:t>
      </w:r>
      <w:r>
        <w:rPr>
          <w:b/>
          <w:bCs/>
          <w:color w:val="CE181E"/>
        </w:rPr>
        <w:t>Section 4.3.7</w:t>
      </w:r>
      <w:r>
        <w:rPr/>
        <w:t xml:space="preserve"> for a discussion). Terrestrial carbon can be returned to the atmosphere on decadal time scales by a variety of mechanisms, such as soil degradation, forest pest outbreaks and forest fires, and therefore requires careful consideration of policy frameworks to manage carbon storage, for example, in forests (Gren and Aklilu, 2016). There are similar concerns about outgassing of CO 2 from ocean storage (Herzog et al., 2003), unless it is transformed to a substance that does not easily exchange with the atmosphere, for example, ocean alkalinity or buried marine biomass (Rau, 2011). Understanding of the assessment and management of the potential risk of CO 2 release from geological storage of CO 2 has improved since the IPCC Special Report on Carbon Dioxide Capture and Storage (IPCC, 2005) with experience and the development of management practices in geological storage projects, including risk management to prevent sustentative leakage (Pawar et al., 2015). Estimates of leakage risk have been updated to include scenarios of unregulated drilling and limited wellbore integrity (Choi et al., 2013) and find that about 70% of stored CO 2 would still be retained after 10,000 years in these circumstances (Alcalde et al., 2018). The literature on the potential environmental impacts from the leakage of CO 2 – and approaches to minimize these impacts should a leak occur – has also grown and is reviewed by Jones et al. (2015). To the extent that non-permanence of terrestrial and geological carbon storage is driven by socio-economic and political factors, there are parallels to questions of fossil-fuel reservoirs remaining in the ground (Scott et al., 2015).</w:t>
      </w:r>
    </w:p>
    <w:p>
      <w:pPr>
        <w:pStyle w:val="TextBody"/>
        <w:rPr/>
      </w:pPr>
      <w:r>
        <w:rPr/>
      </w:r>
    </w:p>
    <w:p>
      <w:pPr>
        <w:pStyle w:val="Heading2"/>
        <w:rPr/>
      </w:pPr>
      <w:r>
        <w:rPr/>
        <w:t>2.3.5 Implications of Near-Term Action in 1.5°C Pathways</w:t>
      </w:r>
    </w:p>
    <w:p>
      <w:pPr>
        <w:pStyle w:val="TextBody"/>
        <w:rPr/>
      </w:pPr>
      <w:r>
        <w:rPr/>
        <w:t xml:space="preserve">Less CO 2 emission reductions in the near term would require steeper and deeper reductions in the longer term in order to meet specific warming targets afterwards (Riahi et al., 2015; Luderer et al., 2016a). This is a direct consequence of the quasi-linear relationship between the total cumulative amount of CO 2 emitted into the atmosphere and global mean temperature rise (Matthews et al., 2009; Zickfeld et al., 2009; Collins et al., 2013; Knutti and Rogelj, 2015). Besides this clear geophysical trade-off over time, delaying GHG emissions reductions over the coming years also leads to economic and institutional lock-in into carbon-intensive infrastructure, that is, the continued investment in and use of carbon-intensive technologies that are difficult or costly to phase-out once deployed (Unruh and Carrillo-Hermosilla, 2006; Jakob et al., 2014; Erickson et al., 2015; Steckel et al., 2015; Seto et al., 2016; Michaelowa et al., 2018). Studies show that to meet stringent climate targets despite near-term delays in emissions reductions, models prematurely retire carbon-intensive infrastructure, in particular coal without CCS (Bertram et al., 2015a; Johnson et al., 2015). The AR5 reports that delaying mitigation action leads to substantially higher rates of emissions reductions afterwards, a larger reliance on </w:t>
      </w:r>
      <w:r>
        <w:rPr>
          <w:b/>
          <w:bCs/>
          <w:color w:val="00A65D"/>
        </w:rPr>
        <w:t>CDR</w:t>
      </w:r>
      <w:r>
        <w:rPr/>
        <w:t xml:space="preserve"> technologies in the long term, and higher transitional and long-term economic impacts (Clarke et al., 2014). The literature mainly focuses on delayed action until 2030 in the context of meeting a 2°C goal (den Elzen et al., 2010; van Vuuren and Riahi, 2011; Kriegler et al., 2013b; Luderer et al., 2013, 2016a; Rogelj et al., 2013b; Riahi et al., 2015; OECD/IEA and IRENA, 2017). However, because of the smaller carbon budget consistent with limiting warming to 1.5°C and the absence of a clearly declining long-term trend in global emissions to date, these general insights apply equally, or even more so, to the more stringent mitigation context of 1.5°C-consistent pathways. This is further supported by estimates of committed emissions due to fossil fuel-based infrastructure (Seto et al., 2016; Edenhofer et al., 2018).</w:t>
      </w:r>
    </w:p>
    <w:p>
      <w:pPr>
        <w:pStyle w:val="TextBody"/>
        <w:rPr/>
      </w:pPr>
      <w:r>
        <w:rPr/>
      </w:r>
    </w:p>
    <w:p>
      <w:pPr>
        <w:pStyle w:val="TextBody"/>
        <w:rPr/>
      </w:pPr>
      <w:r>
        <w:rPr/>
        <w:t>The later emissions peak and decline, the more CO 2 will have accumulated in the atmosphere. Peak cumulated CO 2 emissions – and consequently peak temperatures – increase with higher 2030 emissions levels (</w:t>
      </w:r>
      <w:r>
        <w:rPr>
          <w:b/>
          <w:bCs/>
          <w:color w:val="CE181E"/>
        </w:rPr>
        <w:t>Figure 2.12</w:t>
      </w:r>
      <w:r>
        <w:rPr/>
        <w:t>). Current NDCs (</w:t>
      </w:r>
      <w:r>
        <w:rPr>
          <w:b/>
          <w:bCs/>
          <w:color w:val="CE181E"/>
        </w:rPr>
        <w:t>Cross-Chapter Box 11 in Chapter 4</w:t>
      </w:r>
      <w:r>
        <w:rPr/>
        <w:t xml:space="preserve">) are estimated to lead to CO 2 emissions of about 400–560 GtCO 2 from 2018 to 2030 (Rogelj et al., 2016a). Available 1.5°C- and 2°C-consistent pathways with 2030 emissions in the range estimated for the NDCs rely on an assumed swift and widespread deployment of </w:t>
      </w:r>
      <w:r>
        <w:rPr>
          <w:b/>
          <w:bCs/>
          <w:color w:val="00A65D"/>
        </w:rPr>
        <w:t>CDR</w:t>
      </w:r>
      <w:r>
        <w:rPr/>
        <w:t xml:space="preserve"> after 2030, and show peak cumulative CO 2 emissions from 2018 of about 800–1000 GtCO 2 , above the remaining carbon budget for a one-in-two chance of remaining below 1.5°C. These emissions reflect that no pathway is able to project a phase-out of CO 2 emissions starting from year-2030 NDC levels of about 40 GtCO 2 yr −1 (Fawcett et al., 2015; Rogelj et al., 2016a) to net zero in less than about 15 years. Based on the implied emissions until 2030, the high challenges of the assumed post-2030 transition, and the assessment of carbon budgets in Section 2.2.2, global warming is assessed to exceed 1.5°C if emissions stay at the levels implied by the NDCs until 2030 (</w:t>
      </w:r>
      <w:r>
        <w:rPr>
          <w:b/>
          <w:bCs/>
          <w:color w:val="CE181E"/>
        </w:rPr>
        <w:t>Figure 2.12</w:t>
      </w:r>
      <w:r>
        <w:rPr/>
        <w:t>). The chances of remaining below 1.5°C in these circumstances remain conditional upon geophysical properties that are uncertain, but these Earth system response uncertainties would have to serendipitously align beyond current median estimates in order for current NDCs to become consistent with limiting warming to 1.5°C.</w:t>
      </w:r>
    </w:p>
    <w:p>
      <w:pPr>
        <w:pStyle w:val="TextBody"/>
        <w:rPr/>
      </w:pPr>
      <w:r>
        <w:rPr/>
      </w:r>
    </w:p>
    <w:p>
      <w:pPr>
        <w:pStyle w:val="TextBody"/>
        <w:rPr/>
      </w:pPr>
      <w:r>
        <w:rPr/>
        <w:t>It is unclear whether following NDCs until 2030 would still allow global mean temperature to return to 1.5°C by 2100 after a temporary overshoot, due to the uncertainty associated with the Earth system response to net negative emissions after a peak (</w:t>
      </w:r>
      <w:r>
        <w:rPr>
          <w:b/>
          <w:bCs/>
          <w:color w:val="CE181E"/>
        </w:rPr>
        <w:t>Section 2.2</w:t>
      </w:r>
      <w:r>
        <w:rPr/>
        <w:t>). Available IAM studies are working with reduced-form carbon cycle–climate models like MAGICC, which assume a largely symmetric Earth-system response to positive and net negative CO 2 emissions. The IAM findings on returning warming to 1.5°C from NDCs after a temporary temperature overshoot are hence all conditional on this assumption. Two types of pathways with 1.5°C-consistent action starting in 2030 have been considered in the literature (Luderer et al., 2018) (</w:t>
      </w:r>
      <w:r>
        <w:rPr>
          <w:b/>
          <w:bCs/>
          <w:color w:val="CE181E"/>
        </w:rPr>
        <w:t>Figure 2.13</w:t>
      </w:r>
      <w:r>
        <w:rPr/>
        <w:t xml:space="preserve">): pathways aiming to obtain the same end-of-century carbon budget as 1.5°C-consistent pathways starting in 2020 despite higher emissions until 2030, and pathways assuming the same mitigation stringency after 2030 as in 1.5°C-consistent pathways starting in 2020 (approximated by using the same global price of emissions as found in least-cost pathways starting from 2020). An IAM comparison study found increasing challenges to implementing pathways with the same end-of-century carbon budgets after following NDCs until 2030 (Luderer et al., 2018). The majority of model experiments (four out of seven) failed to produce NDC pathways that would return cumulative CO 2 emissions over the 2016–2100 period to 200 GtCO 2 , indicating limitations to the availability and timing of </w:t>
      </w:r>
      <w:r>
        <w:rPr>
          <w:b/>
          <w:bCs/>
          <w:color w:val="00A65D"/>
        </w:rPr>
        <w:t>CDR</w:t>
      </w:r>
      <w:r>
        <w:rPr/>
        <w:t>. The few such pathways that were identified show highly disruptive features in 2030 (including abrupt transitions from moderate to very large emissions reduction and low carbon energy deployment rates) indicating a high risk that the required post-2030 transformations are too steep and abrupt to be achieved by the mitigation measures in the models (high confidence). NDC pathways aiming for a cumulative 2016–2100 CO 2 emissions budget of 800 GtCO 2 were more readily obtained (Luderer et al., 2018), and some were classified as 1.5°C-high-OS pathways in this assessment (</w:t>
      </w:r>
      <w:r>
        <w:rPr>
          <w:b/>
          <w:bCs/>
          <w:color w:val="CE181E"/>
        </w:rPr>
        <w:t>Section 2.1</w:t>
      </w:r>
      <w:r>
        <w:rPr/>
        <w:t>).</w:t>
      </w:r>
    </w:p>
    <w:p>
      <w:pPr>
        <w:pStyle w:val="TextBody"/>
        <w:rPr/>
      </w:pPr>
      <w:r>
        <w:rPr/>
      </w:r>
    </w:p>
    <w:p>
      <w:pPr>
        <w:pStyle w:val="TextBody"/>
        <w:rPr/>
      </w:pPr>
      <w:r>
        <w:rPr/>
        <w:t xml:space="preserve">NDC pathways that apply a post-2030 price of emissions as found in least-cost pathways starting from 2020 show infrastructural carbon lock-in as a result of following NDCs instead of least-cost action until 2030. A key finding is that carbon lock-ins persist long after 2030, with the majority of additional CO 2 emissions occurring during the 2030–2050 period. Luderer et al. (2018) find 90 (80–120) GtCO 2 additional emissions until 2030, growing to 240 (190–260) GtCO 2 by 2050 and 290 (200–200) GtCO 2 by 2100. As a result, peak warming is about 0.2°C higher and not all of the modelled pathways return warming to 1.5°C by the end of the century. There is a four sided trade-off between (I) near-term ambition, (ii) degree of overshoot, (iii) transitional challenges during the 2030–2050 period, and (iv) the amount of </w:t>
      </w:r>
      <w:r>
        <w:rPr>
          <w:b/>
          <w:bCs/>
          <w:color w:val="00A65D"/>
        </w:rPr>
        <w:t>CDR</w:t>
      </w:r>
      <w:r>
        <w:rPr/>
        <w:t xml:space="preserve"> deployment required during the century (Figure 2.13) (Holz et al., 2018b; Strefler et al., 2018b). Transition challenges, overshoot, and </w:t>
      </w:r>
      <w:r>
        <w:rPr>
          <w:b/>
          <w:bCs/>
          <w:color w:val="00A65D"/>
        </w:rPr>
        <w:t>CDR</w:t>
      </w:r>
      <w:r>
        <w:rPr/>
        <w:t xml:space="preserve"> requirements can be significantly reduced if global emissions peak before 2030 and fall below levels in line with current NDCs by 2030. For example, Strefler et al. (2018b) find that </w:t>
      </w:r>
      <w:r>
        <w:rPr>
          <w:b/>
          <w:bCs/>
          <w:color w:val="00A65D"/>
        </w:rPr>
        <w:t>CDR</w:t>
      </w:r>
      <w:r>
        <w:rPr/>
        <w:t xml:space="preserve"> deployment levels in the second half of the century can be halved in 1.5°C-consistent pathways with similar CO 2 emissions reductions rates during the 2030–2050 period if CO 2 emissions by 2030 are reduced by an additional 30% compared to NDC levels. Kriegler et al. (2018a) investigate a global rollout of selected regulatory policies and moderate carbon pricing policies. They show that additional reductions of about 10 GtCO 2 e yr −1 can be achieved in 2030 compared to the current NDCs. Such a 20% reduction of year-2030 emissions compared to current NDCs would effectively lower the disruptiveness of post-2030 action. The strengthening of short-term policies in deep mitigation pathways has hence been identified as a way of bridging options to keep the Paris climate goals within reach (Bertram et al., 2015b; IEA, 2015a; Spencer et al., 2015; Kriegler et al., 2018a).</w:t>
      </w:r>
    </w:p>
    <w:p>
      <w:pPr>
        <w:pStyle w:val="TextBody"/>
        <w:rPr/>
      </w:pPr>
      <w:r>
        <w:rPr/>
      </w:r>
    </w:p>
    <w:p>
      <w:pPr>
        <w:pStyle w:val="Heading1"/>
        <w:rPr/>
      </w:pPr>
      <w:r>
        <w:rPr/>
        <w:t>2.4 Disentangling the Whole-System Transformation</w:t>
      </w:r>
    </w:p>
    <w:p>
      <w:pPr>
        <w:pStyle w:val="Heading2"/>
        <w:rPr/>
      </w:pPr>
      <w:r>
        <w:rPr/>
        <w:t>2.4.4 Land-Use Transitions and Changes in the Agricultural Sector</w:t>
      </w:r>
    </w:p>
    <w:p>
      <w:pPr>
        <w:pStyle w:val="TextBody"/>
        <w:rPr/>
      </w:pPr>
      <w:r>
        <w:rPr/>
        <w:t xml:space="preserve">The agricultural and land system described together under the umbrella of the AFOLU (agriculture, forestry, and other land use) sector plays an important role in 1.5°C pathways (Clarke et al., 2014; Smith and Bustamante, 2014; Popp et al., 2017). On the one hand, its emissions need to be limited over the course of this century to be in line with pathways limiting warming to 1.5°C (see </w:t>
      </w:r>
      <w:r>
        <w:rPr>
          <w:b/>
          <w:bCs/>
          <w:color w:val="CE181E"/>
        </w:rPr>
        <w:t>Sections 2.2-3</w:t>
      </w:r>
      <w:r>
        <w:rPr/>
        <w:t xml:space="preserve">). On the other hand, the AFOLU system is responsible for food and feed production; for wood production for pulp and construction; for the production of biomass that is used for energy, </w:t>
      </w:r>
      <w:r>
        <w:rPr>
          <w:b/>
          <w:bCs/>
          <w:color w:val="00A65D"/>
        </w:rPr>
        <w:t>CDR</w:t>
      </w:r>
      <w:r>
        <w:rPr/>
        <w:t xml:space="preserve"> or other uses; and for the supply of non-provisioning (ecosystem) services (Smith and Bustamante, 2014). Meeting all demands together requires changes in land use, as well as in agricultural and forestry practices, for which a multitude of potential options have been identified (Smith and Bustamante, 2014; Popp et al., 2017) (see also </w:t>
      </w:r>
      <w:r>
        <w:rPr>
          <w:b/>
          <w:bCs/>
          <w:color w:val="CE181E"/>
        </w:rPr>
        <w:t>Supplementary Material 2.SM.1.2 and Chapter 4, Section 4.3.1, 4.3.2 and 4.3.7</w:t>
      </w:r>
      <w:r>
        <w:rPr/>
        <w:t>).</w:t>
      </w:r>
    </w:p>
    <w:p>
      <w:pPr>
        <w:pStyle w:val="TextBody"/>
        <w:rPr/>
      </w:pPr>
      <w:r>
        <w:rPr/>
      </w:r>
    </w:p>
    <w:p>
      <w:pPr>
        <w:pStyle w:val="TextBody"/>
        <w:rPr/>
      </w:pPr>
      <w:r>
        <w:rPr/>
        <w:t xml:space="preserve">This section assesses the transformation of the AFOLU system, mainly making use of pathways from IAMs (see </w:t>
      </w:r>
      <w:r>
        <w:rPr>
          <w:b/>
          <w:bCs/>
          <w:color w:val="CE181E"/>
        </w:rPr>
        <w:t>Section 2.1</w:t>
      </w:r>
      <w:r>
        <w:rPr/>
        <w:t>) that are based on quantifications of the SSPs and that report distinct land-use evolutions in line with limiting warming to 1.5°C (Calvin et al., 2017; Fricko et al., 2017; Fujimori, 2017; Kriegler et al., 2017; Popp et al., 2017; Riahi et al., 2017; van Vuuren et al., 2017b; Doelman et al., 2018; Rogelj et al., 2018). The SSPs were designed to vary mitigation challenges (O’Neill et al., 2014) (</w:t>
      </w:r>
      <w:r>
        <w:rPr>
          <w:b/>
          <w:bCs/>
          <w:color w:val="CE181E"/>
        </w:rPr>
        <w:t>Cross-Chapter Box 1 in Chapter 1</w:t>
      </w:r>
      <w:r>
        <w:rPr/>
        <w:t xml:space="preserve">), including for the AFOLU sector (Popp et al., 2017; Riahi et al., 2017). The SSP pathway ensemble hence allows for a structured exploration of AFOLU transitions in the context of climate change mitigation in line with1.5°C, taking into account technological and socio-economic aspects. Other considerations, like food security, livelihoods and biodiversity, are also of importance when identifying AFOLU strategies. These are at present only tangentially explored by the SSPs. Further assessments of AFOLU mitigation options are provided in other parts of this report and in the IPCC Special Report on Climate Change and Land (SRCCL). </w:t>
      </w:r>
      <w:r>
        <w:rPr>
          <w:b/>
          <w:bCs/>
          <w:color w:val="CE181E"/>
        </w:rPr>
        <w:t>Chapter 4</w:t>
      </w:r>
      <w:r>
        <w:rPr/>
        <w:t xml:space="preserve"> provides an assessment of bioenergy (including feedstocks, see </w:t>
      </w:r>
      <w:r>
        <w:rPr>
          <w:b/>
          <w:bCs/>
          <w:color w:val="CE181E"/>
        </w:rPr>
        <w:t>Section 4.3.1</w:t>
      </w:r>
      <w:r>
        <w:rPr/>
        <w:t>), livestock management (</w:t>
      </w:r>
      <w:r>
        <w:rPr>
          <w:b/>
          <w:bCs/>
          <w:color w:val="CE181E"/>
        </w:rPr>
        <w:t>Section 4.3.1</w:t>
      </w:r>
      <w:r>
        <w:rPr/>
        <w:t xml:space="preserve">), reducing rates of deforestation and other land-based mitigation options (as mitigation and adaptation option, see </w:t>
      </w:r>
      <w:r>
        <w:rPr>
          <w:b/>
          <w:bCs/>
          <w:color w:val="CE181E"/>
        </w:rPr>
        <w:t>Section 4.3.2</w:t>
      </w:r>
      <w:r>
        <w:rPr/>
        <w:t xml:space="preserve">), and </w:t>
      </w:r>
      <w:r>
        <w:rPr>
          <w:b/>
          <w:bCs/>
          <w:color w:val="F58220"/>
        </w:rPr>
        <w:t>BECCS</w:t>
      </w:r>
      <w:r>
        <w:rPr/>
        <w:t xml:space="preserve">, </w:t>
      </w:r>
      <w:r>
        <w:rPr>
          <w:b/>
          <w:bCs/>
          <w:color w:val="0066B3"/>
        </w:rPr>
        <w:t>afforestation</w:t>
      </w:r>
      <w:r>
        <w:rPr/>
        <w:t xml:space="preserve"> and reforestation options (including the bottom-up literature of their sustainable potential, mitigation cost and side effects, </w:t>
      </w:r>
      <w:r>
        <w:rPr>
          <w:b/>
          <w:bCs/>
          <w:color w:val="CE181E"/>
        </w:rPr>
        <w:t>Section 4.3.7</w:t>
      </w:r>
      <w:r>
        <w:rPr/>
        <w:t xml:space="preserve">). </w:t>
      </w:r>
      <w:r>
        <w:rPr>
          <w:b/>
          <w:bCs/>
          <w:color w:val="CE181E"/>
        </w:rPr>
        <w:t>Chapter 3</w:t>
      </w:r>
      <w:r>
        <w:rPr/>
        <w:t xml:space="preserve"> discusses impacts land-based </w:t>
      </w:r>
      <w:r>
        <w:rPr>
          <w:b/>
          <w:bCs/>
          <w:color w:val="00A65D"/>
        </w:rPr>
        <w:t>CDR</w:t>
      </w:r>
      <w:r>
        <w:rPr/>
        <w:t xml:space="preserve"> (</w:t>
      </w:r>
      <w:r>
        <w:rPr>
          <w:b/>
          <w:bCs/>
          <w:color w:val="CE181E"/>
        </w:rPr>
        <w:t>Cross-Chapter Box 7 in Chapter 3</w:t>
      </w:r>
      <w:r>
        <w:rPr/>
        <w:t xml:space="preserve">). </w:t>
      </w:r>
      <w:r>
        <w:rPr>
          <w:b/>
          <w:bCs/>
          <w:color w:val="CE181E"/>
        </w:rPr>
        <w:t>Chapter 5</w:t>
      </w:r>
      <w:r>
        <w:rPr/>
        <w:t xml:space="preserve"> assesses the sustainable development implications of AFOLU mitigation, including impacts on biodiversity (</w:t>
      </w:r>
      <w:r>
        <w:rPr>
          <w:b/>
          <w:bCs/>
          <w:color w:val="CE181E"/>
        </w:rPr>
        <w:t>Section 5.4</w:t>
      </w:r>
      <w:r>
        <w:rPr/>
        <w:t xml:space="preserve">). Finally, the SRCCL will undertake a more comprehensive assessment of land and climate change aspects. For the sake of complementarity, this section focusses on the magnitude and pace of land transitions in 1.5°C pathways, as well as on the implications of different AFOLU mitigation strategies for different land types. The interactions with other societal objectives and potential limitations of identified AFOLU measures link to these large-scale evolutions, but these are assessed elsewhere (see </w:t>
      </w:r>
      <w:r>
        <w:rPr>
          <w:b/>
          <w:bCs/>
          <w:color w:val="CE181E"/>
        </w:rPr>
        <w:t>above</w:t>
      </w:r>
      <w:r>
        <w:rPr/>
        <w:t>).</w:t>
      </w:r>
    </w:p>
    <w:p>
      <w:pPr>
        <w:pStyle w:val="TextBody"/>
        <w:rPr/>
      </w:pPr>
      <w:r>
        <w:rPr/>
      </w:r>
    </w:p>
    <w:p>
      <w:pPr>
        <w:pStyle w:val="TextBody"/>
        <w:rPr/>
      </w:pPr>
      <w:r>
        <w:rPr/>
        <w:t xml:space="preserve">A global study (Stevanović et al., 2017) reported similar GHG reduction potentials for both production-side (agricultural production measures in combination with reduced deforestation) and consumption-side (diet change in combination with lower shares of food waste) measures on the order of 40% in 2100 11 (compared to a baseline scenario without land-based mitigation). Lower consumption of livestock products by 2050 could also substantially reduce deforestation and cumulative carbon losses (Weindl et al., 2017). On the supply side, minor productivity growth in extensive livestock production systems is projected to lead to substantial CO 2 emission abatement, but the emission-saving potential of productivity gains in intensive systems is limited, mainly due to trade-offs with soil carbon stocks (Weindl et al., 2017). In addition, even within existing livestock production systems, a transition from extensive to more productive systems bears substantial GHG abatement potential, while improving food availability (Gerber et al., 2013; Havlík et al., 2014). Many studies highlight the capability of agricultural intensification for reducing GHG emissions in the AFOLU sector or even enhancing terrestrial carbon stocks (Valin et al., 2013; Popp et al., 2014a; Wise et al., 2014). Also the importance of immediate and global land-use regulations for a comprehensive reduction of land-related GHG emissions (especially related to deforestation) has been shown by several studies (Calvin et al., 2017; Fricko et al., 2017; Fujimori, 2017). Ultimately, there are also interactions between these three factors and the wider society and economy, for example, if </w:t>
      </w:r>
      <w:r>
        <w:rPr>
          <w:b/>
          <w:bCs/>
          <w:color w:val="00A65D"/>
        </w:rPr>
        <w:t>CDR</w:t>
      </w:r>
      <w:r>
        <w:rPr/>
        <w:t xml:space="preserve"> technologies that are not land-based are deployed (like direct air capture – DACCS, see </w:t>
      </w:r>
      <w:r>
        <w:rPr>
          <w:b/>
          <w:bCs/>
          <w:color w:val="CE181E"/>
        </w:rPr>
        <w:t>Chapter 4, Section 4.3.7</w:t>
      </w:r>
      <w:r>
        <w:rPr/>
        <w:t>) or if other sectors over- or underachieve their projected mitigation contributions (Clarke et al., 2014). Variations in these drivers can lead to drastically different land-use implications (Popp et al., 2014b) (</w:t>
      </w:r>
      <w:r>
        <w:rPr>
          <w:b/>
          <w:bCs/>
          <w:color w:val="CE181E"/>
        </w:rPr>
        <w:t>Figure 2.24</w:t>
      </w:r>
      <w:r>
        <w:rPr/>
        <w:t>).</w:t>
      </w:r>
    </w:p>
    <w:p>
      <w:pPr>
        <w:pStyle w:val="TextBody"/>
        <w:rPr/>
      </w:pPr>
      <w:r>
        <w:rPr/>
      </w:r>
    </w:p>
    <w:p>
      <w:pPr>
        <w:pStyle w:val="TextBody"/>
        <w:rPr/>
      </w:pPr>
      <w:r>
        <w:rPr/>
        <w:t xml:space="preserve">Stringent mitigation pathways inform general GHG dynamics in the AFOLU sector. First, CO 2 emissions from deforestation can be abated at relatively low carbon prices if displacement effects in other regions (Calvin et al., 2017) or other land-use types with high carbon density (Calvin et al., 2014; Popp et al., 2014a; Kriegler et al., 2017) can be avoided. However, efficiency and costs of reducing rates of deforestation strongly depend on governance performance, institutions and macroeconomic factors (Wang et al., 2016). Secondly, besides CO 2 reductions, the land system can play an important role for overall </w:t>
      </w:r>
      <w:r>
        <w:rPr>
          <w:b/>
          <w:bCs/>
          <w:color w:val="00A65D"/>
        </w:rPr>
        <w:t>CDR</w:t>
      </w:r>
      <w:r>
        <w:rPr/>
        <w:t xml:space="preserve"> efforts (Rogelj et al., 2018) via </w:t>
      </w:r>
      <w:r>
        <w:rPr>
          <w:b/>
          <w:bCs/>
          <w:color w:val="F58220"/>
        </w:rPr>
        <w:t>BECCS</w:t>
      </w:r>
      <w:r>
        <w:rPr/>
        <w:t xml:space="preserve">, </w:t>
      </w:r>
      <w:r>
        <w:rPr>
          <w:b/>
          <w:bCs/>
          <w:color w:val="0066B3"/>
        </w:rPr>
        <w:t>afforestation</w:t>
      </w:r>
      <w:r>
        <w:rPr/>
        <w:t xml:space="preserve"> and reforestation, or a combination of options. The AFOLU sector also provides further potential for active terrestrial carbon sequestration, for example, via land restoration, improved management of forest and agricultural land (Griscom et al., 2017), or biochar applications (Smith, 2016) (see also </w:t>
      </w:r>
      <w:r>
        <w:rPr>
          <w:b/>
          <w:bCs/>
          <w:color w:val="CE181E"/>
        </w:rPr>
        <w:t>Chapter 4, Section 4.3.7</w:t>
      </w:r>
      <w:r>
        <w:rPr/>
        <w:t xml:space="preserve">). These options have so far not been extensively integrated in the mitigation pathway literature (see </w:t>
      </w:r>
      <w:r>
        <w:rPr>
          <w:b/>
          <w:bCs/>
          <w:color w:val="CE181E"/>
        </w:rPr>
        <w:t>Supplementary Material 2.SM.1.2</w:t>
      </w:r>
      <w:r>
        <w:rPr/>
        <w:t xml:space="preserve">), but in theory their availability would impact the deployment of other </w:t>
      </w:r>
      <w:r>
        <w:rPr>
          <w:b/>
          <w:bCs/>
          <w:color w:val="00A65D"/>
        </w:rPr>
        <w:t>CDR</w:t>
      </w:r>
      <w:r>
        <w:rPr/>
        <w:t xml:space="preserve"> technologies, like </w:t>
      </w:r>
      <w:r>
        <w:rPr>
          <w:b/>
          <w:bCs/>
          <w:color w:val="F58220"/>
        </w:rPr>
        <w:t>BECCS</w:t>
      </w:r>
      <w:r>
        <w:rPr/>
        <w:t xml:space="preserve"> (</w:t>
      </w:r>
      <w:r>
        <w:rPr>
          <w:b/>
          <w:bCs/>
          <w:color w:val="CE181E"/>
        </w:rPr>
        <w:t>Section 2.3.4</w:t>
      </w:r>
      <w:r>
        <w:rPr/>
        <w:t>) (Strefler et al., 2018a). These interactions will be discussed further in the SRCCL.</w:t>
      </w:r>
    </w:p>
    <w:p>
      <w:pPr>
        <w:pStyle w:val="TextBody"/>
        <w:rPr/>
      </w:pPr>
      <w:r>
        <w:rPr/>
      </w:r>
    </w:p>
    <w:p>
      <w:pPr>
        <w:pStyle w:val="TextBody"/>
        <w:rPr/>
      </w:pPr>
      <w:r>
        <w:rPr/>
        <w:t>Pathways consistent with 1.5°C rely on one or more of the three strategies highlighted above (demand changes, efficiency gains, and policy assumptions), and can apply these in different configurations. For example, among the four illustrative archetypes used in this chapter (</w:t>
      </w:r>
      <w:r>
        <w:rPr>
          <w:b/>
          <w:bCs/>
          <w:color w:val="CE181E"/>
        </w:rPr>
        <w:t>Section 2.1</w:t>
      </w:r>
      <w:r>
        <w:rPr/>
        <w:t xml:space="preserve">), the LED and S1 pathways focus on generally low resource and energy consumption (including healthy diets with low animal-calorie shares and low food waste) as well as significant agricultural intensification in combination with high levels of nature protection. Under such assumptions, comparably small amounts of land are needed for land-demanding mitigation activities such as </w:t>
      </w:r>
      <w:r>
        <w:rPr>
          <w:b/>
          <w:bCs/>
          <w:color w:val="F58220"/>
        </w:rPr>
        <w:t>BECCS</w:t>
      </w:r>
      <w:r>
        <w:rPr/>
        <w:t xml:space="preserve"> and </w:t>
      </w:r>
      <w:r>
        <w:rPr>
          <w:b/>
          <w:bCs/>
          <w:color w:val="0066B3"/>
        </w:rPr>
        <w:t>afforestation</w:t>
      </w:r>
      <w:r>
        <w:rPr/>
        <w:t xml:space="preserve"> and reforestation, leaving the land footprint for energy crops in 2050 virtually the same compared to 2010 levels for the LED pathway. In contrast, future land-use developments can look very different under the resource- and energy-intensive S5 pathway that includes less healthy diets with high animal shares and high shares of food waste (Tilman and Clark, 2014; Springmann et al., 2016) combined with a strong orientation towards technology solutions to compensate for high reliance on fossil-fuel resources and associated high levels of GHG emissions in the baseline. In such pathways, climate change mitigation strategies strongly depend on the availability of </w:t>
      </w:r>
      <w:r>
        <w:rPr>
          <w:b/>
          <w:bCs/>
          <w:color w:val="F58220"/>
        </w:rPr>
        <w:t>CDR</w:t>
      </w:r>
      <w:r>
        <w:rPr>
          <w:b/>
          <w:bCs/>
          <w:color w:val="00A65D"/>
        </w:rPr>
        <w:t xml:space="preserve"> </w:t>
      </w:r>
      <w:r>
        <w:rPr>
          <w:b/>
          <w:bCs/>
          <w:color w:val="F58220"/>
        </w:rPr>
        <w:t>through</w:t>
      </w:r>
      <w:r>
        <w:rPr>
          <w:b/>
          <w:bCs/>
          <w:color w:val="00A65D"/>
        </w:rPr>
        <w:t xml:space="preserve"> </w:t>
      </w:r>
      <w:r>
        <w:rPr>
          <w:b/>
          <w:bCs/>
          <w:color w:val="F58220"/>
        </w:rPr>
        <w:t>BECCS</w:t>
      </w:r>
      <w:r>
        <w:rPr/>
        <w:t xml:space="preserve"> (Humpenöder et al., 2014). As a consequence, the S5 pathway sources significant amounts of biomass through bioenergy crop expansion in combination with agricultural intensification. Also, further policy assumptions can strongly affect land-use developments, highlighting the importance for land use of making appropriate policy choices. For example, within the SSP set, some pathways rely strongly on a policy to incentivize </w:t>
      </w:r>
      <w:r>
        <w:rPr>
          <w:b/>
          <w:bCs/>
          <w:color w:val="0066B3"/>
        </w:rPr>
        <w:t>afforestation</w:t>
      </w:r>
      <w:r>
        <w:rPr/>
        <w:t xml:space="preserve"> and reforestation for </w:t>
      </w:r>
      <w:r>
        <w:rPr>
          <w:b/>
          <w:bCs/>
          <w:color w:val="00A65D"/>
        </w:rPr>
        <w:t>CDR</w:t>
      </w:r>
      <w:r>
        <w:rPr/>
        <w:t xml:space="preserve"> together with </w:t>
      </w:r>
      <w:r>
        <w:rPr>
          <w:b/>
          <w:bCs/>
          <w:color w:val="F58220"/>
        </w:rPr>
        <w:t>BECCS</w:t>
      </w:r>
      <w:r>
        <w:rPr/>
        <w:t>, which results in an expansion of forest area and a corresponding increase in terrestrial carbon stock. Finally, the variety of pathways illustrates how policy choices in the AFOLU and other sectors strongly affect land-use developments and associated sustainable development interactions (</w:t>
      </w:r>
      <w:r>
        <w:rPr>
          <w:b/>
          <w:bCs/>
          <w:color w:val="CE181E"/>
        </w:rPr>
        <w:t>Chapter 5, Section 5.4</w:t>
      </w:r>
      <w:r>
        <w:rPr/>
        <w:t>) in 1.5°C pathways.</w:t>
      </w:r>
    </w:p>
    <w:p>
      <w:pPr>
        <w:pStyle w:val="TextBody"/>
        <w:rPr/>
      </w:pPr>
      <w:r>
        <w:rPr/>
      </w:r>
    </w:p>
    <w:p>
      <w:pPr>
        <w:pStyle w:val="Heading1"/>
        <w:rPr/>
      </w:pPr>
      <w:r>
        <w:rPr/>
        <w:t>2.5 Challenges, Opportunities and Co-Impacts of Transformative Mitigation Pathways</w:t>
      </w:r>
    </w:p>
    <w:p>
      <w:pPr>
        <w:pStyle w:val="Heading2"/>
        <w:rPr/>
      </w:pPr>
      <w:r>
        <w:rPr/>
        <w:t>2.5.1 Policy Frameworks and Enabling Conditions</w:t>
      </w:r>
    </w:p>
    <w:p>
      <w:pPr>
        <w:pStyle w:val="TextBody"/>
        <w:rPr/>
      </w:pPr>
      <w:r>
        <w:rPr/>
        <w:t>The available literature indicates that mitigation pathways in line with 1.5°C pathways would require stringent and integrated policy interventions (very high confidence). Higher policy ambition often takes the form of stringent economy-wide emission targets (and resulting peak-and-decline of emissions), larger coverage of NDCs to more gases and sectors (e.g., land-use, international aviation), much lower energy and carbon intensity rates than historically seen, carbon prices much higher than the ones observed in real markets, increased climate finance, global coordinated policy action, and implementation of additional initiatives (e.g., by non-state actors) (</w:t>
      </w:r>
      <w:r>
        <w:rPr>
          <w:b/>
          <w:bCs/>
          <w:color w:val="CE181E"/>
        </w:rPr>
        <w:t>Sections 2.3, 2.4 and 2.5.2</w:t>
      </w:r>
      <w:r>
        <w:rPr/>
        <w:t xml:space="preserve">). The diversity (beyond explicit carbon pricing) and effectiveness of policy portfolios are of prime importance, particularly in the short-term (Mundaca and Markandya, 2016; Kuramochi et al., 2017; OECD, 2017; Kriegler et al., 2018a; Michaelowa et al., 2018). For instance, deep decarbonization pathways in line with a 2 ̊C target (covering 74% of global energy-system emissions) include a mix of stringent regulation (e.g., building codes, minimum performance standards), carbon pricing mechanisms and R&amp;D (research and development) innovation policies (Bataille et al., 2016a). Explicit carbon pricing, direct regulation and public investment to enable innovation are critical for deep decarbonization pathways (Grubb et al., 2014). Effective planning (including compact city measures) and integrated regulatory frameworks are also key drivers in the IEA-ETP B2DS study for the transport sector (IEA, 2017a). Effective urban planning can reduce GHG emissions from urban transport between 20% and 50% (Creutzig, 2016). Comprehensive policy frameworks would be needed if the decarbonization of the power system is pursued while increasing end-use electrification (including transport) (IEA, 2017a). Technology policies (e.g., feed-in-tariffs), financing instruments, carbon pricing and system integration management driving the rapid adoption of renewable energy technologies are critical for the decarbonization of electricity generation (Bruckner et al., 2014; Luderer et al., 2014; Creutzig et al., 2017; Pietzcker et al., 2017). Likewise, low-carbon and resilient investments are facilitated by a mix of coherent policies, including fiscal and structural reforms (e.g., labour markets), public procurement, carbon pricing, stringent standards, information schemes, technology policies, fossil-fuel subsidy removal, climate risk disclosure, and land-use and transport planning (OECD, 2017). Pathways in which </w:t>
      </w:r>
      <w:r>
        <w:rPr>
          <w:b/>
          <w:bCs/>
          <w:color w:val="00A65D"/>
        </w:rPr>
        <w:t>CDR</w:t>
      </w:r>
      <w:r>
        <w:rPr/>
        <w:t xml:space="preserve"> options are restricted emphasize the strengthening of near-term policy mixes (Luderer et al., 2013; Kriegler et al., 2018a). Together with the decarbonization of the supply side, ambitious policies targeting fuel switching and energy efficiency improvements on the demand side play a major role across mitigation pathways (Clarke et al., 2014; Kriegler et al., 2014b; Riahi et al., 2015; Kuramochi et al., 2017; Brown and Li, 2018; Rogelj et al., 2018; Wachsmuth and Duscha, 2018).</w:t>
      </w:r>
    </w:p>
    <w:p>
      <w:pPr>
        <w:pStyle w:val="TextBody"/>
        <w:rPr/>
      </w:pPr>
      <w:r>
        <w:rPr/>
      </w:r>
    </w:p>
    <w:p>
      <w:pPr>
        <w:pStyle w:val="TextBody"/>
        <w:rPr/>
      </w:pPr>
      <w:r>
        <w:rPr/>
        <w:t xml:space="preserve">The combined evidence suggests that aggressive policies addressing energy efficiency are central in keeping 1.5°C within reach and lowering energy system and mitigation costs (high confidence) (Luderer et al., 2013; Rogelj et al., 2013b, 2015b; Grubler et al., 2018). Demand-side policies that increase energy efficiency or limit energy demand at a higher rate than historically observed are critical enabling factors for reducing mitigation costs in stringent mitigation pathways across the board (Luderer et al., 2013; Rogelj et al., 2013b, 2015b; Clarke et al., 2014; Bertram et al., 2015a; Bataille et al., 2016b). Ambitious sector-specific mitigation policies in industry, transportation and residential sectors are needed in the short run for emissions to peak in 2030 (Méjean et al., 2018). Stringent demand-side policies (e.g., tightened efficiency standards for buildings and appliances) driving the expansion, efficiency and provision of high-quality energy services are essential to meet a 1.5 ̊C mitigation target while reducing the reliance on </w:t>
      </w:r>
      <w:r>
        <w:rPr>
          <w:b/>
          <w:bCs/>
          <w:color w:val="00A65D"/>
        </w:rPr>
        <w:t>CDR</w:t>
      </w:r>
      <w:r>
        <w:rPr/>
        <w:t xml:space="preserve"> (Grubler et al., 2018). A 1.5 ̊C pathway for the transport sector is possible using a mix of additional and stringent policy actions preventing (or reducing) the need for transport, encouraging shifts towards efficient modes of transport, and improving vehicle-fuel efficiency (Gota et al., 2018). Stringent demand-side policies also reduce the need for CCS (Wachsmuth and Duscha, 2018). Even in the presence of weak near term policy frameworks, increased energy efficiency lowers mitigation costs noticeably compared to pathways with reference energy intensity (Bertram et al., 2015a). Common issues in the literature relate to the rebound effect, the potential overestimation of the effectiveness of energy efficiency policy, and policies to counteract the rebound (Saunders, 2015; van den Bergh, 2017; Grubler et al., 2018) (</w:t>
      </w:r>
      <w:r>
        <w:rPr>
          <w:b/>
          <w:bCs/>
          <w:color w:val="CE181E"/>
        </w:rPr>
        <w:t>Sections 2.4 and 4.4</w:t>
      </w:r>
      <w:r>
        <w:rPr/>
        <w:t>).</w:t>
      </w:r>
    </w:p>
    <w:p>
      <w:pPr>
        <w:pStyle w:val="TextBody"/>
        <w:rPr/>
      </w:pPr>
      <w:r>
        <w:rPr/>
      </w:r>
    </w:p>
    <w:p>
      <w:pPr>
        <w:pStyle w:val="TextBody"/>
        <w:rPr/>
      </w:pPr>
      <w:r>
        <w:rPr/>
        <w:t xml:space="preserve">SSP-based modelling studies underline that socio-economic and climate policy assumptions strongly influence mitigation pathway characteristics and the economics of achieving a specific climate target (very high confidence) (Bauer et al., 2017; Guivarch and Rogelj, 2017; Riahi et al., 2017; Rogelj et al., 2018). SSP assumptions related to economic growth and energy intensity are critical determinants of projected CO2 emissions (Marangoni et al., 2017). A multimodel inter-comparison study found that mitigation challenges in line with a 1.5 ̊C target vary substantially across SSPs and policy assumptions (Rogelj et al., 2018). Under SSP1-SPA1 (sustainability) and SSP2-SPA2 (middle-of-the-road), the majority of IAMs were capable of producing 1.5 ̊C pathways. On the contrary, none of the IAMs contained in the SR1.5 database could produce a 1.5°C pathway under SSP3-SPA3 assumptions. Preventing elements include, for instance, climate policy fragmentation, limited control of land-use emissions, heavy reliance on fossil fuels, unsustainable consumption and marked inequalities (Rogelj et al., 2018). Dietary aspects of the SSPs are also critical: climate-friendly diets were contained in ‘sustainability’ (SSP1) and meat-intensive diets in SSP3 and SSP5 (Popp et al., 2017). </w:t>
      </w:r>
      <w:r>
        <w:rPr>
          <w:b/>
          <w:bCs/>
          <w:color w:val="00A65D"/>
        </w:rPr>
        <w:t>CDR</w:t>
      </w:r>
      <w:r>
        <w:rPr/>
        <w:t xml:space="preserve"> requirements are reduced under ‘sustainability’ related assumptions (Strefler et al., 2018b). These are major policy-related reasons for why SSP1-SPA1 translates into relatively low mitigation challenges whereas SSP3-SPA3 and SSP5-SPA5 entail futures that pose the highest socio-technical and economic challenges. SSPs/SPAs assumptions indicate that policy-driven pathways that encompass accelerated change away from fossil fuels, large-scale deployment of low-carbon energy supplies, improved energy efficiency and sustainable consumption lifestyles reduce the risks of climate targets becoming unreachable (Clarke et al., 2014; Riahi et al., 2015, 2017; Marangoni et al., 2017; Rogelj et al., 2017, 2018; Strefler et al., 2018b).</w:t>
      </w:r>
    </w:p>
    <w:p>
      <w:pPr>
        <w:pStyle w:val="TextBody"/>
        <w:rPr/>
      </w:pPr>
      <w:r>
        <w:rPr/>
      </w:r>
    </w:p>
    <w:p>
      <w:pPr>
        <w:pStyle w:val="TextBody"/>
        <w:rPr/>
      </w:pPr>
      <w:r>
        <w:rPr/>
        <w:t xml:space="preserve">Policy assumptions that lead to weak or delayed mitigation action from what would be possible in a fully cooperative world strongly influence the achievability of mitigation targets (high confidence) (Luderer et al., 2013; Rogelj et al., 2013b; OECD, 2017; Holz et al., 2018a; Strefler et al., 2018b). Such regimes also include current NDCs (Fawcett et al., 2015; Aldy et al., 2016; Rogelj et al., 2016a, 2017; Hof et al., 2017; van Soest et al., 2017), which have been reported to make achieving a 2°C pathway unattainable without </w:t>
      </w:r>
      <w:r>
        <w:rPr>
          <w:b/>
          <w:bCs/>
          <w:color w:val="00A65D"/>
        </w:rPr>
        <w:t>CDR</w:t>
      </w:r>
      <w:r>
        <w:rPr/>
        <w:t xml:space="preserve"> (Strefler et al., 2018b). Not strengthening NDCs would make it very challenging to keep 1.5°C within reach (see </w:t>
      </w:r>
      <w:r>
        <w:rPr>
          <w:b/>
          <w:bCs/>
          <w:color w:val="CE181E"/>
        </w:rPr>
        <w:t>Section 2.3 and Cross-Chapter Box 11 in Chapter 4</w:t>
      </w:r>
      <w:r>
        <w:rPr/>
        <w:t xml:space="preserve">). One multimodel inter-comparison study (Luderer et al., 2016b, 2018) explored the effects on 1.5°C pathways assuming the implementation of current NDCs until 2030 and stringent reductions thereafter. It finds that delays in globally coordinated actions lead to various models reaching no 1.5°C pathways during the 21st century. Transnational emission reduction initiatives (TERIs) outside the UNFCCC have also been assessed and found to overlap (70–80%) with NDCs and be inadequate to bridge the gap between NDCs and a 2°C pathway (Roelfsema et al., 2018). Weak and fragmented short-term policy efforts use up a large share of the long-term carbon budget before 2030–2050 (Bertram et al., 2015a; van Vuuren et al., 2016) and increase the need for the full portfolio of mitigation measures, including CDR (Clarke et al., 2014; Riahi et al., 2015; Xu and Ramanathan, 2017). Furthermore, fragmented policy scenarios also exhibit ‘carbon leakage’ via energy and capital markets (Arroyo-Currás et al., 2015; Kriegler et al., 2015b). A lack of integrated policy portfolios can increase the risks of trade-offs between mitigation approaches and sustainable development objectives (see </w:t>
      </w:r>
      <w:r>
        <w:rPr>
          <w:b/>
          <w:bCs/>
          <w:color w:val="CE181E"/>
        </w:rPr>
        <w:t>Sections 2.5.3 and 5.4</w:t>
      </w:r>
      <w:r>
        <w:rPr/>
        <w:t xml:space="preserve">). However, more detailed analysis is needed about realistic (less disruptive) policy trajectories until 2030 that can strengthen near-term mitigation action and meaningfully decrease post-2030 challenges (see </w:t>
      </w:r>
      <w:r>
        <w:rPr>
          <w:b/>
          <w:bCs/>
          <w:color w:val="CE181E"/>
        </w:rPr>
        <w:t>Chapter 4, Section 4.4</w:t>
      </w:r>
      <w:r>
        <w:rPr/>
        <w:t>).</w:t>
      </w:r>
    </w:p>
    <w:p>
      <w:pPr>
        <w:pStyle w:val="TextBody"/>
        <w:rPr/>
      </w:pPr>
      <w:r>
        <w:rPr/>
      </w:r>
    </w:p>
    <w:p>
      <w:pPr>
        <w:pStyle w:val="Heading2"/>
        <w:rPr/>
      </w:pPr>
      <w:r>
        <w:rPr/>
        <w:t>2.5.2 Economic and Investment Implications of 1.5°C Pathways</w:t>
      </w:r>
    </w:p>
    <w:p>
      <w:pPr>
        <w:pStyle w:val="Heading2"/>
        <w:rPr/>
      </w:pPr>
      <w:r>
        <w:rPr/>
        <w:t>2.5.2.1 Price of carbon emissions</w:t>
      </w:r>
    </w:p>
    <w:p>
      <w:pPr>
        <w:pStyle w:val="TextBody"/>
        <w:rPr/>
      </w:pPr>
      <w:r>
        <w:rPr/>
        <w:t xml:space="preserve">The wide range of values depends on numerous aspects, including methodologies, projected energy service demands, mitigation targets, fuel prices and technology availability (high confidence) (Clarke et al., 2014; Kriegler et al., 2015b; Rogelj et al., 2015c; Riahi et al., 2017; Stiglitz et al., 2017). The characteristics of the technology portfolio, particularly in terms of investment costs and deployment rates, play a key role (Luderer et al., 2013, 2016a; Clarke et al., 2014; Bertram et al., 2015a; Riahi et al., 2015; Rogelj et al., 2015c). Models that encompass a higher degree of technology granularity and that entail more flexibility regarding mitigation response often produce relatively lower mitigation costs than those that show less flexibility from a technology perspective (Bertram et al., 2015a; Kriegler et al., 2015a). Pathways providing high estimates often have limited flexibility of substituting fossil fuels with low-carbon technologies and the associated need to compensate fossil-fuel emissions with </w:t>
      </w:r>
      <w:r>
        <w:rPr>
          <w:b/>
          <w:bCs/>
          <w:color w:val="00A65D"/>
        </w:rPr>
        <w:t>CDR</w:t>
      </w:r>
      <w:r>
        <w:rPr/>
        <w:t xml:space="preserve">. The price of carbon is also sensitive to the non-availability of </w:t>
      </w:r>
      <w:r>
        <w:rPr>
          <w:b/>
          <w:bCs/>
          <w:color w:val="F58220"/>
        </w:rPr>
        <w:t>BECCS</w:t>
      </w:r>
      <w:r>
        <w:rPr/>
        <w:t xml:space="preserve"> (Bauer et al., 2018). Furthermore, and due to the treatment of future price anticipation, recursive-dynamic modelling approaches (with ‘myopic anticipation’) exhibit higher prices in the short term but modest increases in the long term compared to optimization modelling frameworks with ‘perfect foresight’ that show exponential pricing trajectories (Guivarch and Rogelj, 2017). The chosen social discount rate in CEA studies (range of 2–8% per year in the reported data, varying over time and sectors) can also affect the choice and timing of investments in mitigation measures (Clarke et al., 2014; Kriegler et al., 2015b; Weyant, 2017). However, the impacts of varying discount rates on 1.5°C (and 2°C) mitigation strategies can only be assessed to a limited degree. The above highlights the importance of sampling bias in pathway analysis ensembles towards outcomes derived from models which are more flexible, have more mitigation options and cheaper cost assumptions and thus can provide feasible pathways in contrast to other who are unable to do so (Tavoni and Tol, 2010; Clarke et al., 2014; Bertram et al., 2015a; Kriegler et al., 2015a; Guivarch and Rogelj, 2017). All CEA-based IAM studies reveal no unique path for the price of emissions (Bertram et al., 2015a; Kriegler et al., 2015b; Akimoto et al., 2017; Riahi et al., 2017).</w:t>
      </w:r>
    </w:p>
    <w:p>
      <w:pPr>
        <w:pStyle w:val="TextBody"/>
        <w:rPr/>
      </w:pPr>
      <w:r>
        <w:rPr/>
      </w:r>
    </w:p>
    <w:p>
      <w:pPr>
        <w:pStyle w:val="Heading2"/>
        <w:rPr/>
      </w:pPr>
      <w:r>
        <w:rPr/>
        <w:t>2.5.3 Sustainable Development Features of 1.5°C Pathways</w:t>
      </w:r>
    </w:p>
    <w:p>
      <w:pPr>
        <w:pStyle w:val="TextBody"/>
        <w:rPr/>
      </w:pPr>
      <w:r>
        <w:rPr>
          <w:b/>
          <w:bCs/>
          <w:color w:val="CE181E"/>
        </w:rPr>
        <w:t>Figure 2.28</w:t>
      </w:r>
      <w:r>
        <w:rPr/>
        <w:t xml:space="preserve"> shows how the scale and combination of individual mitigation measures (i.e., their mitigation portfolios) influence the extent of synergies and trade-offs with other societal objectives. All pathways generate multiple synergies with sustainable development dimensions and can advance several other SDGs simultaneously. Some, however, show higher risks for trade-offs. An example is increased biomass production and its potential to increase pressure on land and water resources, food production, and biodiversity and to reduce air quality when combusted inefficiently. At the same time, mitigation actions in energy-demand sectors and behavioural response options with appropriate management of rebound effects can advance multiple SDGs simultaneously, more so than energy supply-side mitigation actions (see </w:t>
      </w:r>
      <w:r>
        <w:rPr>
          <w:b/>
          <w:bCs/>
          <w:color w:val="CE181E"/>
        </w:rPr>
        <w:t>Chapter 5, Section 5.4, Table 5.1 and Figure 5.3</w:t>
      </w:r>
      <w:r>
        <w:rPr/>
        <w:t xml:space="preserve"> for more examples). Of the four pathway archetypes used in this chapter (LED, S1, S2, and S5, referred to as P1, P2, P3, and P4 in the Summary for Policymakers), the S1 and LED pathways show the largest number of synergies and least number of potential trade-offs, while for the S5 pathway more potential trade-offs are identified. In general, pathways with emphasis on demand reductions and policies that incentivize behavioural change, sustainable consumption patterns, healthy diets and relatively low use of </w:t>
      </w:r>
      <w:r>
        <w:rPr>
          <w:b/>
          <w:bCs/>
          <w:color w:val="00A65D"/>
        </w:rPr>
        <w:t>CDR</w:t>
      </w:r>
      <w:r>
        <w:rPr/>
        <w:t xml:space="preserve"> (or only </w:t>
      </w:r>
      <w:r>
        <w:rPr>
          <w:b/>
          <w:bCs/>
          <w:color w:val="0066B3"/>
        </w:rPr>
        <w:t>afforestation</w:t>
      </w:r>
      <w:r>
        <w:rPr/>
        <w:t>) show relatively more synergies with individual SDGs than other pathways.</w:t>
      </w:r>
    </w:p>
    <w:p>
      <w:pPr>
        <w:pStyle w:val="TextBody"/>
        <w:rPr/>
      </w:pPr>
      <w:r>
        <w:rPr/>
      </w:r>
    </w:p>
    <w:p>
      <w:pPr>
        <w:pStyle w:val="Heading1"/>
        <w:rPr/>
      </w:pPr>
      <w:r>
        <w:rPr/>
        <w:t>2.6 Knowledge Gaps</w:t>
      </w:r>
    </w:p>
    <w:p>
      <w:pPr>
        <w:pStyle w:val="Heading2"/>
        <w:rPr/>
      </w:pPr>
      <w:r>
        <w:rPr/>
        <w:t>2.6.3 Carbon Dioxide Removal (CDR)</w:t>
      </w:r>
    </w:p>
    <w:p>
      <w:pPr>
        <w:pStyle w:val="TextBody"/>
        <w:rPr/>
      </w:pPr>
      <w:r>
        <w:rPr/>
        <w:t xml:space="preserve">Most 1.5°C and 2°C pathways are heavily reliant on </w:t>
      </w:r>
      <w:r>
        <w:rPr>
          <w:b/>
          <w:bCs/>
          <w:color w:val="00A65D"/>
        </w:rPr>
        <w:t>CDR</w:t>
      </w:r>
      <w:r>
        <w:rPr/>
        <w:t xml:space="preserve"> at a speculatively large scale before mid-century. There are a number of knowledge gaps associated which such technologies. </w:t>
      </w:r>
      <w:r>
        <w:rPr>
          <w:b/>
          <w:bCs/>
          <w:color w:val="CE181E"/>
        </w:rPr>
        <w:t>Chapter 4</w:t>
      </w:r>
      <w:r>
        <w:rPr/>
        <w:t xml:space="preserve"> performs a detailed assessment of </w:t>
      </w:r>
      <w:r>
        <w:rPr>
          <w:b/>
          <w:bCs/>
          <w:color w:val="00A65D"/>
        </w:rPr>
        <w:t>CDR</w:t>
      </w:r>
      <w:r>
        <w:rPr/>
        <w:t xml:space="preserve"> technologies. </w:t>
      </w:r>
    </w:p>
    <w:p>
      <w:pPr>
        <w:pStyle w:val="TextBody"/>
        <w:rPr/>
      </w:pPr>
      <w:r>
        <w:rPr/>
      </w:r>
    </w:p>
    <w:p>
      <w:pPr>
        <w:pStyle w:val="TextBody"/>
        <w:rPr/>
      </w:pPr>
      <w:r>
        <w:rPr/>
        <w:t>There is uncertainty in the future deployment of CCS given the limited pace of current deployment, the evolution of CCS technology that would be associated with deployment, and the current lack of incentives for large-scale implementation of CCS (</w:t>
      </w:r>
      <w:r>
        <w:rPr>
          <w:b/>
          <w:bCs/>
          <w:color w:val="CE181E"/>
        </w:rPr>
        <w:t>Chapter 4, Section 4.2.7</w:t>
      </w:r>
      <w:r>
        <w:rPr/>
        <w:t xml:space="preserve">). Technologies other than </w:t>
      </w:r>
      <w:r>
        <w:rPr>
          <w:b/>
          <w:bCs/>
          <w:color w:val="F58220"/>
        </w:rPr>
        <w:t>BECCS</w:t>
      </w:r>
      <w:r>
        <w:rPr/>
        <w:t xml:space="preserve"> and </w:t>
      </w:r>
      <w:r>
        <w:rPr>
          <w:b/>
          <w:bCs/>
          <w:color w:val="0066B3"/>
        </w:rPr>
        <w:t>afforestation</w:t>
      </w:r>
      <w:r>
        <w:rPr/>
        <w:t xml:space="preserve"> have yet to be comprehensively assessed in integrated assessment approaches. No proposed technology is close to deployment at scale, and regulatory frameworks are not established. This limits how they can be realistically implemented within IAMs. (</w:t>
      </w:r>
      <w:r>
        <w:rPr>
          <w:b/>
          <w:bCs/>
          <w:color w:val="CE181E"/>
        </w:rPr>
        <w:t>Section 2.3</w:t>
      </w:r>
      <w:r>
        <w:rPr/>
        <w:t>)</w:t>
      </w:r>
    </w:p>
    <w:p>
      <w:pPr>
        <w:pStyle w:val="TextBody"/>
        <w:rPr/>
      </w:pPr>
      <w:r>
        <w:rPr/>
      </w:r>
    </w:p>
    <w:p>
      <w:pPr>
        <w:pStyle w:val="TextBody"/>
        <w:rPr/>
      </w:pPr>
      <w:r>
        <w:rPr/>
        <w:t xml:space="preserve">Evaluating the potential from </w:t>
      </w:r>
      <w:r>
        <w:rPr>
          <w:b/>
          <w:bCs/>
          <w:color w:val="F58220"/>
        </w:rPr>
        <w:t>BECCS</w:t>
      </w:r>
      <w:r>
        <w:rPr/>
        <w:t xml:space="preserve"> is problematic due to large uncertainties in future land projections due to differences in modelling approaches in current land-use models, and these differences are at least as great as the differences attributed to climate scenario variations. (</w:t>
      </w:r>
      <w:r>
        <w:rPr>
          <w:b/>
          <w:bCs/>
          <w:color w:val="CE181E"/>
        </w:rPr>
        <w:t>Section 2.3</w:t>
      </w:r>
      <w:r>
        <w:rPr/>
        <w:t>)</w:t>
      </w:r>
    </w:p>
    <w:p>
      <w:pPr>
        <w:pStyle w:val="TextBody"/>
        <w:rPr/>
      </w:pPr>
      <w:r>
        <w:rPr/>
      </w:r>
    </w:p>
    <w:p>
      <w:pPr>
        <w:pStyle w:val="TextBody"/>
        <w:spacing w:before="0" w:after="140"/>
        <w:rPr/>
      </w:pPr>
      <w:r>
        <w:rPr>
          <w:b w:val="false"/>
          <w:bCs w:val="false"/>
          <w:color w:val="auto"/>
        </w:rPr>
        <w:t xml:space="preserve">There is substantial uncertainty about the adverse effects of large-scale </w:t>
      </w:r>
      <w:r>
        <w:rPr>
          <w:b/>
          <w:bCs/>
          <w:color w:val="00A65D"/>
        </w:rPr>
        <w:t>CDR</w:t>
      </w:r>
      <w:r>
        <w:rPr>
          <w:b w:val="false"/>
          <w:bCs w:val="false"/>
          <w:color w:val="auto"/>
        </w:rPr>
        <w:t xml:space="preserve"> deployment on the environment and societal sustainable development goals. It is not fully understood how land-use and land-management choices for large-scale </w:t>
      </w:r>
      <w:r>
        <w:rPr>
          <w:b/>
          <w:bCs/>
          <w:color w:val="F58220"/>
        </w:rPr>
        <w:t>BECCS</w:t>
      </w:r>
      <w:r>
        <w:rPr>
          <w:b w:val="false"/>
          <w:bCs w:val="false"/>
          <w:color w:val="auto"/>
        </w:rPr>
        <w:t xml:space="preserve"> will affect various ecosystem services and sustainable development, and how they further translate into indirect impacts on climate, including GHG emissions other than CO 2 . (</w:t>
      </w:r>
      <w:r>
        <w:rPr>
          <w:b/>
          <w:bCs/>
          <w:color w:val="CE181E"/>
        </w:rPr>
        <w:t>Section 2.3, Section 2.5.3</w:t>
      </w:r>
      <w:r>
        <w:rPr>
          <w:b w:val="false"/>
          <w:bCs w:val="false"/>
          <w:color w:val="auto"/>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mbria">
    <w:charset w:val="01"/>
    <w:family w:val="roman"/>
    <w:pitch w:val="variable"/>
  </w:font>
  <w:font w:name="Calibri">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qFormat/>
    <w:pPr>
      <w:keepNext w:val="true"/>
      <w:keepLines/>
      <w:spacing w:before="480" w:after="0"/>
      <w:outlineLvl w:val="0"/>
    </w:pPr>
    <w:rPr>
      <w:rFonts w:eastAsia="" w:cs="" w:asciiTheme="majorHAnsi" w:cstheme="majorBidi" w:eastAsiaTheme="majorEastAsia" w:hAnsiTheme="majorHAnsi"/>
      <w:b/>
      <w:bCs/>
      <w:color w:val="365F91" w:themeColor="accent1" w:themeShade="bf"/>
      <w:sz w:val="28"/>
      <w:szCs w:val="28"/>
    </w:rPr>
  </w:style>
  <w:style w:type="paragraph" w:styleId="Heading2">
    <w:name w:val="Heading 2"/>
    <w:basedOn w:val="Normal"/>
    <w:qFormat/>
    <w:pPr>
      <w:keepNext w:val="true"/>
      <w:keepLines/>
      <w:spacing w:before="200" w:after="0"/>
      <w:outlineLvl w:val="1"/>
    </w:pPr>
    <w:rPr>
      <w:rFonts w:eastAsia="" w:cs="" w:asciiTheme="majorHAnsi" w:cstheme="majorBidi" w:eastAsiaTheme="majorEastAsia" w:hAnsiTheme="majorHAnsi"/>
      <w:b/>
      <w:bCs/>
      <w:color w:val="4F81BD" w:themeColor="accent1"/>
      <w:sz w:val="26"/>
      <w:szCs w:val="26"/>
    </w:rPr>
  </w:style>
  <w:style w:type="paragraph" w:styleId="Heading3">
    <w:name w:val="Heading 3"/>
    <w:basedOn w:val="Normal"/>
    <w:qFormat/>
    <w:pPr>
      <w:keepNext w:val="true"/>
      <w:keepLines/>
      <w:spacing w:before="200" w:after="0"/>
      <w:outlineLvl w:val="2"/>
    </w:pPr>
    <w:rPr>
      <w:rFonts w:eastAsia="" w:cs="" w:asciiTheme="majorHAnsi" w:cstheme="majorBidi" w:eastAsiaTheme="majorEastAsia" w:hAnsiTheme="majorHAnsi"/>
      <w:b/>
      <w:bCs/>
      <w:color w:val="4F81BD" w:themeColor="accent1"/>
    </w:rPr>
  </w:style>
  <w:style w:type="character" w:styleId="DefaultParagraphFont">
    <w:name w:val="Default Paragraph Font"/>
    <w:qFormat/>
    <w:rPr/>
  </w:style>
  <w:style w:type="character" w:styleId="Berschrift1Zchn">
    <w:name w:val="Überschrift 1 Zchn"/>
    <w:basedOn w:val="DefaultParagraphFont"/>
    <w:qFormat/>
    <w:rPr>
      <w:rFonts w:eastAsia="" w:cs="" w:asciiTheme="majorHAnsi" w:cstheme="majorBidi" w:eastAsiaTheme="majorEastAsia" w:hAnsiTheme="majorHAnsi"/>
      <w:b/>
      <w:bCs/>
      <w:color w:val="365F91" w:themeColor="accent1" w:themeShade="bf"/>
      <w:sz w:val="28"/>
      <w:szCs w:val="28"/>
    </w:rPr>
  </w:style>
  <w:style w:type="character" w:styleId="Bullets">
    <w:name w:val="Bullet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71">
    <w:name w:val="ListLabel 71"/>
    <w:qFormat/>
    <w:rPr>
      <w:rFonts w:cs="Calibri"/>
      <w:i/>
      <w:color w:val="1155CC"/>
      <w:u w:val="single"/>
    </w:rPr>
  </w:style>
  <w:style w:type="character" w:styleId="InternetLink">
    <w:name w:val="Internet Link"/>
    <w:rPr>
      <w:color w:val="000080"/>
      <w:u w:val="single"/>
      <w:lang w:val="zxx" w:eastAsia="zxx" w:bidi="zxx"/>
    </w:rPr>
  </w:style>
  <w:style w:type="character" w:styleId="ListLabel80">
    <w:name w:val="ListLabel 80"/>
    <w:qFormat/>
    <w:rPr>
      <w:rFonts w:cs="Calibri"/>
      <w:i/>
      <w:color w:val="1155CC"/>
      <w:u w:val="single"/>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Calibri"/>
      <w:i/>
      <w:color w:val="1155CC"/>
      <w:u w:val="single"/>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Spacing">
    <w:name w:val="No Spacing"/>
    <w:qFormat/>
    <w:pPr>
      <w:widowControl/>
      <w:bidi w:val="0"/>
      <w:jc w:val="left"/>
    </w:pPr>
    <w:rPr>
      <w:rFonts w:ascii="Liberation Serif" w:hAnsi="Liberation Serif" w:eastAsia="Noto Sans CJK SC Regular" w:cs="Lohit Devanagari"/>
      <w:color w:val="auto"/>
      <w:kern w:val="2"/>
      <w:sz w:val="24"/>
      <w:szCs w:val="24"/>
      <w:lang w:val="en-GB"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Title">
    <w:name w:val="Title"/>
    <w:basedOn w:val="Normal"/>
    <w:qFormat/>
    <w:pPr>
      <w:pBdr>
        <w:bottom w:val="single" w:sz="8" w:space="4" w:color="4F81BD"/>
      </w:pBdr>
      <w:spacing w:lineRule="auto" w:line="240" w:before="0" w:after="300"/>
      <w:contextualSpacing/>
    </w:pPr>
    <w:rPr>
      <w:rFonts w:ascii="Cambria" w:hAnsi="Cambria" w:eastAsia="Calibri" w:cs="DejaVu Sans"/>
      <w:color w:val="17365D"/>
      <w:spacing w:val="5"/>
      <w:sz w:val="52"/>
      <w:szCs w:val="52"/>
    </w:rPr>
  </w:style>
  <w:style w:type="paragraph" w:styleId="Subtitle">
    <w:name w:val="Subtitle"/>
    <w:basedOn w:val="Normal"/>
    <w:qFormat/>
    <w:pPr/>
    <w:rPr>
      <w:rFonts w:ascii="Cambria" w:hAnsi="Cambria" w:eastAsia="Calibri" w:cs="DejaVu Sans"/>
      <w:i/>
      <w:iCs/>
      <w:color w:val="4F81BD"/>
      <w:spacing w:val="15"/>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ilaire@mcc-berlin.ne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1430</TotalTime>
  <Application>LibreOffice/6.0.7.3$Linux_X86_64 LibreOffice_project/00m0$Build-3</Application>
  <Pages>45</Pages>
  <Words>22000</Words>
  <Characters>122002</Characters>
  <CharactersWithSpaces>143251</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2019-03-18T13:12:58Z</dcterms:created>
  <dc:creator/>
  <dc:description/>
  <dc:language>en-GB</dc:language>
  <cp:lastModifiedBy/>
  <dcterms:modified xsi:type="dcterms:W3CDTF">2019-05-03T13:52:38Z</dcterms:modified>
  <cp:revision>9</cp:revision>
  <dc:subject/>
  <dc:title/>
</cp:coreProperties>
</file>