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D88" w:rsidRPr="0003272C" w:rsidRDefault="00B96D88" w:rsidP="00B96D88">
      <w:pPr>
        <w:pStyle w:val="Heading1"/>
        <w:rPr>
          <w:b/>
        </w:rPr>
      </w:pPr>
      <w:r w:rsidRPr="0003272C">
        <w:rPr>
          <w:b/>
        </w:rPr>
        <w:t>Quantifying Mitigation Deterrence: Supplementary material</w:t>
      </w:r>
    </w:p>
    <w:p w:rsidR="00B96D88" w:rsidRDefault="00B96D88" w:rsidP="00B96D88">
      <w:pPr>
        <w:pStyle w:val="Heading3"/>
      </w:pPr>
    </w:p>
    <w:p w:rsidR="00B96D88" w:rsidRDefault="00B96D88" w:rsidP="00B96D88">
      <w:pPr>
        <w:pStyle w:val="Heading3"/>
      </w:pPr>
      <w:r>
        <w:t>Methodology and background calculations</w:t>
      </w:r>
    </w:p>
    <w:p w:rsidR="00B96D88" w:rsidRDefault="00B96D88" w:rsidP="00B96D88">
      <w:r>
        <w:t>This Supplementary material details the methodology and the background calculations required to estimate mitigation deterrence from GGRs. The paper</w:t>
      </w:r>
      <w:r w:rsidRPr="00693AA3">
        <w:t xml:space="preserve"> seek</w:t>
      </w:r>
      <w:r>
        <w:t>s</w:t>
      </w:r>
      <w:r w:rsidRPr="00693AA3">
        <w:t xml:space="preserve"> primarily to quantify the potential scale of mitigation deterrence, not to quantify the likelihood of its incidence. To do th</w:t>
      </w:r>
      <w:r>
        <w:t>is</w:t>
      </w:r>
      <w:r w:rsidRPr="00693AA3">
        <w:t xml:space="preserve"> </w:t>
      </w:r>
      <w:r>
        <w:t>it</w:t>
      </w:r>
      <w:r w:rsidRPr="00693AA3">
        <w:t xml:space="preserve"> make</w:t>
      </w:r>
      <w:r>
        <w:t>s</w:t>
      </w:r>
      <w:r w:rsidRPr="00693AA3">
        <w:t xml:space="preserve"> use of figures produced from published and peer-reviewed carbon budget analysis and integrated assessment modelling. Where possible estimates </w:t>
      </w:r>
      <w:r>
        <w:t xml:space="preserve">are based </w:t>
      </w:r>
      <w:r w:rsidRPr="00693AA3">
        <w:t xml:space="preserve">on the synthesis figures published in SR1.5 </w:t>
      </w:r>
      <w:r w:rsidRPr="00693AA3">
        <w:fldChar w:fldCharType="begin"/>
      </w:r>
      <w:r w:rsidRPr="00693AA3">
        <w:instrText xml:space="preserve"> ADDIN EN.CITE &lt;EndNote&gt;&lt;Cite&gt;&lt;Author&gt;IPCC&lt;/Author&gt;&lt;Year&gt;2018&lt;/Year&gt;&lt;RecNum&gt;365&lt;/RecNum&gt;&lt;DisplayText&gt;(IPCC 2018)&lt;/DisplayText&gt;&lt;record&gt;&lt;rec-number&gt;365&lt;/rec-number&gt;&lt;foreign-keys&gt;&lt;key app="EN" db-id="0zzad9fw8a059ze5xpfpd5zfdxt92t9a9fps" timestamp="1543580416"&gt;365&lt;/key&gt;&lt;/foreign-keys&gt;&lt;ref-type name="Government Document"&gt;46&lt;/ref-type&gt;&lt;contributors&gt;&lt;authors&gt;&lt;author&gt;IPCC&lt;/author&gt;&lt;/authors&gt;&lt;/contributors&gt;&lt;titles&gt;&lt;title&gt;&lt;style face="normal" font="default" size="100%"&gt;Global Warming of 1.5&lt;/style&gt;&lt;style face="superscript" font="default" size="100%"&gt;o&lt;/style&gt;&lt;style face="normal" font="default" size="100%"&gt;C&lt;/style&gt;&lt;/title&gt;&lt;/titles&gt;&lt;dates&gt;&lt;year&gt;2018&lt;/year&gt;&lt;/dates&gt;&lt;pub-location&gt;Switzerland&lt;/pub-location&gt;&lt;publisher&gt;Intergovernmental Panel on Climate Change&lt;/publisher&gt;&lt;urls&gt;&lt;/urls&gt;&lt;/record&gt;&lt;/Cite&gt;&lt;/EndNote&gt;</w:instrText>
      </w:r>
      <w:r w:rsidRPr="00693AA3">
        <w:fldChar w:fldCharType="separate"/>
      </w:r>
      <w:r w:rsidRPr="00693AA3">
        <w:rPr>
          <w:noProof/>
        </w:rPr>
        <w:t>(</w:t>
      </w:r>
      <w:hyperlink w:anchor="_ENREF_7" w:tooltip="IPCC, 2018 #365" w:history="1">
        <w:r w:rsidRPr="00693AA3">
          <w:rPr>
            <w:noProof/>
          </w:rPr>
          <w:t>IPCC 2018</w:t>
        </w:r>
      </w:hyperlink>
      <w:r w:rsidRPr="00693AA3">
        <w:rPr>
          <w:noProof/>
        </w:rPr>
        <w:t>)</w:t>
      </w:r>
      <w:r w:rsidRPr="00693AA3">
        <w:fldChar w:fldCharType="end"/>
      </w:r>
      <w:r w:rsidRPr="00693AA3">
        <w:t>.</w:t>
      </w:r>
    </w:p>
    <w:p w:rsidR="00B96D88" w:rsidRDefault="00B96D88" w:rsidP="00B96D88"/>
    <w:p w:rsidR="00B96D88" w:rsidRDefault="00B96D88" w:rsidP="00B96D88">
      <w:r>
        <w:t>Supplementary Table 1 summarises the estimates, derivations and sources described below</w:t>
      </w:r>
      <w:r>
        <w:t xml:space="preserve"> (see next page)</w:t>
      </w:r>
      <w:r>
        <w:t>.</w:t>
      </w:r>
    </w:p>
    <w:p w:rsidR="00B96D88" w:rsidRDefault="00B96D88" w:rsidP="00B96D88"/>
    <w:p w:rsidR="00B96D88" w:rsidRDefault="00B96D88" w:rsidP="00B96D88">
      <w:r>
        <w:t>The remaining material presents the methodology and background calculations for each type of mitigation deterrence (MD) in turn.</w:t>
      </w:r>
    </w:p>
    <w:p w:rsidR="00B96D88" w:rsidRPr="00B648C7" w:rsidRDefault="00B96D88" w:rsidP="00B96D88">
      <w:pPr>
        <w:rPr>
          <w:b/>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Default="00B96D88" w:rsidP="00B96D88">
      <w:pPr>
        <w:rPr>
          <w:b/>
          <w:sz w:val="28"/>
          <w:szCs w:val="28"/>
        </w:rPr>
      </w:pPr>
    </w:p>
    <w:p w:rsidR="00B96D88" w:rsidRPr="00B96D88" w:rsidRDefault="00B96D88" w:rsidP="00B96D88">
      <w:pPr>
        <w:rPr>
          <w:i/>
          <w:sz w:val="24"/>
          <w:szCs w:val="24"/>
        </w:rPr>
      </w:pPr>
      <w:bookmarkStart w:id="0" w:name="_GoBack"/>
      <w:bookmarkEnd w:id="0"/>
      <w:r w:rsidRPr="00B96D88">
        <w:rPr>
          <w:i/>
          <w:sz w:val="24"/>
          <w:szCs w:val="24"/>
        </w:rPr>
        <w:t>Space intentionally blank: Supplementary Table 1 follows overleaf</w:t>
      </w:r>
      <w:r w:rsidRPr="00B96D88">
        <w:rPr>
          <w:i/>
          <w:sz w:val="24"/>
          <w:szCs w:val="24"/>
        </w:rPr>
        <w:br w:type="page"/>
      </w:r>
    </w:p>
    <w:p w:rsidR="00B96D88" w:rsidRDefault="00B96D88" w:rsidP="00B96D88">
      <w:pPr>
        <w:rPr>
          <w:b/>
          <w:sz w:val="28"/>
          <w:szCs w:val="28"/>
        </w:rPr>
      </w:pPr>
      <w:r>
        <w:rPr>
          <w:b/>
          <w:sz w:val="28"/>
          <w:szCs w:val="28"/>
        </w:rPr>
        <w:lastRenderedPageBreak/>
        <w:t>Supplementary t</w:t>
      </w:r>
      <w:r w:rsidRPr="00CB76A7">
        <w:rPr>
          <w:b/>
          <w:sz w:val="28"/>
          <w:szCs w:val="28"/>
        </w:rPr>
        <w:t xml:space="preserve">able 1: </w:t>
      </w:r>
      <w:r>
        <w:rPr>
          <w:b/>
          <w:sz w:val="28"/>
          <w:szCs w:val="28"/>
        </w:rPr>
        <w:t>The m</w:t>
      </w:r>
      <w:r w:rsidRPr="00CB76A7">
        <w:rPr>
          <w:b/>
          <w:sz w:val="28"/>
          <w:szCs w:val="28"/>
        </w:rPr>
        <w:t>ethodology</w:t>
      </w:r>
      <w:r>
        <w:rPr>
          <w:b/>
          <w:sz w:val="28"/>
          <w:szCs w:val="28"/>
        </w:rPr>
        <w:t xml:space="preserve">, estimates </w:t>
      </w:r>
      <w:r w:rsidRPr="00CB76A7">
        <w:rPr>
          <w:b/>
          <w:sz w:val="28"/>
          <w:szCs w:val="28"/>
        </w:rPr>
        <w:t xml:space="preserve">and </w:t>
      </w:r>
      <w:r>
        <w:rPr>
          <w:b/>
          <w:sz w:val="28"/>
          <w:szCs w:val="28"/>
        </w:rPr>
        <w:t>data s</w:t>
      </w:r>
      <w:r w:rsidRPr="00CB76A7">
        <w:rPr>
          <w:b/>
          <w:sz w:val="28"/>
          <w:szCs w:val="28"/>
        </w:rPr>
        <w:t>ources</w:t>
      </w:r>
      <w:r>
        <w:rPr>
          <w:b/>
          <w:sz w:val="28"/>
          <w:szCs w:val="28"/>
        </w:rPr>
        <w:t xml:space="preserve"> used for Type 1, 2 and 3 mitigation deterrence</w:t>
      </w:r>
    </w:p>
    <w:p w:rsidR="00B96D88" w:rsidRPr="00CB76A7" w:rsidRDefault="00B96D88" w:rsidP="00B96D88">
      <w:pPr>
        <w:rPr>
          <w:b/>
          <w:sz w:val="28"/>
          <w:szCs w:val="28"/>
        </w:rPr>
      </w:pPr>
      <w:r>
        <w:rPr>
          <w:b/>
          <w:sz w:val="28"/>
          <w:szCs w:val="28"/>
        </w:rPr>
        <w:t xml:space="preserve"> </w:t>
      </w:r>
      <w:r w:rsidRPr="00CB76A7">
        <w:rPr>
          <w:b/>
          <w:sz w:val="28"/>
          <w:szCs w:val="28"/>
        </w:rPr>
        <w:t xml:space="preserve"> </w:t>
      </w:r>
      <w:r>
        <w:rPr>
          <w:b/>
          <w:sz w:val="28"/>
          <w:szCs w:val="28"/>
        </w:rPr>
        <w:tab/>
      </w:r>
    </w:p>
    <w:tbl>
      <w:tblPr>
        <w:tblStyle w:val="TableGrid"/>
        <w:tblW w:w="9918" w:type="dxa"/>
        <w:tblLayout w:type="fixed"/>
        <w:tblLook w:val="04A0" w:firstRow="1" w:lastRow="0" w:firstColumn="1" w:lastColumn="0" w:noHBand="0" w:noVBand="1"/>
      </w:tblPr>
      <w:tblGrid>
        <w:gridCol w:w="1271"/>
        <w:gridCol w:w="3544"/>
        <w:gridCol w:w="1134"/>
        <w:gridCol w:w="3969"/>
      </w:tblGrid>
      <w:tr w:rsidR="00B96D88" w:rsidRPr="002D507A" w:rsidTr="00104B6B">
        <w:tc>
          <w:tcPr>
            <w:tcW w:w="1271" w:type="dxa"/>
          </w:tcPr>
          <w:p w:rsidR="00B96D88" w:rsidRPr="002D507A" w:rsidRDefault="00B96D88" w:rsidP="00104B6B">
            <w:pPr>
              <w:rPr>
                <w:b/>
              </w:rPr>
            </w:pPr>
            <w:r w:rsidRPr="002D507A">
              <w:rPr>
                <w:b/>
              </w:rPr>
              <w:t>Identity</w:t>
            </w:r>
          </w:p>
        </w:tc>
        <w:tc>
          <w:tcPr>
            <w:tcW w:w="3544" w:type="dxa"/>
          </w:tcPr>
          <w:p w:rsidR="00B96D88" w:rsidRPr="002D507A" w:rsidRDefault="00B96D88" w:rsidP="00104B6B">
            <w:pPr>
              <w:rPr>
                <w:b/>
              </w:rPr>
            </w:pPr>
            <w:r w:rsidRPr="002D507A">
              <w:rPr>
                <w:b/>
              </w:rPr>
              <w:t>Description</w:t>
            </w:r>
          </w:p>
        </w:tc>
        <w:tc>
          <w:tcPr>
            <w:tcW w:w="1134" w:type="dxa"/>
          </w:tcPr>
          <w:p w:rsidR="00B96D88" w:rsidRPr="002D507A" w:rsidRDefault="00B96D88" w:rsidP="00104B6B">
            <w:pPr>
              <w:rPr>
                <w:b/>
              </w:rPr>
            </w:pPr>
            <w:r w:rsidRPr="002D507A">
              <w:rPr>
                <w:b/>
              </w:rPr>
              <w:t xml:space="preserve">Estimate </w:t>
            </w:r>
            <w:r w:rsidRPr="002D507A">
              <w:rPr>
                <w:b/>
              </w:rPr>
              <w:br/>
              <w:t>(Gt-C)</w:t>
            </w:r>
          </w:p>
        </w:tc>
        <w:tc>
          <w:tcPr>
            <w:tcW w:w="3969" w:type="dxa"/>
          </w:tcPr>
          <w:p w:rsidR="00B96D88" w:rsidRPr="002D507A" w:rsidRDefault="00B96D88" w:rsidP="00104B6B">
            <w:pPr>
              <w:rPr>
                <w:b/>
              </w:rPr>
            </w:pPr>
            <w:r w:rsidRPr="002D507A">
              <w:rPr>
                <w:b/>
              </w:rPr>
              <w:t>Method or Source(s)</w:t>
            </w:r>
          </w:p>
        </w:tc>
      </w:tr>
      <w:tr w:rsidR="00B96D88" w:rsidRPr="002D507A" w:rsidTr="00104B6B">
        <w:tc>
          <w:tcPr>
            <w:tcW w:w="1271" w:type="dxa"/>
            <w:shd w:val="clear" w:color="auto" w:fill="A5A5A5" w:themeFill="accent3"/>
          </w:tcPr>
          <w:p w:rsidR="00B96D88" w:rsidRPr="002D507A" w:rsidRDefault="00B96D88" w:rsidP="00104B6B">
            <w:pPr>
              <w:rPr>
                <w:vertAlign w:val="subscript"/>
              </w:rPr>
            </w:pPr>
            <w:proofErr w:type="spellStart"/>
            <w:r w:rsidRPr="002D507A">
              <w:t>MD</w:t>
            </w:r>
            <w:r w:rsidRPr="002D507A">
              <w:rPr>
                <w:vertAlign w:val="subscript"/>
              </w:rPr>
              <w:t>total</w:t>
            </w:r>
            <w:proofErr w:type="spellEnd"/>
            <w:r w:rsidRPr="002D507A">
              <w:rPr>
                <w:vertAlign w:val="subscript"/>
              </w:rPr>
              <w:t xml:space="preserve"> </w:t>
            </w:r>
          </w:p>
        </w:tc>
        <w:tc>
          <w:tcPr>
            <w:tcW w:w="3544" w:type="dxa"/>
            <w:shd w:val="clear" w:color="auto" w:fill="A5A5A5" w:themeFill="accent3"/>
          </w:tcPr>
          <w:p w:rsidR="00B96D88" w:rsidRPr="002D507A" w:rsidRDefault="00B96D88" w:rsidP="00104B6B">
            <w:pPr>
              <w:rPr>
                <w:sz w:val="20"/>
                <w:szCs w:val="20"/>
              </w:rPr>
            </w:pPr>
            <w:r w:rsidRPr="002D507A">
              <w:rPr>
                <w:sz w:val="20"/>
                <w:szCs w:val="20"/>
              </w:rPr>
              <w:t>Total carbon at risk from mitigation deterrence</w:t>
            </w:r>
          </w:p>
        </w:tc>
        <w:tc>
          <w:tcPr>
            <w:tcW w:w="1134" w:type="dxa"/>
            <w:shd w:val="clear" w:color="auto" w:fill="A5A5A5" w:themeFill="accent3"/>
          </w:tcPr>
          <w:p w:rsidR="00B96D88" w:rsidRPr="002D507A" w:rsidRDefault="00B96D88" w:rsidP="00104B6B">
            <w:pPr>
              <w:rPr>
                <w:sz w:val="20"/>
                <w:szCs w:val="20"/>
              </w:rPr>
            </w:pPr>
            <w:r w:rsidRPr="002D507A">
              <w:rPr>
                <w:sz w:val="20"/>
                <w:szCs w:val="20"/>
              </w:rPr>
              <w:t>213-780</w:t>
            </w:r>
          </w:p>
        </w:tc>
        <w:tc>
          <w:tcPr>
            <w:tcW w:w="3969" w:type="dxa"/>
            <w:shd w:val="clear" w:color="auto" w:fill="A5A5A5" w:themeFill="accent3"/>
          </w:tcPr>
          <w:p w:rsidR="00B96D88" w:rsidRPr="002D507A" w:rsidRDefault="00B96D88" w:rsidP="00104B6B">
            <w:pPr>
              <w:rPr>
                <w:sz w:val="20"/>
                <w:szCs w:val="20"/>
                <w:vertAlign w:val="subscript"/>
              </w:rPr>
            </w:pPr>
            <w:r w:rsidRPr="002D507A">
              <w:rPr>
                <w:sz w:val="20"/>
                <w:szCs w:val="20"/>
              </w:rPr>
              <w:t>MD</w:t>
            </w:r>
            <w:r w:rsidRPr="002D507A">
              <w:rPr>
                <w:sz w:val="20"/>
                <w:szCs w:val="20"/>
                <w:vertAlign w:val="subscript"/>
              </w:rPr>
              <w:t xml:space="preserve">1 </w:t>
            </w:r>
            <w:r w:rsidRPr="002D507A">
              <w:rPr>
                <w:sz w:val="20"/>
                <w:szCs w:val="20"/>
              </w:rPr>
              <w:t>+ MD</w:t>
            </w:r>
            <w:r w:rsidRPr="002D507A">
              <w:rPr>
                <w:sz w:val="20"/>
                <w:szCs w:val="20"/>
                <w:vertAlign w:val="subscript"/>
              </w:rPr>
              <w:t xml:space="preserve">2 </w:t>
            </w:r>
            <w:r w:rsidRPr="002D507A">
              <w:rPr>
                <w:sz w:val="20"/>
                <w:szCs w:val="20"/>
              </w:rPr>
              <w:t>+ MD</w:t>
            </w:r>
            <w:r w:rsidRPr="002D507A">
              <w:rPr>
                <w:sz w:val="20"/>
                <w:szCs w:val="20"/>
                <w:vertAlign w:val="subscript"/>
              </w:rPr>
              <w:t xml:space="preserve">3 </w:t>
            </w:r>
          </w:p>
          <w:p w:rsidR="00B96D88" w:rsidRPr="002D507A" w:rsidRDefault="00B96D88" w:rsidP="00104B6B">
            <w:pPr>
              <w:rPr>
                <w:sz w:val="20"/>
                <w:szCs w:val="20"/>
              </w:rPr>
            </w:pPr>
            <w:r w:rsidRPr="002D507A">
              <w:rPr>
                <w:sz w:val="20"/>
                <w:szCs w:val="20"/>
              </w:rPr>
              <w:t xml:space="preserve">(using </w:t>
            </w:r>
            <w:proofErr w:type="spellStart"/>
            <w:r w:rsidRPr="002D507A">
              <w:rPr>
                <w:sz w:val="20"/>
                <w:szCs w:val="20"/>
              </w:rPr>
              <w:t>GGR</w:t>
            </w:r>
            <w:r w:rsidRPr="002D507A">
              <w:rPr>
                <w:sz w:val="20"/>
                <w:szCs w:val="20"/>
                <w:vertAlign w:val="subscript"/>
              </w:rPr>
              <w:t>dac</w:t>
            </w:r>
            <w:proofErr w:type="spellEnd"/>
            <w:r w:rsidRPr="002D507A">
              <w:rPr>
                <w:sz w:val="20"/>
                <w:szCs w:val="20"/>
              </w:rPr>
              <w:t xml:space="preserve"> this rises to 278-812 Gt-C)</w:t>
            </w:r>
          </w:p>
        </w:tc>
      </w:tr>
      <w:tr w:rsidR="00B96D88" w:rsidRPr="002D507A" w:rsidTr="00104B6B">
        <w:tc>
          <w:tcPr>
            <w:tcW w:w="1271" w:type="dxa"/>
            <w:shd w:val="clear" w:color="auto" w:fill="E7E6E6" w:themeFill="background2"/>
          </w:tcPr>
          <w:p w:rsidR="00B96D88" w:rsidRPr="002D507A" w:rsidRDefault="00B96D88" w:rsidP="00104B6B">
            <w:pPr>
              <w:rPr>
                <w:b/>
              </w:rPr>
            </w:pPr>
            <w:r w:rsidRPr="002D507A">
              <w:rPr>
                <w:b/>
              </w:rPr>
              <w:t>MD</w:t>
            </w:r>
            <w:r w:rsidRPr="002D507A">
              <w:rPr>
                <w:b/>
                <w:vertAlign w:val="subscript"/>
              </w:rPr>
              <w:t>1</w:t>
            </w:r>
          </w:p>
        </w:tc>
        <w:tc>
          <w:tcPr>
            <w:tcW w:w="3544" w:type="dxa"/>
            <w:shd w:val="clear" w:color="auto" w:fill="E7E6E6" w:themeFill="background2"/>
          </w:tcPr>
          <w:p w:rsidR="00B96D88" w:rsidRPr="002D507A" w:rsidRDefault="00B96D88" w:rsidP="00104B6B">
            <w:pPr>
              <w:rPr>
                <w:sz w:val="20"/>
                <w:szCs w:val="20"/>
              </w:rPr>
            </w:pPr>
            <w:r w:rsidRPr="002D507A">
              <w:rPr>
                <w:sz w:val="20"/>
                <w:szCs w:val="20"/>
              </w:rPr>
              <w:t xml:space="preserve">Type 1 mitigation deterrence at risk (substitution and failure) </w:t>
            </w:r>
          </w:p>
        </w:tc>
        <w:tc>
          <w:tcPr>
            <w:tcW w:w="1134" w:type="dxa"/>
            <w:shd w:val="clear" w:color="auto" w:fill="E7E6E6" w:themeFill="background2"/>
          </w:tcPr>
          <w:p w:rsidR="00B96D88" w:rsidRPr="002D507A" w:rsidRDefault="00B96D88" w:rsidP="00104B6B">
            <w:pPr>
              <w:rPr>
                <w:b/>
                <w:bCs/>
                <w:sz w:val="20"/>
                <w:szCs w:val="20"/>
              </w:rPr>
            </w:pPr>
            <w:r w:rsidRPr="002D507A">
              <w:rPr>
                <w:b/>
                <w:bCs/>
                <w:sz w:val="20"/>
                <w:szCs w:val="20"/>
              </w:rPr>
              <w:t>50-197</w:t>
            </w:r>
          </w:p>
        </w:tc>
        <w:tc>
          <w:tcPr>
            <w:tcW w:w="3969" w:type="dxa"/>
            <w:shd w:val="clear" w:color="auto" w:fill="E7E6E6" w:themeFill="background2"/>
          </w:tcPr>
          <w:p w:rsidR="00B96D88" w:rsidRPr="002D507A" w:rsidRDefault="00B96D88" w:rsidP="00104B6B">
            <w:pPr>
              <w:rPr>
                <w:sz w:val="20"/>
                <w:szCs w:val="20"/>
              </w:rPr>
            </w:pPr>
            <w:r w:rsidRPr="002D507A">
              <w:rPr>
                <w:sz w:val="20"/>
                <w:szCs w:val="20"/>
              </w:rPr>
              <w:t xml:space="preserve">MD1 = </w:t>
            </w:r>
            <w:proofErr w:type="spellStart"/>
            <w:r w:rsidRPr="002D507A">
              <w:rPr>
                <w:sz w:val="20"/>
                <w:szCs w:val="20"/>
              </w:rPr>
              <w:t>GGR</w:t>
            </w:r>
            <w:r w:rsidRPr="002D507A">
              <w:rPr>
                <w:sz w:val="20"/>
                <w:szCs w:val="20"/>
                <w:vertAlign w:val="subscript"/>
              </w:rPr>
              <w:t>sub</w:t>
            </w:r>
            <w:proofErr w:type="spellEnd"/>
            <w:r w:rsidRPr="002D507A">
              <w:rPr>
                <w:sz w:val="20"/>
                <w:szCs w:val="20"/>
              </w:rPr>
              <w:t xml:space="preserve"> (using </w:t>
            </w:r>
            <w:proofErr w:type="spellStart"/>
            <w:r w:rsidRPr="002D507A">
              <w:rPr>
                <w:sz w:val="20"/>
                <w:szCs w:val="20"/>
              </w:rPr>
              <w:t>GGR</w:t>
            </w:r>
            <w:r w:rsidRPr="002D507A">
              <w:rPr>
                <w:sz w:val="20"/>
                <w:szCs w:val="20"/>
                <w:vertAlign w:val="subscript"/>
              </w:rPr>
              <w:t>dac</w:t>
            </w:r>
            <w:proofErr w:type="spellEnd"/>
            <w:r w:rsidRPr="002D507A">
              <w:rPr>
                <w:sz w:val="20"/>
                <w:szCs w:val="20"/>
              </w:rPr>
              <w:t xml:space="preserve"> rather than </w:t>
            </w:r>
            <w:proofErr w:type="spellStart"/>
            <w:r w:rsidRPr="002D507A">
              <w:rPr>
                <w:sz w:val="20"/>
                <w:szCs w:val="20"/>
              </w:rPr>
              <w:t>GGR</w:t>
            </w:r>
            <w:r w:rsidRPr="002D507A">
              <w:rPr>
                <w:sz w:val="20"/>
                <w:szCs w:val="20"/>
                <w:vertAlign w:val="subscript"/>
              </w:rPr>
              <w:t>req</w:t>
            </w:r>
            <w:proofErr w:type="spellEnd"/>
            <w:r w:rsidRPr="002D507A">
              <w:rPr>
                <w:sz w:val="20"/>
                <w:szCs w:val="20"/>
              </w:rPr>
              <w:t xml:space="preserve"> to calculate </w:t>
            </w:r>
            <w:proofErr w:type="spellStart"/>
            <w:r w:rsidRPr="002D507A">
              <w:rPr>
                <w:sz w:val="20"/>
                <w:szCs w:val="20"/>
              </w:rPr>
              <w:t>GGR</w:t>
            </w:r>
            <w:r w:rsidRPr="002D507A">
              <w:rPr>
                <w:sz w:val="20"/>
                <w:szCs w:val="20"/>
                <w:vertAlign w:val="subscript"/>
              </w:rPr>
              <w:t>sub</w:t>
            </w:r>
            <w:proofErr w:type="spellEnd"/>
            <w:r w:rsidRPr="002D507A">
              <w:rPr>
                <w:sz w:val="20"/>
                <w:szCs w:val="20"/>
              </w:rPr>
              <w:t xml:space="preserve"> gives 115-229 Gt-C)</w:t>
            </w:r>
          </w:p>
        </w:tc>
      </w:tr>
      <w:tr w:rsidR="00B96D88" w:rsidRPr="002D507A" w:rsidTr="00104B6B">
        <w:tc>
          <w:tcPr>
            <w:tcW w:w="1271" w:type="dxa"/>
          </w:tcPr>
          <w:p w:rsidR="00B96D88" w:rsidRPr="002D507A" w:rsidRDefault="00B96D88" w:rsidP="00104B6B">
            <w:proofErr w:type="spellStart"/>
            <w:r w:rsidRPr="002D507A">
              <w:t>GGR</w:t>
            </w:r>
            <w:r w:rsidRPr="002D507A">
              <w:rPr>
                <w:vertAlign w:val="subscript"/>
              </w:rPr>
              <w:t>req</w:t>
            </w:r>
            <w:proofErr w:type="spellEnd"/>
          </w:p>
        </w:tc>
        <w:tc>
          <w:tcPr>
            <w:tcW w:w="3544" w:type="dxa"/>
          </w:tcPr>
          <w:p w:rsidR="00B96D88" w:rsidRPr="002D507A" w:rsidRDefault="00B96D88" w:rsidP="00104B6B">
            <w:pPr>
              <w:rPr>
                <w:sz w:val="20"/>
                <w:szCs w:val="20"/>
              </w:rPr>
            </w:pPr>
            <w:r w:rsidRPr="002D507A">
              <w:rPr>
                <w:sz w:val="20"/>
                <w:szCs w:val="20"/>
              </w:rPr>
              <w:t xml:space="preserve">Modelled GGR requirement in 1.5°C scenarios </w:t>
            </w:r>
          </w:p>
        </w:tc>
        <w:tc>
          <w:tcPr>
            <w:tcW w:w="1134" w:type="dxa"/>
          </w:tcPr>
          <w:p w:rsidR="00B96D88" w:rsidRPr="002D507A" w:rsidRDefault="00B96D88" w:rsidP="00104B6B">
            <w:pPr>
              <w:rPr>
                <w:sz w:val="20"/>
                <w:szCs w:val="20"/>
              </w:rPr>
            </w:pPr>
            <w:r w:rsidRPr="002D507A">
              <w:rPr>
                <w:sz w:val="20"/>
                <w:szCs w:val="20"/>
              </w:rPr>
              <w:t>71-281</w:t>
            </w:r>
          </w:p>
        </w:tc>
        <w:tc>
          <w:tcPr>
            <w:tcW w:w="3969" w:type="dxa"/>
          </w:tcPr>
          <w:p w:rsidR="00B96D88" w:rsidRPr="002D507A" w:rsidRDefault="00B96D88" w:rsidP="00104B6B">
            <w:pPr>
              <w:rPr>
                <w:sz w:val="20"/>
                <w:szCs w:val="20"/>
              </w:rPr>
            </w:pPr>
            <w:r w:rsidRPr="002D507A">
              <w:rPr>
                <w:sz w:val="20"/>
                <w:szCs w:val="20"/>
              </w:rPr>
              <w:t>5th-95</w:t>
            </w:r>
            <w:r w:rsidRPr="002D507A">
              <w:rPr>
                <w:sz w:val="20"/>
                <w:szCs w:val="20"/>
                <w:vertAlign w:val="superscript"/>
              </w:rPr>
              <w:t>th</w:t>
            </w:r>
            <w:r w:rsidRPr="002D507A">
              <w:rPr>
                <w:sz w:val="20"/>
                <w:szCs w:val="20"/>
              </w:rPr>
              <w:t xml:space="preserve"> percentile range (median 199 Gt-C) as provided by IPCC (2018). </w:t>
            </w:r>
          </w:p>
        </w:tc>
      </w:tr>
      <w:tr w:rsidR="00B96D88" w:rsidRPr="002D507A" w:rsidTr="00104B6B">
        <w:tc>
          <w:tcPr>
            <w:tcW w:w="1271" w:type="dxa"/>
          </w:tcPr>
          <w:p w:rsidR="00B96D88" w:rsidRPr="002D507A" w:rsidRDefault="00B96D88" w:rsidP="00104B6B">
            <w:proofErr w:type="spellStart"/>
            <w:r w:rsidRPr="002D507A">
              <w:t>GGR</w:t>
            </w:r>
            <w:r w:rsidRPr="002D507A">
              <w:rPr>
                <w:vertAlign w:val="subscript"/>
              </w:rPr>
              <w:t>dac</w:t>
            </w:r>
            <w:proofErr w:type="spellEnd"/>
          </w:p>
        </w:tc>
        <w:tc>
          <w:tcPr>
            <w:tcW w:w="3544" w:type="dxa"/>
          </w:tcPr>
          <w:p w:rsidR="00B96D88" w:rsidRPr="002D507A" w:rsidRDefault="00B96D88" w:rsidP="00104B6B">
            <w:pPr>
              <w:rPr>
                <w:sz w:val="20"/>
                <w:szCs w:val="20"/>
              </w:rPr>
            </w:pPr>
            <w:r w:rsidRPr="002D507A">
              <w:rPr>
                <w:sz w:val="20"/>
                <w:szCs w:val="20"/>
              </w:rPr>
              <w:t>Modelled GGR requirement for 1.5°C scenarios including both BECCS and DAC</w:t>
            </w:r>
          </w:p>
        </w:tc>
        <w:tc>
          <w:tcPr>
            <w:tcW w:w="1134" w:type="dxa"/>
          </w:tcPr>
          <w:p w:rsidR="00B96D88" w:rsidRPr="002D507A" w:rsidRDefault="00B96D88" w:rsidP="00104B6B">
            <w:pPr>
              <w:rPr>
                <w:sz w:val="20"/>
                <w:szCs w:val="20"/>
              </w:rPr>
            </w:pPr>
            <w:r w:rsidRPr="002D507A">
              <w:rPr>
                <w:sz w:val="20"/>
                <w:szCs w:val="20"/>
              </w:rPr>
              <w:t>164-327</w:t>
            </w:r>
          </w:p>
        </w:tc>
        <w:tc>
          <w:tcPr>
            <w:tcW w:w="3969" w:type="dxa"/>
          </w:tcPr>
          <w:p w:rsidR="00B96D88" w:rsidRPr="002D507A" w:rsidRDefault="00B96D88" w:rsidP="00104B6B">
            <w:pPr>
              <w:rPr>
                <w:sz w:val="20"/>
                <w:szCs w:val="20"/>
              </w:rPr>
            </w:pPr>
            <w:proofErr w:type="spellStart"/>
            <w:r w:rsidRPr="002D507A">
              <w:rPr>
                <w:sz w:val="20"/>
                <w:szCs w:val="20"/>
              </w:rPr>
              <w:t>Realmonte</w:t>
            </w:r>
            <w:proofErr w:type="spellEnd"/>
            <w:r w:rsidRPr="002D507A">
              <w:rPr>
                <w:sz w:val="20"/>
                <w:szCs w:val="20"/>
              </w:rPr>
              <w:t xml:space="preserve"> et al (2019)</w:t>
            </w:r>
          </w:p>
        </w:tc>
      </w:tr>
      <w:tr w:rsidR="00B96D88" w:rsidRPr="002D507A" w:rsidTr="00104B6B">
        <w:tc>
          <w:tcPr>
            <w:tcW w:w="1271" w:type="dxa"/>
          </w:tcPr>
          <w:p w:rsidR="00B96D88" w:rsidRPr="002D507A" w:rsidRDefault="00B96D88" w:rsidP="00104B6B">
            <w:proofErr w:type="spellStart"/>
            <w:r w:rsidRPr="002D507A">
              <w:t>GGR</w:t>
            </w:r>
            <w:r w:rsidRPr="002D507A">
              <w:rPr>
                <w:vertAlign w:val="subscript"/>
              </w:rPr>
              <w:t>sub</w:t>
            </w:r>
            <w:proofErr w:type="spellEnd"/>
          </w:p>
        </w:tc>
        <w:tc>
          <w:tcPr>
            <w:tcW w:w="3544" w:type="dxa"/>
          </w:tcPr>
          <w:p w:rsidR="00B96D88" w:rsidRPr="002D507A" w:rsidRDefault="00B96D88" w:rsidP="00104B6B">
            <w:pPr>
              <w:rPr>
                <w:sz w:val="20"/>
                <w:szCs w:val="20"/>
              </w:rPr>
            </w:pPr>
            <w:r w:rsidRPr="002D507A">
              <w:rPr>
                <w:sz w:val="20"/>
                <w:szCs w:val="20"/>
              </w:rPr>
              <w:t>Modelled GGR deployment that (temporally) substitutes for emissions reduction.</w:t>
            </w:r>
          </w:p>
        </w:tc>
        <w:tc>
          <w:tcPr>
            <w:tcW w:w="1134" w:type="dxa"/>
          </w:tcPr>
          <w:p w:rsidR="00B96D88" w:rsidRPr="002D507A" w:rsidRDefault="00B96D88" w:rsidP="00104B6B">
            <w:pPr>
              <w:rPr>
                <w:sz w:val="20"/>
                <w:szCs w:val="20"/>
              </w:rPr>
            </w:pPr>
            <w:r w:rsidRPr="002D507A">
              <w:rPr>
                <w:sz w:val="20"/>
                <w:szCs w:val="20"/>
              </w:rPr>
              <w:t xml:space="preserve">50-197 </w:t>
            </w:r>
          </w:p>
        </w:tc>
        <w:tc>
          <w:tcPr>
            <w:tcW w:w="3969" w:type="dxa"/>
          </w:tcPr>
          <w:p w:rsidR="00B96D88" w:rsidRPr="002D507A" w:rsidRDefault="00B96D88" w:rsidP="00104B6B">
            <w:pPr>
              <w:rPr>
                <w:sz w:val="20"/>
                <w:szCs w:val="20"/>
              </w:rPr>
            </w:pPr>
            <w:proofErr w:type="spellStart"/>
            <w:r w:rsidRPr="002D507A">
              <w:rPr>
                <w:sz w:val="20"/>
                <w:szCs w:val="20"/>
              </w:rPr>
              <w:t>GGR</w:t>
            </w:r>
            <w:r w:rsidRPr="002D507A">
              <w:rPr>
                <w:sz w:val="20"/>
                <w:szCs w:val="20"/>
                <w:vertAlign w:val="subscript"/>
              </w:rPr>
              <w:t>req</w:t>
            </w:r>
            <w:proofErr w:type="spellEnd"/>
            <w:r w:rsidRPr="002D507A">
              <w:rPr>
                <w:sz w:val="20"/>
                <w:szCs w:val="20"/>
              </w:rPr>
              <w:t xml:space="preserve"> x </w:t>
            </w:r>
            <w:proofErr w:type="spellStart"/>
            <w:r w:rsidRPr="002D507A">
              <w:rPr>
                <w:sz w:val="20"/>
                <w:szCs w:val="20"/>
              </w:rPr>
              <w:t>SUB</w:t>
            </w:r>
            <w:r w:rsidRPr="002D507A">
              <w:rPr>
                <w:sz w:val="20"/>
                <w:szCs w:val="20"/>
                <w:vertAlign w:val="subscript"/>
              </w:rPr>
              <w:t>rate</w:t>
            </w:r>
            <w:proofErr w:type="spellEnd"/>
          </w:p>
        </w:tc>
      </w:tr>
      <w:tr w:rsidR="00B96D88" w:rsidRPr="002D507A" w:rsidTr="00104B6B">
        <w:tc>
          <w:tcPr>
            <w:tcW w:w="1271" w:type="dxa"/>
          </w:tcPr>
          <w:p w:rsidR="00B96D88" w:rsidRPr="002D507A" w:rsidRDefault="00B96D88" w:rsidP="00104B6B">
            <w:proofErr w:type="spellStart"/>
            <w:r w:rsidRPr="002D507A">
              <w:t>SUB</w:t>
            </w:r>
            <w:r w:rsidRPr="002D507A">
              <w:rPr>
                <w:vertAlign w:val="subscript"/>
              </w:rPr>
              <w:t>rate</w:t>
            </w:r>
            <w:proofErr w:type="spellEnd"/>
          </w:p>
        </w:tc>
        <w:tc>
          <w:tcPr>
            <w:tcW w:w="3544" w:type="dxa"/>
          </w:tcPr>
          <w:p w:rsidR="00B96D88" w:rsidRPr="002D507A" w:rsidRDefault="00B96D88" w:rsidP="00104B6B">
            <w:pPr>
              <w:rPr>
                <w:sz w:val="20"/>
                <w:szCs w:val="20"/>
              </w:rPr>
            </w:pPr>
            <w:r w:rsidRPr="002D507A">
              <w:rPr>
                <w:sz w:val="20"/>
                <w:szCs w:val="20"/>
              </w:rPr>
              <w:t>Central estimate of the proportion of modelled GGR that substitutes for emissions reduction</w:t>
            </w:r>
          </w:p>
        </w:tc>
        <w:tc>
          <w:tcPr>
            <w:tcW w:w="1134" w:type="dxa"/>
          </w:tcPr>
          <w:p w:rsidR="00B96D88" w:rsidRPr="002D507A" w:rsidRDefault="00B96D88" w:rsidP="00104B6B">
            <w:pPr>
              <w:rPr>
                <w:sz w:val="20"/>
                <w:szCs w:val="20"/>
              </w:rPr>
            </w:pPr>
            <w:r w:rsidRPr="002D507A">
              <w:rPr>
                <w:sz w:val="20"/>
                <w:szCs w:val="20"/>
              </w:rPr>
              <w:t>70%</w:t>
            </w:r>
          </w:p>
        </w:tc>
        <w:tc>
          <w:tcPr>
            <w:tcW w:w="3969" w:type="dxa"/>
          </w:tcPr>
          <w:p w:rsidR="00B96D88" w:rsidRPr="002D507A" w:rsidRDefault="00B96D88" w:rsidP="00104B6B">
            <w:pPr>
              <w:widowControl/>
              <w:suppressAutoHyphens w:val="0"/>
              <w:autoSpaceDN/>
              <w:textAlignment w:val="auto"/>
              <w:rPr>
                <w:sz w:val="20"/>
                <w:szCs w:val="20"/>
              </w:rPr>
            </w:pPr>
            <w:r w:rsidRPr="002D507A">
              <w:rPr>
                <w:sz w:val="20"/>
              </w:rPr>
              <w:t>(a) (</w:t>
            </w:r>
            <w:proofErr w:type="spellStart"/>
            <w:r w:rsidRPr="002D507A">
              <w:rPr>
                <w:sz w:val="20"/>
              </w:rPr>
              <w:t>GGR</w:t>
            </w:r>
            <w:r w:rsidRPr="002D507A">
              <w:rPr>
                <w:sz w:val="20"/>
                <w:vertAlign w:val="subscript"/>
              </w:rPr>
              <w:t>req</w:t>
            </w:r>
            <w:r w:rsidRPr="002D507A">
              <w:rPr>
                <w:sz w:val="20"/>
              </w:rPr>
              <w:t>-GGR</w:t>
            </w:r>
            <w:r w:rsidRPr="002D507A">
              <w:rPr>
                <w:sz w:val="20"/>
                <w:vertAlign w:val="subscript"/>
              </w:rPr>
              <w:t>min</w:t>
            </w:r>
            <w:proofErr w:type="spellEnd"/>
            <w:r w:rsidRPr="002D507A">
              <w:rPr>
                <w:sz w:val="20"/>
              </w:rPr>
              <w:t>)/</w:t>
            </w:r>
            <w:proofErr w:type="spellStart"/>
            <w:r w:rsidRPr="002D507A">
              <w:rPr>
                <w:sz w:val="20"/>
              </w:rPr>
              <w:t>GGR</w:t>
            </w:r>
            <w:r w:rsidRPr="002D507A">
              <w:rPr>
                <w:sz w:val="20"/>
                <w:vertAlign w:val="subscript"/>
              </w:rPr>
              <w:t>req</w:t>
            </w:r>
            <w:proofErr w:type="spellEnd"/>
            <w:r w:rsidRPr="002D507A">
              <w:rPr>
                <w:sz w:val="20"/>
                <w:vertAlign w:val="subscript"/>
              </w:rPr>
              <w:t xml:space="preserve"> </w:t>
            </w:r>
            <w:r w:rsidRPr="002D507A">
              <w:rPr>
                <w:sz w:val="20"/>
              </w:rPr>
              <w:t xml:space="preserve">(gives 77% on central </w:t>
            </w:r>
            <w:proofErr w:type="spellStart"/>
            <w:r w:rsidRPr="002D507A">
              <w:rPr>
                <w:sz w:val="20"/>
              </w:rPr>
              <w:t>GGR</w:t>
            </w:r>
            <w:r w:rsidRPr="002D507A">
              <w:rPr>
                <w:sz w:val="20"/>
                <w:vertAlign w:val="subscript"/>
              </w:rPr>
              <w:t>req</w:t>
            </w:r>
            <w:proofErr w:type="spellEnd"/>
            <w:r w:rsidRPr="002D507A">
              <w:rPr>
                <w:sz w:val="20"/>
              </w:rPr>
              <w:t xml:space="preserve">) (b) Calculated from Azar et al (2013), and </w:t>
            </w:r>
            <w:proofErr w:type="spellStart"/>
            <w:r w:rsidRPr="002D507A">
              <w:rPr>
                <w:sz w:val="20"/>
              </w:rPr>
              <w:t>Riahi</w:t>
            </w:r>
            <w:proofErr w:type="spellEnd"/>
            <w:r w:rsidRPr="002D507A">
              <w:rPr>
                <w:sz w:val="20"/>
              </w:rPr>
              <w:t xml:space="preserve"> et al (2105) (gives 66%)</w:t>
            </w:r>
          </w:p>
        </w:tc>
      </w:tr>
      <w:tr w:rsidR="00B96D88" w:rsidRPr="002D507A" w:rsidTr="00104B6B">
        <w:tc>
          <w:tcPr>
            <w:tcW w:w="1271" w:type="dxa"/>
          </w:tcPr>
          <w:p w:rsidR="00B96D88" w:rsidRPr="002D507A" w:rsidRDefault="00B96D88" w:rsidP="00104B6B">
            <w:proofErr w:type="spellStart"/>
            <w:r w:rsidRPr="002D507A">
              <w:t>GGR</w:t>
            </w:r>
            <w:r w:rsidRPr="002D507A">
              <w:rPr>
                <w:vertAlign w:val="subscript"/>
              </w:rPr>
              <w:t>min</w:t>
            </w:r>
            <w:proofErr w:type="spellEnd"/>
          </w:p>
        </w:tc>
        <w:tc>
          <w:tcPr>
            <w:tcW w:w="3544" w:type="dxa"/>
          </w:tcPr>
          <w:p w:rsidR="00B96D88" w:rsidRPr="002D507A" w:rsidRDefault="00B96D88" w:rsidP="00104B6B">
            <w:pPr>
              <w:rPr>
                <w:sz w:val="20"/>
                <w:szCs w:val="20"/>
              </w:rPr>
            </w:pPr>
            <w:r w:rsidRPr="002D507A">
              <w:rPr>
                <w:sz w:val="20"/>
                <w:szCs w:val="20"/>
              </w:rPr>
              <w:t>Modelled minimum GGR to deliver 1.5°C scenario</w:t>
            </w:r>
          </w:p>
        </w:tc>
        <w:tc>
          <w:tcPr>
            <w:tcW w:w="1134" w:type="dxa"/>
          </w:tcPr>
          <w:p w:rsidR="00B96D88" w:rsidRPr="002D507A" w:rsidRDefault="00B96D88" w:rsidP="00104B6B">
            <w:pPr>
              <w:rPr>
                <w:sz w:val="20"/>
                <w:szCs w:val="20"/>
              </w:rPr>
            </w:pPr>
            <w:r w:rsidRPr="002D507A">
              <w:rPr>
                <w:sz w:val="20"/>
                <w:szCs w:val="20"/>
              </w:rPr>
              <w:t xml:space="preserve">46 </w:t>
            </w:r>
          </w:p>
        </w:tc>
        <w:tc>
          <w:tcPr>
            <w:tcW w:w="3969" w:type="dxa"/>
          </w:tcPr>
          <w:p w:rsidR="00B96D88" w:rsidRPr="002D507A" w:rsidRDefault="00B96D88" w:rsidP="00104B6B">
            <w:pPr>
              <w:rPr>
                <w:sz w:val="20"/>
                <w:szCs w:val="20"/>
                <w:lang w:val="fr-FR"/>
              </w:rPr>
            </w:pPr>
            <w:proofErr w:type="spellStart"/>
            <w:r w:rsidRPr="002D507A">
              <w:rPr>
                <w:sz w:val="20"/>
                <w:szCs w:val="20"/>
                <w:lang w:val="fr-FR"/>
              </w:rPr>
              <w:t>Grubler</w:t>
            </w:r>
            <w:proofErr w:type="spellEnd"/>
            <w:r w:rsidRPr="002D507A">
              <w:rPr>
                <w:sz w:val="20"/>
                <w:szCs w:val="20"/>
                <w:lang w:val="fr-FR"/>
              </w:rPr>
              <w:t xml:space="preserve"> et al (2018)</w:t>
            </w:r>
          </w:p>
        </w:tc>
      </w:tr>
      <w:tr w:rsidR="00B96D88" w:rsidRPr="002D507A" w:rsidTr="00104B6B">
        <w:tc>
          <w:tcPr>
            <w:tcW w:w="1271" w:type="dxa"/>
            <w:shd w:val="clear" w:color="auto" w:fill="E7E6E6" w:themeFill="background2"/>
          </w:tcPr>
          <w:p w:rsidR="00B96D88" w:rsidRPr="002D507A" w:rsidRDefault="00B96D88" w:rsidP="00104B6B">
            <w:pPr>
              <w:rPr>
                <w:b/>
                <w:lang w:val="fr-FR"/>
              </w:rPr>
            </w:pPr>
            <w:r w:rsidRPr="002D507A">
              <w:rPr>
                <w:b/>
                <w:lang w:val="fr-FR"/>
              </w:rPr>
              <w:t>MD</w:t>
            </w:r>
            <w:r w:rsidRPr="002D507A">
              <w:rPr>
                <w:b/>
                <w:vertAlign w:val="subscript"/>
                <w:lang w:val="fr-FR"/>
              </w:rPr>
              <w:t>2</w:t>
            </w:r>
          </w:p>
        </w:tc>
        <w:tc>
          <w:tcPr>
            <w:tcW w:w="3544" w:type="dxa"/>
            <w:shd w:val="clear" w:color="auto" w:fill="E7E6E6" w:themeFill="background2"/>
          </w:tcPr>
          <w:p w:rsidR="00B96D88" w:rsidRPr="002D507A" w:rsidRDefault="00B96D88" w:rsidP="00104B6B">
            <w:pPr>
              <w:rPr>
                <w:sz w:val="20"/>
                <w:szCs w:val="20"/>
              </w:rPr>
            </w:pPr>
            <w:r w:rsidRPr="002D507A">
              <w:rPr>
                <w:sz w:val="20"/>
                <w:szCs w:val="20"/>
              </w:rPr>
              <w:t>Type 2 mitigation deterrence (Rebound effects and other indirect sources of additional emissions from GGR efforts)</w:t>
            </w:r>
          </w:p>
        </w:tc>
        <w:tc>
          <w:tcPr>
            <w:tcW w:w="1134" w:type="dxa"/>
            <w:shd w:val="clear" w:color="auto" w:fill="E7E6E6" w:themeFill="background2"/>
          </w:tcPr>
          <w:p w:rsidR="00B96D88" w:rsidRPr="002D507A" w:rsidRDefault="00B96D88" w:rsidP="00104B6B">
            <w:pPr>
              <w:rPr>
                <w:b/>
                <w:bCs/>
                <w:sz w:val="20"/>
                <w:szCs w:val="20"/>
              </w:rPr>
            </w:pPr>
            <w:r w:rsidRPr="002D507A">
              <w:rPr>
                <w:b/>
                <w:bCs/>
                <w:sz w:val="20"/>
                <w:szCs w:val="20"/>
              </w:rPr>
              <w:t>20-135</w:t>
            </w:r>
          </w:p>
        </w:tc>
        <w:tc>
          <w:tcPr>
            <w:tcW w:w="3969" w:type="dxa"/>
            <w:shd w:val="clear" w:color="auto" w:fill="E7E6E6" w:themeFill="background2"/>
          </w:tcPr>
          <w:p w:rsidR="00B96D88" w:rsidRPr="002D507A" w:rsidRDefault="00B96D88" w:rsidP="00104B6B">
            <w:pPr>
              <w:rPr>
                <w:sz w:val="20"/>
                <w:szCs w:val="20"/>
                <w:lang w:val="fr-FR"/>
              </w:rPr>
            </w:pPr>
            <w:proofErr w:type="spellStart"/>
            <w:r w:rsidRPr="002D507A">
              <w:rPr>
                <w:sz w:val="20"/>
                <w:szCs w:val="20"/>
                <w:lang w:val="fr-FR"/>
              </w:rPr>
              <w:t>RE</w:t>
            </w:r>
            <w:r w:rsidRPr="002D507A">
              <w:rPr>
                <w:sz w:val="20"/>
                <w:szCs w:val="20"/>
                <w:vertAlign w:val="subscript"/>
                <w:lang w:val="fr-FR"/>
              </w:rPr>
              <w:t>luc</w:t>
            </w:r>
            <w:proofErr w:type="spellEnd"/>
            <w:r w:rsidRPr="002D507A">
              <w:rPr>
                <w:sz w:val="20"/>
                <w:szCs w:val="20"/>
                <w:vertAlign w:val="subscript"/>
                <w:lang w:val="fr-FR"/>
              </w:rPr>
              <w:t xml:space="preserve"> </w:t>
            </w:r>
            <w:r w:rsidRPr="002D507A">
              <w:rPr>
                <w:sz w:val="20"/>
                <w:szCs w:val="20"/>
                <w:lang w:val="fr-FR"/>
              </w:rPr>
              <w:t xml:space="preserve">+ </w:t>
            </w:r>
            <w:proofErr w:type="spellStart"/>
            <w:r w:rsidRPr="002D507A">
              <w:rPr>
                <w:sz w:val="20"/>
                <w:szCs w:val="20"/>
                <w:lang w:val="fr-FR"/>
              </w:rPr>
              <w:t>RE</w:t>
            </w:r>
            <w:r w:rsidRPr="002D507A">
              <w:rPr>
                <w:sz w:val="20"/>
                <w:szCs w:val="20"/>
                <w:vertAlign w:val="subscript"/>
                <w:lang w:val="fr-FR"/>
              </w:rPr>
              <w:t>eor</w:t>
            </w:r>
            <w:proofErr w:type="spellEnd"/>
          </w:p>
        </w:tc>
      </w:tr>
      <w:tr w:rsidR="00B96D88" w:rsidRPr="002D507A" w:rsidTr="00104B6B">
        <w:tc>
          <w:tcPr>
            <w:tcW w:w="1271" w:type="dxa"/>
          </w:tcPr>
          <w:p w:rsidR="00B96D88" w:rsidRPr="002D507A" w:rsidRDefault="00B96D88" w:rsidP="00104B6B">
            <w:pPr>
              <w:rPr>
                <w:lang w:val="fr-FR"/>
              </w:rPr>
            </w:pPr>
            <w:proofErr w:type="spellStart"/>
            <w:r w:rsidRPr="002D507A">
              <w:rPr>
                <w:lang w:val="fr-FR"/>
              </w:rPr>
              <w:t>RE</w:t>
            </w:r>
            <w:r w:rsidRPr="002D507A">
              <w:rPr>
                <w:vertAlign w:val="subscript"/>
                <w:lang w:val="fr-FR"/>
              </w:rPr>
              <w:t>luc</w:t>
            </w:r>
            <w:proofErr w:type="spellEnd"/>
          </w:p>
        </w:tc>
        <w:tc>
          <w:tcPr>
            <w:tcW w:w="3544" w:type="dxa"/>
          </w:tcPr>
          <w:p w:rsidR="00B96D88" w:rsidRPr="002D507A" w:rsidRDefault="00B96D88" w:rsidP="00104B6B">
            <w:pPr>
              <w:rPr>
                <w:sz w:val="20"/>
                <w:szCs w:val="20"/>
              </w:rPr>
            </w:pPr>
            <w:r w:rsidRPr="002D507A">
              <w:rPr>
                <w:sz w:val="20"/>
                <w:szCs w:val="20"/>
              </w:rPr>
              <w:t>Carbon rebound from land-use change for BECCS</w:t>
            </w:r>
          </w:p>
        </w:tc>
        <w:tc>
          <w:tcPr>
            <w:tcW w:w="1134" w:type="dxa"/>
          </w:tcPr>
          <w:p w:rsidR="00B96D88" w:rsidRPr="002D507A" w:rsidRDefault="00B96D88" w:rsidP="00104B6B">
            <w:pPr>
              <w:rPr>
                <w:sz w:val="20"/>
                <w:szCs w:val="20"/>
              </w:rPr>
            </w:pPr>
            <w:r w:rsidRPr="002D507A">
              <w:rPr>
                <w:sz w:val="20"/>
                <w:szCs w:val="20"/>
              </w:rPr>
              <w:t>0-55</w:t>
            </w:r>
          </w:p>
        </w:tc>
        <w:tc>
          <w:tcPr>
            <w:tcW w:w="3969" w:type="dxa"/>
          </w:tcPr>
          <w:p w:rsidR="00B96D88" w:rsidRPr="002D507A" w:rsidRDefault="00B96D88" w:rsidP="00104B6B">
            <w:pPr>
              <w:rPr>
                <w:sz w:val="20"/>
                <w:szCs w:val="20"/>
              </w:rPr>
            </w:pPr>
            <w:proofErr w:type="spellStart"/>
            <w:r w:rsidRPr="002D507A">
              <w:rPr>
                <w:sz w:val="20"/>
                <w:szCs w:val="20"/>
              </w:rPr>
              <w:t>GGR</w:t>
            </w:r>
            <w:r w:rsidRPr="002D507A">
              <w:rPr>
                <w:sz w:val="20"/>
                <w:szCs w:val="20"/>
                <w:vertAlign w:val="subscript"/>
              </w:rPr>
              <w:t>beccs</w:t>
            </w:r>
            <w:proofErr w:type="spellEnd"/>
            <w:r w:rsidRPr="002D507A">
              <w:rPr>
                <w:sz w:val="20"/>
                <w:szCs w:val="20"/>
                <w:vertAlign w:val="subscript"/>
              </w:rPr>
              <w:t xml:space="preserve"> </w:t>
            </w:r>
            <w:r w:rsidRPr="002D507A">
              <w:rPr>
                <w:sz w:val="20"/>
                <w:szCs w:val="20"/>
              </w:rPr>
              <w:t>x RE(LUC)</w:t>
            </w:r>
            <w:r w:rsidRPr="002D507A">
              <w:rPr>
                <w:sz w:val="20"/>
                <w:szCs w:val="20"/>
                <w:vertAlign w:val="subscript"/>
              </w:rPr>
              <w:t>rate</w:t>
            </w:r>
          </w:p>
        </w:tc>
      </w:tr>
      <w:tr w:rsidR="00B96D88" w:rsidRPr="002D507A" w:rsidTr="00104B6B">
        <w:tc>
          <w:tcPr>
            <w:tcW w:w="1271" w:type="dxa"/>
          </w:tcPr>
          <w:p w:rsidR="00B96D88" w:rsidRPr="002D507A" w:rsidRDefault="00B96D88" w:rsidP="00104B6B">
            <w:r w:rsidRPr="002D507A">
              <w:t>RE(LUC)</w:t>
            </w:r>
            <w:r w:rsidRPr="002D507A">
              <w:rPr>
                <w:vertAlign w:val="subscript"/>
              </w:rPr>
              <w:t>rate</w:t>
            </w:r>
          </w:p>
        </w:tc>
        <w:tc>
          <w:tcPr>
            <w:tcW w:w="3544" w:type="dxa"/>
          </w:tcPr>
          <w:p w:rsidR="00B96D88" w:rsidRPr="002D507A" w:rsidRDefault="00B96D88" w:rsidP="00104B6B">
            <w:pPr>
              <w:rPr>
                <w:sz w:val="20"/>
                <w:szCs w:val="20"/>
              </w:rPr>
            </w:pPr>
            <w:r w:rsidRPr="002D507A">
              <w:rPr>
                <w:sz w:val="20"/>
                <w:szCs w:val="20"/>
              </w:rPr>
              <w:t>Carbon rebound from land-use change as fraction of carbon mitigated by bioenergy.</w:t>
            </w:r>
          </w:p>
        </w:tc>
        <w:tc>
          <w:tcPr>
            <w:tcW w:w="1134" w:type="dxa"/>
          </w:tcPr>
          <w:p w:rsidR="00B96D88" w:rsidRPr="002D507A" w:rsidRDefault="00B96D88" w:rsidP="00104B6B">
            <w:pPr>
              <w:rPr>
                <w:sz w:val="20"/>
                <w:szCs w:val="20"/>
              </w:rPr>
            </w:pPr>
            <w:r w:rsidRPr="002D507A">
              <w:rPr>
                <w:sz w:val="20"/>
                <w:szCs w:val="20"/>
              </w:rPr>
              <w:t>10-20%</w:t>
            </w:r>
          </w:p>
        </w:tc>
        <w:tc>
          <w:tcPr>
            <w:tcW w:w="3969" w:type="dxa"/>
          </w:tcPr>
          <w:p w:rsidR="00B96D88" w:rsidRPr="002D507A" w:rsidRDefault="00B96D88" w:rsidP="00104B6B">
            <w:pPr>
              <w:autoSpaceDE w:val="0"/>
              <w:adjustRightInd w:val="0"/>
              <w:rPr>
                <w:sz w:val="18"/>
                <w:szCs w:val="18"/>
              </w:rPr>
            </w:pPr>
            <w:r w:rsidRPr="002D507A">
              <w:rPr>
                <w:sz w:val="20"/>
                <w:szCs w:val="20"/>
              </w:rPr>
              <w:t>Estimate for indirect land-use change effects of well managed bioenergy (Souza et al 2013)</w:t>
            </w:r>
          </w:p>
        </w:tc>
      </w:tr>
      <w:tr w:rsidR="00B96D88" w:rsidRPr="002D507A" w:rsidTr="00104B6B">
        <w:tc>
          <w:tcPr>
            <w:tcW w:w="1271" w:type="dxa"/>
          </w:tcPr>
          <w:p w:rsidR="00B96D88" w:rsidRPr="002D507A" w:rsidRDefault="00B96D88" w:rsidP="00104B6B">
            <w:proofErr w:type="spellStart"/>
            <w:r w:rsidRPr="002D507A">
              <w:t>GGR</w:t>
            </w:r>
            <w:r w:rsidRPr="002D507A">
              <w:rPr>
                <w:vertAlign w:val="subscript"/>
              </w:rPr>
              <w:t>beccs</w:t>
            </w:r>
            <w:proofErr w:type="spellEnd"/>
          </w:p>
        </w:tc>
        <w:tc>
          <w:tcPr>
            <w:tcW w:w="3544" w:type="dxa"/>
          </w:tcPr>
          <w:p w:rsidR="00B96D88" w:rsidRPr="002D507A" w:rsidRDefault="00B96D88" w:rsidP="00104B6B">
            <w:pPr>
              <w:rPr>
                <w:sz w:val="20"/>
                <w:szCs w:val="20"/>
              </w:rPr>
            </w:pPr>
            <w:r w:rsidRPr="002D507A">
              <w:rPr>
                <w:sz w:val="20"/>
                <w:szCs w:val="20"/>
              </w:rPr>
              <w:t>Modelled range of BECCS contribution to 1.5C scenarios</w:t>
            </w:r>
          </w:p>
        </w:tc>
        <w:tc>
          <w:tcPr>
            <w:tcW w:w="1134" w:type="dxa"/>
          </w:tcPr>
          <w:p w:rsidR="00B96D88" w:rsidRPr="002D507A" w:rsidRDefault="00B96D88" w:rsidP="00104B6B">
            <w:pPr>
              <w:rPr>
                <w:sz w:val="20"/>
                <w:szCs w:val="20"/>
              </w:rPr>
            </w:pPr>
            <w:r w:rsidRPr="002D507A">
              <w:rPr>
                <w:sz w:val="20"/>
                <w:szCs w:val="20"/>
              </w:rPr>
              <w:t xml:space="preserve">0-273 </w:t>
            </w:r>
          </w:p>
        </w:tc>
        <w:tc>
          <w:tcPr>
            <w:tcW w:w="3969" w:type="dxa"/>
          </w:tcPr>
          <w:p w:rsidR="00B96D88" w:rsidRPr="002D507A" w:rsidRDefault="00B96D88" w:rsidP="00104B6B">
            <w:pPr>
              <w:rPr>
                <w:sz w:val="20"/>
                <w:szCs w:val="20"/>
              </w:rPr>
            </w:pPr>
            <w:r w:rsidRPr="002D507A">
              <w:rPr>
                <w:sz w:val="20"/>
                <w:szCs w:val="20"/>
              </w:rPr>
              <w:t>IPCC (2018)</w:t>
            </w:r>
          </w:p>
        </w:tc>
      </w:tr>
      <w:tr w:rsidR="00B96D88" w:rsidRPr="002D507A" w:rsidTr="00104B6B">
        <w:tc>
          <w:tcPr>
            <w:tcW w:w="1271" w:type="dxa"/>
          </w:tcPr>
          <w:p w:rsidR="00B96D88" w:rsidRPr="002D507A" w:rsidRDefault="00B96D88" w:rsidP="00104B6B">
            <w:proofErr w:type="spellStart"/>
            <w:r w:rsidRPr="002D507A">
              <w:t>RE</w:t>
            </w:r>
            <w:r w:rsidRPr="002D507A">
              <w:rPr>
                <w:vertAlign w:val="subscript"/>
              </w:rPr>
              <w:t>eor</w:t>
            </w:r>
            <w:proofErr w:type="spellEnd"/>
          </w:p>
        </w:tc>
        <w:tc>
          <w:tcPr>
            <w:tcW w:w="3544" w:type="dxa"/>
          </w:tcPr>
          <w:p w:rsidR="00B96D88" w:rsidRPr="002D507A" w:rsidRDefault="00B96D88" w:rsidP="00104B6B">
            <w:pPr>
              <w:rPr>
                <w:sz w:val="20"/>
                <w:szCs w:val="20"/>
              </w:rPr>
            </w:pPr>
            <w:r w:rsidRPr="002D507A">
              <w:rPr>
                <w:sz w:val="20"/>
                <w:szCs w:val="20"/>
              </w:rPr>
              <w:t>Rebound effects from use of captured carbon in enhanced oil recovery</w:t>
            </w:r>
          </w:p>
        </w:tc>
        <w:tc>
          <w:tcPr>
            <w:tcW w:w="1134" w:type="dxa"/>
          </w:tcPr>
          <w:p w:rsidR="00B96D88" w:rsidRPr="002D507A" w:rsidRDefault="00B96D88" w:rsidP="00104B6B">
            <w:pPr>
              <w:rPr>
                <w:sz w:val="20"/>
                <w:szCs w:val="20"/>
              </w:rPr>
            </w:pPr>
            <w:r w:rsidRPr="002D507A">
              <w:rPr>
                <w:sz w:val="20"/>
                <w:szCs w:val="20"/>
              </w:rPr>
              <w:t>2</w:t>
            </w:r>
            <w:r>
              <w:rPr>
                <w:sz w:val="20"/>
                <w:szCs w:val="20"/>
              </w:rPr>
              <w:t>5-79</w:t>
            </w:r>
            <w:r w:rsidRPr="002D507A">
              <w:rPr>
                <w:sz w:val="20"/>
                <w:szCs w:val="20"/>
              </w:rPr>
              <w:t xml:space="preserve"> </w:t>
            </w:r>
          </w:p>
        </w:tc>
        <w:tc>
          <w:tcPr>
            <w:tcW w:w="3969" w:type="dxa"/>
          </w:tcPr>
          <w:p w:rsidR="00B96D88" w:rsidRPr="002D507A" w:rsidRDefault="00B96D88" w:rsidP="00104B6B">
            <w:pPr>
              <w:rPr>
                <w:sz w:val="20"/>
                <w:szCs w:val="20"/>
              </w:rPr>
            </w:pPr>
            <w:proofErr w:type="spellStart"/>
            <w:r w:rsidRPr="002D507A">
              <w:rPr>
                <w:sz w:val="20"/>
                <w:szCs w:val="20"/>
              </w:rPr>
              <w:t>RE</w:t>
            </w:r>
            <w:r w:rsidRPr="002D507A">
              <w:rPr>
                <w:sz w:val="20"/>
                <w:szCs w:val="20"/>
                <w:vertAlign w:val="subscript"/>
              </w:rPr>
              <w:t>eor</w:t>
            </w:r>
            <w:proofErr w:type="spellEnd"/>
            <w:r w:rsidRPr="002D507A">
              <w:rPr>
                <w:sz w:val="20"/>
                <w:szCs w:val="20"/>
              </w:rPr>
              <w:t xml:space="preserve"> = </w:t>
            </w:r>
            <w:proofErr w:type="spellStart"/>
            <w:r w:rsidRPr="002D507A">
              <w:rPr>
                <w:sz w:val="20"/>
                <w:szCs w:val="20"/>
              </w:rPr>
              <w:t>EOR</w:t>
            </w:r>
            <w:r w:rsidRPr="002D507A">
              <w:rPr>
                <w:sz w:val="20"/>
                <w:szCs w:val="20"/>
                <w:vertAlign w:val="subscript"/>
              </w:rPr>
              <w:t>com</w:t>
            </w:r>
            <w:proofErr w:type="spellEnd"/>
            <w:r w:rsidRPr="002D507A">
              <w:rPr>
                <w:sz w:val="20"/>
                <w:szCs w:val="20"/>
              </w:rPr>
              <w:t xml:space="preserve"> - </w:t>
            </w:r>
            <w:proofErr w:type="spellStart"/>
            <w:r w:rsidRPr="002D507A">
              <w:rPr>
                <w:sz w:val="20"/>
                <w:szCs w:val="20"/>
              </w:rPr>
              <w:t>EOR</w:t>
            </w:r>
            <w:r w:rsidRPr="002D507A">
              <w:rPr>
                <w:sz w:val="20"/>
                <w:szCs w:val="20"/>
                <w:vertAlign w:val="subscript"/>
              </w:rPr>
              <w:t>stor</w:t>
            </w:r>
            <w:proofErr w:type="spellEnd"/>
            <w:r w:rsidRPr="002D507A">
              <w:rPr>
                <w:sz w:val="20"/>
                <w:szCs w:val="20"/>
              </w:rPr>
              <w:t xml:space="preserve"> </w:t>
            </w:r>
          </w:p>
        </w:tc>
      </w:tr>
      <w:tr w:rsidR="00B96D88" w:rsidRPr="002D507A" w:rsidTr="00104B6B">
        <w:tc>
          <w:tcPr>
            <w:tcW w:w="1271" w:type="dxa"/>
          </w:tcPr>
          <w:p w:rsidR="00B96D88" w:rsidRPr="002D507A" w:rsidRDefault="00B96D88" w:rsidP="00104B6B">
            <w:proofErr w:type="spellStart"/>
            <w:r w:rsidRPr="002D507A">
              <w:t>EOR</w:t>
            </w:r>
            <w:r>
              <w:rPr>
                <w:vertAlign w:val="subscript"/>
              </w:rPr>
              <w:t>em</w:t>
            </w:r>
            <w:proofErr w:type="spellEnd"/>
          </w:p>
        </w:tc>
        <w:tc>
          <w:tcPr>
            <w:tcW w:w="3544" w:type="dxa"/>
          </w:tcPr>
          <w:p w:rsidR="00B96D88" w:rsidRPr="002D507A" w:rsidRDefault="00B96D88" w:rsidP="00104B6B">
            <w:pPr>
              <w:rPr>
                <w:sz w:val="20"/>
                <w:szCs w:val="20"/>
              </w:rPr>
            </w:pPr>
            <w:r w:rsidRPr="002D507A">
              <w:rPr>
                <w:sz w:val="20"/>
                <w:szCs w:val="20"/>
              </w:rPr>
              <w:t xml:space="preserve">Carbon released by </w:t>
            </w:r>
            <w:proofErr w:type="gramStart"/>
            <w:r w:rsidRPr="002D507A">
              <w:rPr>
                <w:sz w:val="20"/>
                <w:szCs w:val="20"/>
              </w:rPr>
              <w:t>combustion  of</w:t>
            </w:r>
            <w:proofErr w:type="gramEnd"/>
            <w:r w:rsidRPr="002D507A">
              <w:rPr>
                <w:sz w:val="20"/>
                <w:szCs w:val="20"/>
              </w:rPr>
              <w:t xml:space="preserve"> additional oil </w:t>
            </w:r>
            <w:r>
              <w:rPr>
                <w:sz w:val="20"/>
                <w:szCs w:val="20"/>
              </w:rPr>
              <w:t xml:space="preserve">and co-products </w:t>
            </w:r>
            <w:r w:rsidRPr="002D507A">
              <w:rPr>
                <w:sz w:val="20"/>
                <w:szCs w:val="20"/>
              </w:rPr>
              <w:t>recovered through EOR</w:t>
            </w:r>
            <w:r>
              <w:rPr>
                <w:sz w:val="20"/>
                <w:szCs w:val="20"/>
              </w:rPr>
              <w:t>, and associated upstream emissions.</w:t>
            </w:r>
          </w:p>
        </w:tc>
        <w:tc>
          <w:tcPr>
            <w:tcW w:w="1134" w:type="dxa"/>
          </w:tcPr>
          <w:p w:rsidR="00B96D88" w:rsidRPr="002D507A" w:rsidRDefault="00B96D88" w:rsidP="00104B6B">
            <w:pPr>
              <w:rPr>
                <w:sz w:val="20"/>
                <w:szCs w:val="20"/>
              </w:rPr>
            </w:pPr>
            <w:r>
              <w:rPr>
                <w:sz w:val="20"/>
                <w:szCs w:val="20"/>
              </w:rPr>
              <w:t>63-166</w:t>
            </w:r>
          </w:p>
        </w:tc>
        <w:tc>
          <w:tcPr>
            <w:tcW w:w="3969" w:type="dxa"/>
          </w:tcPr>
          <w:p w:rsidR="00B96D88" w:rsidRDefault="00B96D88" w:rsidP="00104B6B">
            <w:pPr>
              <w:rPr>
                <w:sz w:val="20"/>
                <w:szCs w:val="20"/>
              </w:rPr>
            </w:pPr>
            <w:r w:rsidRPr="002D507A">
              <w:rPr>
                <w:sz w:val="20"/>
                <w:szCs w:val="20"/>
              </w:rPr>
              <w:t>EOR potential 470-1070</w:t>
            </w:r>
            <w:r>
              <w:rPr>
                <w:sz w:val="20"/>
                <w:szCs w:val="20"/>
              </w:rPr>
              <w:t xml:space="preserve"> </w:t>
            </w:r>
            <w:r w:rsidRPr="002D507A">
              <w:rPr>
                <w:sz w:val="20"/>
                <w:szCs w:val="20"/>
              </w:rPr>
              <w:t>b</w:t>
            </w:r>
            <w:r>
              <w:rPr>
                <w:sz w:val="20"/>
                <w:szCs w:val="20"/>
              </w:rPr>
              <w:t>illion barrels of oil</w:t>
            </w:r>
          </w:p>
          <w:p w:rsidR="00B96D88" w:rsidRPr="002D507A" w:rsidRDefault="00B96D88" w:rsidP="00104B6B">
            <w:pPr>
              <w:rPr>
                <w:sz w:val="20"/>
                <w:szCs w:val="20"/>
              </w:rPr>
            </w:pPr>
            <w:r w:rsidRPr="002D507A">
              <w:rPr>
                <w:sz w:val="20"/>
                <w:szCs w:val="20"/>
              </w:rPr>
              <w:t>(</w:t>
            </w:r>
            <w:proofErr w:type="spellStart"/>
            <w:r w:rsidRPr="002D507A">
              <w:rPr>
                <w:sz w:val="20"/>
                <w:szCs w:val="20"/>
              </w:rPr>
              <w:t>Godec</w:t>
            </w:r>
            <w:proofErr w:type="spellEnd"/>
            <w:r w:rsidRPr="002D507A">
              <w:rPr>
                <w:sz w:val="20"/>
                <w:szCs w:val="20"/>
              </w:rPr>
              <w:t xml:space="preserve"> et al 2011)</w:t>
            </w:r>
            <w:r>
              <w:rPr>
                <w:sz w:val="20"/>
                <w:szCs w:val="20"/>
              </w:rPr>
              <w:t xml:space="preserve"> </w:t>
            </w:r>
            <w:r w:rsidRPr="002D507A">
              <w:rPr>
                <w:sz w:val="20"/>
                <w:szCs w:val="20"/>
              </w:rPr>
              <w:t xml:space="preserve">at </w:t>
            </w:r>
            <w:r>
              <w:rPr>
                <w:sz w:val="20"/>
                <w:szCs w:val="20"/>
              </w:rPr>
              <w:t>134-155kg-C</w:t>
            </w:r>
            <w:r w:rsidRPr="002D507A">
              <w:rPr>
                <w:sz w:val="20"/>
                <w:szCs w:val="20"/>
              </w:rPr>
              <w:t xml:space="preserve"> </w:t>
            </w:r>
            <w:r>
              <w:rPr>
                <w:sz w:val="20"/>
                <w:szCs w:val="20"/>
              </w:rPr>
              <w:t xml:space="preserve">per </w:t>
            </w:r>
            <w:r w:rsidRPr="002D507A">
              <w:rPr>
                <w:sz w:val="20"/>
                <w:szCs w:val="20"/>
              </w:rPr>
              <w:t>barrel</w:t>
            </w:r>
            <w:r>
              <w:rPr>
                <w:sz w:val="20"/>
                <w:szCs w:val="20"/>
              </w:rPr>
              <w:t xml:space="preserve"> (USEPA Undated; </w:t>
            </w:r>
            <w:proofErr w:type="spellStart"/>
            <w:r>
              <w:rPr>
                <w:sz w:val="20"/>
                <w:szCs w:val="20"/>
              </w:rPr>
              <w:t>Masnadi</w:t>
            </w:r>
            <w:proofErr w:type="spellEnd"/>
            <w:r>
              <w:rPr>
                <w:sz w:val="20"/>
                <w:szCs w:val="20"/>
              </w:rPr>
              <w:t xml:space="preserve"> et al 2016; Gordon et al 2015)</w:t>
            </w:r>
          </w:p>
        </w:tc>
      </w:tr>
      <w:tr w:rsidR="00B96D88" w:rsidRPr="002D507A" w:rsidTr="00104B6B">
        <w:tc>
          <w:tcPr>
            <w:tcW w:w="1271" w:type="dxa"/>
          </w:tcPr>
          <w:p w:rsidR="00B96D88" w:rsidRPr="002D507A" w:rsidRDefault="00B96D88" w:rsidP="00104B6B">
            <w:proofErr w:type="spellStart"/>
            <w:r w:rsidRPr="002D507A">
              <w:t>EOR</w:t>
            </w:r>
            <w:r w:rsidRPr="002D507A">
              <w:rPr>
                <w:vertAlign w:val="subscript"/>
              </w:rPr>
              <w:t>stor</w:t>
            </w:r>
            <w:proofErr w:type="spellEnd"/>
          </w:p>
        </w:tc>
        <w:tc>
          <w:tcPr>
            <w:tcW w:w="3544" w:type="dxa"/>
          </w:tcPr>
          <w:p w:rsidR="00B96D88" w:rsidRPr="002D507A" w:rsidRDefault="00B96D88" w:rsidP="00104B6B">
            <w:pPr>
              <w:rPr>
                <w:sz w:val="20"/>
                <w:szCs w:val="20"/>
              </w:rPr>
            </w:pPr>
            <w:r w:rsidRPr="002D507A">
              <w:rPr>
                <w:sz w:val="20"/>
                <w:szCs w:val="20"/>
              </w:rPr>
              <w:t>Carbon stored in EOR processes</w:t>
            </w:r>
          </w:p>
        </w:tc>
        <w:tc>
          <w:tcPr>
            <w:tcW w:w="1134" w:type="dxa"/>
          </w:tcPr>
          <w:p w:rsidR="00B96D88" w:rsidRPr="002D507A" w:rsidRDefault="00B96D88" w:rsidP="00104B6B">
            <w:pPr>
              <w:rPr>
                <w:sz w:val="20"/>
                <w:szCs w:val="20"/>
              </w:rPr>
            </w:pPr>
            <w:r w:rsidRPr="002D507A">
              <w:rPr>
                <w:sz w:val="20"/>
                <w:szCs w:val="20"/>
              </w:rPr>
              <w:t>38-87</w:t>
            </w:r>
          </w:p>
        </w:tc>
        <w:tc>
          <w:tcPr>
            <w:tcW w:w="3969" w:type="dxa"/>
          </w:tcPr>
          <w:p w:rsidR="00B96D88" w:rsidRPr="002D507A" w:rsidRDefault="00B96D88" w:rsidP="00104B6B">
            <w:pPr>
              <w:rPr>
                <w:sz w:val="20"/>
                <w:szCs w:val="20"/>
              </w:rPr>
            </w:pPr>
            <w:r w:rsidRPr="002D507A">
              <w:rPr>
                <w:sz w:val="20"/>
                <w:szCs w:val="20"/>
              </w:rPr>
              <w:t>Global potential for EOR related CO</w:t>
            </w:r>
            <w:r w:rsidRPr="002D507A">
              <w:rPr>
                <w:sz w:val="20"/>
                <w:szCs w:val="20"/>
                <w:vertAlign w:val="subscript"/>
              </w:rPr>
              <w:t>2</w:t>
            </w:r>
            <w:r w:rsidRPr="002D507A">
              <w:rPr>
                <w:sz w:val="20"/>
                <w:szCs w:val="20"/>
              </w:rPr>
              <w:t xml:space="preserve"> storage of 38-87 Gt-C (</w:t>
            </w:r>
            <w:proofErr w:type="spellStart"/>
            <w:r w:rsidRPr="002D507A">
              <w:rPr>
                <w:sz w:val="20"/>
                <w:szCs w:val="20"/>
              </w:rPr>
              <w:t>Godec</w:t>
            </w:r>
            <w:proofErr w:type="spellEnd"/>
            <w:r w:rsidRPr="002D507A">
              <w:rPr>
                <w:sz w:val="20"/>
                <w:szCs w:val="20"/>
              </w:rPr>
              <w:t xml:space="preserve"> et al 2011).</w:t>
            </w:r>
          </w:p>
        </w:tc>
      </w:tr>
      <w:tr w:rsidR="00B96D88" w:rsidRPr="002D507A" w:rsidTr="00104B6B">
        <w:tc>
          <w:tcPr>
            <w:tcW w:w="1271" w:type="dxa"/>
            <w:shd w:val="clear" w:color="auto" w:fill="E7E6E6" w:themeFill="background2"/>
          </w:tcPr>
          <w:p w:rsidR="00B96D88" w:rsidRPr="002D507A" w:rsidRDefault="00B96D88" w:rsidP="00104B6B">
            <w:pPr>
              <w:rPr>
                <w:b/>
              </w:rPr>
            </w:pPr>
            <w:r w:rsidRPr="002D507A">
              <w:rPr>
                <w:b/>
              </w:rPr>
              <w:t>MD</w:t>
            </w:r>
            <w:r w:rsidRPr="002D507A">
              <w:rPr>
                <w:b/>
                <w:vertAlign w:val="subscript"/>
              </w:rPr>
              <w:t>3</w:t>
            </w:r>
          </w:p>
        </w:tc>
        <w:tc>
          <w:tcPr>
            <w:tcW w:w="3544" w:type="dxa"/>
            <w:shd w:val="clear" w:color="auto" w:fill="E7E6E6" w:themeFill="background2"/>
          </w:tcPr>
          <w:p w:rsidR="00B96D88" w:rsidRPr="002D507A" w:rsidRDefault="00B96D88" w:rsidP="00104B6B">
            <w:pPr>
              <w:rPr>
                <w:sz w:val="20"/>
                <w:szCs w:val="20"/>
              </w:rPr>
            </w:pPr>
            <w:r w:rsidRPr="002D507A">
              <w:rPr>
                <w:sz w:val="20"/>
                <w:szCs w:val="20"/>
              </w:rPr>
              <w:t xml:space="preserve">Type 3 mitigation deterrence (mitigation foregone, or imaginary offsets) </w:t>
            </w:r>
          </w:p>
        </w:tc>
        <w:tc>
          <w:tcPr>
            <w:tcW w:w="1134" w:type="dxa"/>
            <w:shd w:val="clear" w:color="auto" w:fill="E7E6E6" w:themeFill="background2"/>
          </w:tcPr>
          <w:p w:rsidR="00B96D88" w:rsidRPr="002D507A" w:rsidRDefault="00B96D88" w:rsidP="00104B6B">
            <w:pPr>
              <w:rPr>
                <w:b/>
                <w:bCs/>
                <w:sz w:val="20"/>
                <w:szCs w:val="20"/>
              </w:rPr>
            </w:pPr>
            <w:r w:rsidRPr="002D507A">
              <w:rPr>
                <w:b/>
                <w:bCs/>
                <w:sz w:val="20"/>
                <w:szCs w:val="20"/>
              </w:rPr>
              <w:t>182-297</w:t>
            </w:r>
          </w:p>
          <w:p w:rsidR="00B96D88" w:rsidRPr="002D507A" w:rsidRDefault="00B96D88" w:rsidP="00104B6B">
            <w:pPr>
              <w:rPr>
                <w:b/>
                <w:bCs/>
                <w:sz w:val="20"/>
                <w:szCs w:val="20"/>
              </w:rPr>
            </w:pPr>
          </w:p>
        </w:tc>
        <w:tc>
          <w:tcPr>
            <w:tcW w:w="3969" w:type="dxa"/>
            <w:shd w:val="clear" w:color="auto" w:fill="E7E6E6" w:themeFill="background2"/>
          </w:tcPr>
          <w:p w:rsidR="00B96D88" w:rsidRPr="002D507A" w:rsidRDefault="00B96D88" w:rsidP="00104B6B">
            <w:pPr>
              <w:rPr>
                <w:sz w:val="20"/>
                <w:szCs w:val="20"/>
              </w:rPr>
            </w:pPr>
            <w:r w:rsidRPr="002D507A">
              <w:rPr>
                <w:sz w:val="20"/>
                <w:szCs w:val="20"/>
              </w:rPr>
              <w:t>MIT</w:t>
            </w:r>
            <w:r w:rsidRPr="002D507A">
              <w:rPr>
                <w:sz w:val="20"/>
                <w:szCs w:val="20"/>
                <w:vertAlign w:val="subscript"/>
              </w:rPr>
              <w:t>100</w:t>
            </w:r>
            <w:r w:rsidRPr="002D507A">
              <w:rPr>
                <w:sz w:val="20"/>
                <w:szCs w:val="20"/>
              </w:rPr>
              <w:t xml:space="preserve"> – (CBUD</w:t>
            </w:r>
            <w:r w:rsidRPr="002D507A">
              <w:rPr>
                <w:sz w:val="20"/>
                <w:szCs w:val="20"/>
                <w:vertAlign w:val="subscript"/>
              </w:rPr>
              <w:t xml:space="preserve">1.5 </w:t>
            </w:r>
            <w:r w:rsidRPr="002D507A">
              <w:rPr>
                <w:sz w:val="20"/>
                <w:szCs w:val="20"/>
              </w:rPr>
              <w:t xml:space="preserve">- </w:t>
            </w:r>
            <w:proofErr w:type="spellStart"/>
            <w:r w:rsidRPr="002D507A">
              <w:rPr>
                <w:sz w:val="20"/>
                <w:szCs w:val="20"/>
              </w:rPr>
              <w:t>GGR</w:t>
            </w:r>
            <w:r w:rsidRPr="002D507A">
              <w:rPr>
                <w:sz w:val="20"/>
                <w:szCs w:val="20"/>
                <w:vertAlign w:val="subscript"/>
              </w:rPr>
              <w:t>req</w:t>
            </w:r>
            <w:proofErr w:type="spellEnd"/>
            <w:r w:rsidRPr="002D507A">
              <w:rPr>
                <w:sz w:val="20"/>
                <w:szCs w:val="20"/>
                <w:vertAlign w:val="subscript"/>
              </w:rPr>
              <w:t>)</w:t>
            </w:r>
            <w:r>
              <w:rPr>
                <w:sz w:val="20"/>
                <w:szCs w:val="20"/>
              </w:rPr>
              <w:t xml:space="preserve">, </w:t>
            </w:r>
            <w:r w:rsidRPr="002D507A">
              <w:rPr>
                <w:sz w:val="20"/>
                <w:szCs w:val="20"/>
              </w:rPr>
              <w:t>(= residual emissions reduction costing over $100/t-CO</w:t>
            </w:r>
            <w:r w:rsidRPr="002D507A">
              <w:rPr>
                <w:sz w:val="20"/>
                <w:szCs w:val="20"/>
                <w:vertAlign w:val="subscript"/>
              </w:rPr>
              <w:t>2</w:t>
            </w:r>
            <w:r w:rsidRPr="002D507A">
              <w:rPr>
                <w:sz w:val="20"/>
                <w:szCs w:val="20"/>
              </w:rPr>
              <w:t>)</w:t>
            </w:r>
          </w:p>
        </w:tc>
      </w:tr>
      <w:tr w:rsidR="00B96D88" w:rsidRPr="002D507A" w:rsidTr="00104B6B">
        <w:tc>
          <w:tcPr>
            <w:tcW w:w="1271" w:type="dxa"/>
          </w:tcPr>
          <w:p w:rsidR="00B96D88" w:rsidRPr="002D507A" w:rsidRDefault="00B96D88" w:rsidP="00104B6B">
            <w:r w:rsidRPr="002D507A">
              <w:t>MIT</w:t>
            </w:r>
            <w:r w:rsidRPr="002D507A">
              <w:rPr>
                <w:vertAlign w:val="subscript"/>
              </w:rPr>
              <w:t>100</w:t>
            </w:r>
          </w:p>
        </w:tc>
        <w:tc>
          <w:tcPr>
            <w:tcW w:w="3544" w:type="dxa"/>
          </w:tcPr>
          <w:p w:rsidR="00B96D88" w:rsidRPr="002D507A" w:rsidRDefault="00B96D88" w:rsidP="00104B6B">
            <w:pPr>
              <w:rPr>
                <w:sz w:val="20"/>
                <w:szCs w:val="20"/>
              </w:rPr>
            </w:pPr>
            <w:r w:rsidRPr="002D507A">
              <w:rPr>
                <w:sz w:val="20"/>
                <w:szCs w:val="20"/>
              </w:rPr>
              <w:t>Amount of emissions that would cost over $100/t-CO</w:t>
            </w:r>
            <w:r w:rsidRPr="002D507A">
              <w:rPr>
                <w:sz w:val="20"/>
                <w:szCs w:val="20"/>
                <w:vertAlign w:val="subscript"/>
              </w:rPr>
              <w:t>2</w:t>
            </w:r>
            <w:r w:rsidRPr="002D507A">
              <w:rPr>
                <w:sz w:val="20"/>
                <w:szCs w:val="20"/>
              </w:rPr>
              <w:t xml:space="preserve"> to mitigate in an RCP6.0 baseline scenario.</w:t>
            </w:r>
          </w:p>
        </w:tc>
        <w:tc>
          <w:tcPr>
            <w:tcW w:w="1134" w:type="dxa"/>
          </w:tcPr>
          <w:p w:rsidR="00B96D88" w:rsidRPr="002D507A" w:rsidRDefault="00B96D88" w:rsidP="00104B6B">
            <w:pPr>
              <w:rPr>
                <w:sz w:val="20"/>
                <w:szCs w:val="20"/>
              </w:rPr>
            </w:pPr>
            <w:r w:rsidRPr="002D507A">
              <w:rPr>
                <w:sz w:val="20"/>
                <w:szCs w:val="20"/>
              </w:rPr>
              <w:t>543</w:t>
            </w:r>
          </w:p>
          <w:p w:rsidR="00B96D88" w:rsidRPr="002D507A" w:rsidRDefault="00B96D88" w:rsidP="00104B6B">
            <w:pPr>
              <w:rPr>
                <w:sz w:val="20"/>
                <w:szCs w:val="20"/>
              </w:rPr>
            </w:pPr>
          </w:p>
        </w:tc>
        <w:tc>
          <w:tcPr>
            <w:tcW w:w="3969" w:type="dxa"/>
          </w:tcPr>
          <w:p w:rsidR="00B96D88" w:rsidRPr="002D507A" w:rsidRDefault="00B96D88" w:rsidP="00104B6B">
            <w:pPr>
              <w:rPr>
                <w:sz w:val="20"/>
                <w:szCs w:val="20"/>
              </w:rPr>
            </w:pPr>
            <w:proofErr w:type="spellStart"/>
            <w:r w:rsidRPr="002D507A">
              <w:rPr>
                <w:sz w:val="20"/>
                <w:szCs w:val="20"/>
              </w:rPr>
              <w:t>EM</w:t>
            </w:r>
            <w:r w:rsidRPr="002D507A">
              <w:rPr>
                <w:sz w:val="20"/>
                <w:szCs w:val="20"/>
                <w:vertAlign w:val="subscript"/>
              </w:rPr>
              <w:t>base</w:t>
            </w:r>
            <w:proofErr w:type="spellEnd"/>
            <w:r w:rsidRPr="002D507A">
              <w:rPr>
                <w:sz w:val="20"/>
                <w:szCs w:val="20"/>
                <w:vertAlign w:val="subscript"/>
              </w:rPr>
              <w:t xml:space="preserve"> </w:t>
            </w:r>
            <w:r w:rsidRPr="002D507A">
              <w:rPr>
                <w:sz w:val="20"/>
                <w:szCs w:val="20"/>
              </w:rPr>
              <w:t>x PROP</w:t>
            </w:r>
            <w:r w:rsidRPr="002D507A">
              <w:rPr>
                <w:sz w:val="20"/>
                <w:szCs w:val="20"/>
                <w:vertAlign w:val="subscript"/>
              </w:rPr>
              <w:t>100</w:t>
            </w:r>
          </w:p>
        </w:tc>
      </w:tr>
      <w:tr w:rsidR="00B96D88" w:rsidRPr="002D507A" w:rsidTr="00104B6B">
        <w:tc>
          <w:tcPr>
            <w:tcW w:w="1271" w:type="dxa"/>
          </w:tcPr>
          <w:p w:rsidR="00B96D88" w:rsidRPr="002D507A" w:rsidRDefault="00B96D88" w:rsidP="00104B6B">
            <w:proofErr w:type="spellStart"/>
            <w:r w:rsidRPr="002D507A">
              <w:t>EM</w:t>
            </w:r>
            <w:r w:rsidRPr="002D507A">
              <w:rPr>
                <w:vertAlign w:val="subscript"/>
              </w:rPr>
              <w:t>base</w:t>
            </w:r>
            <w:proofErr w:type="spellEnd"/>
          </w:p>
        </w:tc>
        <w:tc>
          <w:tcPr>
            <w:tcW w:w="3544" w:type="dxa"/>
          </w:tcPr>
          <w:p w:rsidR="00B96D88" w:rsidRPr="002D507A" w:rsidRDefault="00B96D88" w:rsidP="00104B6B">
            <w:pPr>
              <w:rPr>
                <w:sz w:val="20"/>
                <w:szCs w:val="20"/>
              </w:rPr>
            </w:pPr>
            <w:r w:rsidRPr="002D507A">
              <w:rPr>
                <w:sz w:val="20"/>
                <w:szCs w:val="20"/>
              </w:rPr>
              <w:t>Baseline remaining cumulative emissions in RCP6.0 (2020-2100)</w:t>
            </w:r>
          </w:p>
        </w:tc>
        <w:tc>
          <w:tcPr>
            <w:tcW w:w="1134" w:type="dxa"/>
          </w:tcPr>
          <w:p w:rsidR="00B96D88" w:rsidRPr="002D507A" w:rsidRDefault="00B96D88" w:rsidP="00104B6B">
            <w:pPr>
              <w:rPr>
                <w:sz w:val="20"/>
                <w:szCs w:val="20"/>
              </w:rPr>
            </w:pPr>
            <w:r w:rsidRPr="002D507A">
              <w:rPr>
                <w:sz w:val="20"/>
                <w:szCs w:val="20"/>
              </w:rPr>
              <w:t>1087</w:t>
            </w:r>
          </w:p>
          <w:p w:rsidR="00B96D88" w:rsidRPr="002D507A" w:rsidRDefault="00B96D88" w:rsidP="00104B6B">
            <w:pPr>
              <w:rPr>
                <w:sz w:val="20"/>
                <w:szCs w:val="20"/>
              </w:rPr>
            </w:pPr>
          </w:p>
        </w:tc>
        <w:tc>
          <w:tcPr>
            <w:tcW w:w="3969" w:type="dxa"/>
          </w:tcPr>
          <w:p w:rsidR="00B96D88" w:rsidRPr="002D507A" w:rsidRDefault="00B96D88" w:rsidP="00104B6B">
            <w:pPr>
              <w:rPr>
                <w:sz w:val="20"/>
                <w:szCs w:val="20"/>
              </w:rPr>
            </w:pPr>
            <w:r w:rsidRPr="002D507A">
              <w:rPr>
                <w:sz w:val="20"/>
                <w:szCs w:val="20"/>
              </w:rPr>
              <w:t>IPCC (2014) – 987-1360 Gt-C (2011-2100), less cumulative emissions from 2011-2019 (87Gt-C): median 1087 Gt-C.</w:t>
            </w:r>
          </w:p>
        </w:tc>
      </w:tr>
      <w:tr w:rsidR="00B96D88" w:rsidRPr="002D507A" w:rsidTr="00104B6B">
        <w:tc>
          <w:tcPr>
            <w:tcW w:w="1271" w:type="dxa"/>
          </w:tcPr>
          <w:p w:rsidR="00B96D88" w:rsidRPr="002D507A" w:rsidRDefault="00B96D88" w:rsidP="00104B6B">
            <w:r w:rsidRPr="002D507A">
              <w:t>CBUD</w:t>
            </w:r>
            <w:r w:rsidRPr="002D507A">
              <w:rPr>
                <w:vertAlign w:val="subscript"/>
              </w:rPr>
              <w:t>1.5</w:t>
            </w:r>
          </w:p>
        </w:tc>
        <w:tc>
          <w:tcPr>
            <w:tcW w:w="3544" w:type="dxa"/>
          </w:tcPr>
          <w:p w:rsidR="00B96D88" w:rsidRPr="002D507A" w:rsidRDefault="00B96D88" w:rsidP="00104B6B">
            <w:pPr>
              <w:rPr>
                <w:sz w:val="20"/>
                <w:szCs w:val="20"/>
              </w:rPr>
            </w:pPr>
            <w:r w:rsidRPr="002D507A">
              <w:rPr>
                <w:sz w:val="20"/>
                <w:szCs w:val="20"/>
              </w:rPr>
              <w:t>Permitted unabated emissions (2020-2100)</w:t>
            </w:r>
            <w:r>
              <w:rPr>
                <w:sz w:val="20"/>
                <w:szCs w:val="20"/>
              </w:rPr>
              <w:t xml:space="preserve"> </w:t>
            </w:r>
            <w:r w:rsidRPr="002D507A">
              <w:rPr>
                <w:sz w:val="20"/>
                <w:szCs w:val="20"/>
              </w:rPr>
              <w:t xml:space="preserve">compatible with 1.5°C scenarios </w:t>
            </w:r>
          </w:p>
        </w:tc>
        <w:tc>
          <w:tcPr>
            <w:tcW w:w="1134" w:type="dxa"/>
          </w:tcPr>
          <w:p w:rsidR="00B96D88" w:rsidRPr="002D507A" w:rsidRDefault="00B96D88" w:rsidP="00104B6B">
            <w:pPr>
              <w:rPr>
                <w:sz w:val="20"/>
                <w:szCs w:val="20"/>
              </w:rPr>
            </w:pPr>
            <w:r w:rsidRPr="002D507A">
              <w:rPr>
                <w:sz w:val="20"/>
                <w:szCs w:val="20"/>
              </w:rPr>
              <w:t>80-176</w:t>
            </w:r>
          </w:p>
        </w:tc>
        <w:tc>
          <w:tcPr>
            <w:tcW w:w="3969" w:type="dxa"/>
          </w:tcPr>
          <w:p w:rsidR="00B96D88" w:rsidRPr="002D507A" w:rsidRDefault="00B96D88" w:rsidP="00104B6B">
            <w:pPr>
              <w:rPr>
                <w:sz w:val="20"/>
                <w:szCs w:val="20"/>
              </w:rPr>
            </w:pPr>
            <w:r w:rsidRPr="002D507A">
              <w:rPr>
                <w:sz w:val="20"/>
                <w:szCs w:val="20"/>
              </w:rPr>
              <w:t xml:space="preserve">IPCC (2018) adjusted for estimated emissions from 2017-2019. </w:t>
            </w:r>
          </w:p>
        </w:tc>
      </w:tr>
      <w:tr w:rsidR="00B96D88" w:rsidRPr="002D507A" w:rsidTr="00104B6B">
        <w:tc>
          <w:tcPr>
            <w:tcW w:w="1271" w:type="dxa"/>
          </w:tcPr>
          <w:p w:rsidR="00B96D88" w:rsidRPr="002D507A" w:rsidRDefault="00B96D88" w:rsidP="00104B6B">
            <w:r w:rsidRPr="002D507A">
              <w:t>PROP</w:t>
            </w:r>
            <w:r w:rsidRPr="002D507A">
              <w:rPr>
                <w:vertAlign w:val="subscript"/>
              </w:rPr>
              <w:t>100</w:t>
            </w:r>
          </w:p>
        </w:tc>
        <w:tc>
          <w:tcPr>
            <w:tcW w:w="3544" w:type="dxa"/>
          </w:tcPr>
          <w:p w:rsidR="00B96D88" w:rsidRPr="002D507A" w:rsidRDefault="00B96D88" w:rsidP="00104B6B">
            <w:pPr>
              <w:rPr>
                <w:sz w:val="20"/>
                <w:szCs w:val="20"/>
              </w:rPr>
            </w:pPr>
            <w:r w:rsidRPr="002D507A">
              <w:rPr>
                <w:sz w:val="20"/>
                <w:szCs w:val="20"/>
              </w:rPr>
              <w:t>The proportion of total emissions mitigation costing more than $100/t-CO</w:t>
            </w:r>
            <w:r w:rsidRPr="002D507A">
              <w:rPr>
                <w:sz w:val="20"/>
                <w:szCs w:val="20"/>
                <w:vertAlign w:val="subscript"/>
              </w:rPr>
              <w:t>2</w:t>
            </w:r>
            <w:r w:rsidRPr="002D507A">
              <w:rPr>
                <w:sz w:val="20"/>
                <w:szCs w:val="20"/>
              </w:rPr>
              <w:t xml:space="preserve"> given an RCP6.0 baseline</w:t>
            </w:r>
          </w:p>
        </w:tc>
        <w:tc>
          <w:tcPr>
            <w:tcW w:w="1134" w:type="dxa"/>
          </w:tcPr>
          <w:p w:rsidR="00B96D88" w:rsidRPr="002D507A" w:rsidRDefault="00B96D88" w:rsidP="00104B6B">
            <w:pPr>
              <w:rPr>
                <w:sz w:val="20"/>
                <w:szCs w:val="20"/>
              </w:rPr>
            </w:pPr>
            <w:r w:rsidRPr="002D507A">
              <w:rPr>
                <w:sz w:val="20"/>
                <w:szCs w:val="20"/>
              </w:rPr>
              <w:t>50%</w:t>
            </w:r>
          </w:p>
        </w:tc>
        <w:tc>
          <w:tcPr>
            <w:tcW w:w="3969" w:type="dxa"/>
          </w:tcPr>
          <w:p w:rsidR="00B96D88" w:rsidRPr="002D507A" w:rsidRDefault="00B96D88" w:rsidP="00104B6B">
            <w:pPr>
              <w:rPr>
                <w:sz w:val="20"/>
                <w:szCs w:val="20"/>
              </w:rPr>
            </w:pPr>
            <w:r w:rsidRPr="002D507A">
              <w:rPr>
                <w:sz w:val="20"/>
                <w:szCs w:val="20"/>
              </w:rPr>
              <w:t xml:space="preserve">IPCC (2007) estimate of economic mitigation at 2030 </w:t>
            </w:r>
          </w:p>
        </w:tc>
      </w:tr>
    </w:tbl>
    <w:p w:rsidR="00B96D88" w:rsidRPr="002D507A" w:rsidRDefault="00B96D88" w:rsidP="00B96D88"/>
    <w:p w:rsidR="00B96D88" w:rsidRDefault="00B96D88" w:rsidP="00B96D88">
      <w:pPr>
        <w:rPr>
          <w:b/>
        </w:rPr>
      </w:pPr>
      <w:r>
        <w:rPr>
          <w:b/>
        </w:rPr>
        <w:br w:type="page"/>
      </w:r>
    </w:p>
    <w:p w:rsidR="00B96D88" w:rsidRDefault="00B96D88" w:rsidP="00B96D88">
      <w:pPr>
        <w:rPr>
          <w:b/>
        </w:rPr>
      </w:pPr>
    </w:p>
    <w:p w:rsidR="00B96D88" w:rsidRPr="0003272C" w:rsidRDefault="00B96D88" w:rsidP="00B96D88">
      <w:pPr>
        <w:pStyle w:val="Heading4"/>
        <w:rPr>
          <w:b/>
        </w:rPr>
      </w:pPr>
      <w:r w:rsidRPr="0003272C">
        <w:rPr>
          <w:b/>
        </w:rPr>
        <w:t>Type 1</w:t>
      </w:r>
    </w:p>
    <w:p w:rsidR="00B96D88" w:rsidRDefault="00B96D88" w:rsidP="00B96D88">
      <w:r>
        <w:t>The estimates of mitigation deterrence begin in Section 3.1 using the modelled requirements for GGR in 1.5°C compliant pathways (</w:t>
      </w:r>
      <w:proofErr w:type="spellStart"/>
      <w:r>
        <w:t>GGR</w:t>
      </w:r>
      <w:r w:rsidRPr="00B648C7">
        <w:rPr>
          <w:vertAlign w:val="subscript"/>
        </w:rPr>
        <w:t>req</w:t>
      </w:r>
      <w:proofErr w:type="spellEnd"/>
      <w:r>
        <w:t>), treating this as a reasonable synthesis estimate of the likely requirement (see Supplementary Table 2). Higher initial estimates of GGR deployment in more recent modelling including both BECCS and DAC technologies (</w:t>
      </w:r>
      <w:proofErr w:type="spellStart"/>
      <w:r>
        <w:t>GGR</w:t>
      </w:r>
      <w:r>
        <w:rPr>
          <w:vertAlign w:val="subscript"/>
        </w:rPr>
        <w:t>dac</w:t>
      </w:r>
      <w:proofErr w:type="spellEnd"/>
      <w:r>
        <w:t xml:space="preserve">) </w:t>
      </w:r>
      <w:proofErr w:type="gramStart"/>
      <w:r>
        <w:t>are also noted</w:t>
      </w:r>
      <w:proofErr w:type="gramEnd"/>
      <w:r>
        <w:t xml:space="preserve">, because the modelling work synthesized in SR1.5 relied almost entirely on the single (constrained) GGR technology of BECCS. Modelling which also includes DAC (and promises of DAC) may therefore provide a more realistic estimate of current expectations. </w:t>
      </w:r>
    </w:p>
    <w:p w:rsidR="00B96D88" w:rsidRDefault="00B96D88" w:rsidP="00B96D88">
      <w:pPr>
        <w:rPr>
          <w:b/>
        </w:rPr>
      </w:pPr>
    </w:p>
    <w:p w:rsidR="00B96D88" w:rsidRPr="00247623" w:rsidRDefault="00B96D88" w:rsidP="00B96D88">
      <w:pPr>
        <w:pStyle w:val="Standard"/>
        <w:spacing w:after="200"/>
        <w:rPr>
          <w:rFonts w:asciiTheme="minorHAnsi" w:hAnsiTheme="minorHAnsi" w:cstheme="minorHAnsi"/>
          <w:b/>
          <w:sz w:val="28"/>
          <w:szCs w:val="28"/>
        </w:rPr>
      </w:pPr>
      <w:r>
        <w:rPr>
          <w:rFonts w:asciiTheme="minorHAnsi" w:hAnsiTheme="minorHAnsi" w:cstheme="minorHAnsi"/>
          <w:b/>
          <w:sz w:val="28"/>
          <w:szCs w:val="28"/>
        </w:rPr>
        <w:t>Supplementary table 2</w:t>
      </w:r>
      <w:r w:rsidRPr="00247623">
        <w:rPr>
          <w:rFonts w:asciiTheme="minorHAnsi" w:hAnsiTheme="minorHAnsi" w:cstheme="minorHAnsi"/>
          <w:b/>
          <w:sz w:val="28"/>
          <w:szCs w:val="28"/>
        </w:rPr>
        <w:t>: Estimates of the scale of GGR required to 2100</w:t>
      </w:r>
    </w:p>
    <w:tbl>
      <w:tblPr>
        <w:tblStyle w:val="TableGrid"/>
        <w:tblW w:w="9628" w:type="dxa"/>
        <w:tblLook w:val="04A0" w:firstRow="1" w:lastRow="0" w:firstColumn="1" w:lastColumn="0" w:noHBand="0" w:noVBand="1"/>
      </w:tblPr>
      <w:tblGrid>
        <w:gridCol w:w="2405"/>
        <w:gridCol w:w="1418"/>
        <w:gridCol w:w="2551"/>
        <w:gridCol w:w="3254"/>
      </w:tblGrid>
      <w:tr w:rsidR="00B96D88" w:rsidRPr="00247623" w:rsidTr="00104B6B">
        <w:trPr>
          <w:trHeight w:val="878"/>
        </w:trPr>
        <w:tc>
          <w:tcPr>
            <w:tcW w:w="2405" w:type="dxa"/>
            <w:noWrap/>
            <w:hideMark/>
          </w:tcPr>
          <w:p w:rsidR="00B96D88" w:rsidRPr="00247623" w:rsidRDefault="00B96D88" w:rsidP="00104B6B">
            <w:pPr>
              <w:rPr>
                <w:b/>
                <w:lang w:eastAsia="en-GB" w:bidi="ar-SA"/>
              </w:rPr>
            </w:pPr>
            <w:r w:rsidRPr="00247623">
              <w:rPr>
                <w:b/>
                <w:lang w:eastAsia="en-GB" w:bidi="ar-SA"/>
              </w:rPr>
              <w:t xml:space="preserve">Source </w:t>
            </w:r>
          </w:p>
          <w:p w:rsidR="00B96D88" w:rsidRPr="00247623" w:rsidRDefault="00B96D88" w:rsidP="00104B6B">
            <w:pPr>
              <w:rPr>
                <w:b/>
                <w:lang w:eastAsia="en-GB" w:bidi="ar-SA"/>
              </w:rPr>
            </w:pPr>
          </w:p>
        </w:tc>
        <w:tc>
          <w:tcPr>
            <w:tcW w:w="1418" w:type="dxa"/>
            <w:hideMark/>
          </w:tcPr>
          <w:p w:rsidR="00B96D88" w:rsidRPr="00247623" w:rsidRDefault="00B96D88" w:rsidP="00104B6B">
            <w:pPr>
              <w:jc w:val="right"/>
              <w:rPr>
                <w:b/>
                <w:lang w:eastAsia="en-GB" w:bidi="ar-SA"/>
              </w:rPr>
            </w:pPr>
            <w:r w:rsidRPr="00247623">
              <w:rPr>
                <w:b/>
                <w:lang w:eastAsia="en-GB" w:bidi="ar-SA"/>
              </w:rPr>
              <w:t>Cumulative GGR (Gt-C, to 2100)</w:t>
            </w:r>
          </w:p>
        </w:tc>
        <w:tc>
          <w:tcPr>
            <w:tcW w:w="2551" w:type="dxa"/>
            <w:noWrap/>
            <w:hideMark/>
          </w:tcPr>
          <w:p w:rsidR="00B96D88" w:rsidRPr="00247623" w:rsidRDefault="00B96D88" w:rsidP="00104B6B">
            <w:pPr>
              <w:rPr>
                <w:b/>
                <w:lang w:eastAsia="en-GB" w:bidi="ar-SA"/>
              </w:rPr>
            </w:pPr>
            <w:r w:rsidRPr="00247623">
              <w:rPr>
                <w:b/>
                <w:lang w:eastAsia="en-GB" w:bidi="ar-SA"/>
              </w:rPr>
              <w:t>Target</w:t>
            </w:r>
          </w:p>
          <w:p w:rsidR="00B96D88" w:rsidRPr="00247623" w:rsidRDefault="00B96D88" w:rsidP="00104B6B">
            <w:pPr>
              <w:rPr>
                <w:b/>
                <w:lang w:eastAsia="en-GB" w:bidi="ar-SA"/>
              </w:rPr>
            </w:pPr>
          </w:p>
        </w:tc>
        <w:tc>
          <w:tcPr>
            <w:tcW w:w="3254" w:type="dxa"/>
          </w:tcPr>
          <w:p w:rsidR="00B96D88" w:rsidRPr="00247623" w:rsidRDefault="00B96D88" w:rsidP="00104B6B">
            <w:pPr>
              <w:rPr>
                <w:b/>
                <w:lang w:eastAsia="en-GB" w:bidi="ar-SA"/>
              </w:rPr>
            </w:pPr>
            <w:r w:rsidRPr="00247623">
              <w:rPr>
                <w:b/>
                <w:lang w:eastAsia="en-GB" w:bidi="ar-SA"/>
              </w:rPr>
              <w:t>Role in this paper</w:t>
            </w:r>
          </w:p>
        </w:tc>
      </w:tr>
      <w:tr w:rsidR="00B96D88" w:rsidRPr="00247623" w:rsidTr="00104B6B">
        <w:trPr>
          <w:trHeight w:val="285"/>
        </w:trPr>
        <w:tc>
          <w:tcPr>
            <w:tcW w:w="2405" w:type="dxa"/>
            <w:noWrap/>
          </w:tcPr>
          <w:p w:rsidR="00B96D88" w:rsidRPr="00247623" w:rsidRDefault="00B96D88" w:rsidP="00104B6B">
            <w:pPr>
              <w:rPr>
                <w:lang w:eastAsia="en-GB" w:bidi="ar-SA"/>
              </w:rPr>
            </w:pPr>
            <w:r w:rsidRPr="00247623">
              <w:rPr>
                <w:lang w:eastAsia="en-GB" w:bidi="ar-SA"/>
              </w:rPr>
              <w:t>IPCC (2018)</w:t>
            </w:r>
          </w:p>
        </w:tc>
        <w:tc>
          <w:tcPr>
            <w:tcW w:w="1418" w:type="dxa"/>
            <w:noWrap/>
          </w:tcPr>
          <w:p w:rsidR="00B96D88" w:rsidRPr="00247623" w:rsidRDefault="00B96D88" w:rsidP="00104B6B">
            <w:pPr>
              <w:jc w:val="right"/>
              <w:rPr>
                <w:lang w:eastAsia="en-GB" w:bidi="ar-SA"/>
              </w:rPr>
            </w:pPr>
            <w:r w:rsidRPr="00247623">
              <w:rPr>
                <w:lang w:eastAsia="en-GB" w:bidi="ar-SA"/>
              </w:rPr>
              <w:t>71-281</w:t>
            </w:r>
          </w:p>
          <w:p w:rsidR="00B96D88" w:rsidRPr="00247623" w:rsidRDefault="00B96D88" w:rsidP="00104B6B">
            <w:pPr>
              <w:jc w:val="right"/>
              <w:rPr>
                <w:lang w:eastAsia="en-GB" w:bidi="ar-SA"/>
              </w:rPr>
            </w:pPr>
          </w:p>
        </w:tc>
        <w:tc>
          <w:tcPr>
            <w:tcW w:w="2551" w:type="dxa"/>
            <w:noWrap/>
          </w:tcPr>
          <w:p w:rsidR="00B96D88" w:rsidRPr="00247623" w:rsidRDefault="00B96D88" w:rsidP="00104B6B">
            <w:pPr>
              <w:rPr>
                <w:lang w:eastAsia="en-GB" w:bidi="ar-SA"/>
              </w:rPr>
            </w:pPr>
            <w:r w:rsidRPr="00247623">
              <w:rPr>
                <w:lang w:eastAsia="en-GB" w:bidi="ar-SA"/>
              </w:rPr>
              <w:t>1.5°C (‘zero and no overshoot’ pathways)</w:t>
            </w:r>
          </w:p>
        </w:tc>
        <w:tc>
          <w:tcPr>
            <w:tcW w:w="3254" w:type="dxa"/>
          </w:tcPr>
          <w:p w:rsidR="00B96D88" w:rsidRPr="00247623" w:rsidRDefault="00B96D88" w:rsidP="00104B6B">
            <w:pPr>
              <w:rPr>
                <w:lang w:eastAsia="en-GB" w:bidi="ar-SA"/>
              </w:rPr>
            </w:pPr>
            <w:r w:rsidRPr="00247623">
              <w:rPr>
                <w:lang w:eastAsia="en-GB" w:bidi="ar-SA"/>
              </w:rPr>
              <w:t xml:space="preserve">Used as baseline for calculations in this paper </w:t>
            </w:r>
          </w:p>
        </w:tc>
      </w:tr>
      <w:tr w:rsidR="00B96D88" w:rsidRPr="00247623" w:rsidTr="00104B6B">
        <w:trPr>
          <w:trHeight w:val="285"/>
        </w:trPr>
        <w:tc>
          <w:tcPr>
            <w:tcW w:w="2405" w:type="dxa"/>
            <w:noWrap/>
          </w:tcPr>
          <w:p w:rsidR="00B96D88" w:rsidRPr="00247623" w:rsidRDefault="00B96D88" w:rsidP="00104B6B">
            <w:pPr>
              <w:rPr>
                <w:lang w:eastAsia="en-GB" w:bidi="ar-SA"/>
              </w:rPr>
            </w:pPr>
            <w:r w:rsidRPr="00247623">
              <w:rPr>
                <w:lang w:eastAsia="en-GB" w:bidi="ar-SA"/>
              </w:rPr>
              <w:t>Wiltshire and Davies-Barnard (2015)</w:t>
            </w:r>
          </w:p>
          <w:p w:rsidR="00B96D88" w:rsidRPr="00247623" w:rsidRDefault="00B96D88" w:rsidP="00104B6B">
            <w:pPr>
              <w:rPr>
                <w:lang w:eastAsia="en-GB" w:bidi="ar-SA"/>
              </w:rPr>
            </w:pPr>
            <w:r w:rsidRPr="00247623">
              <w:rPr>
                <w:lang w:eastAsia="en-GB" w:bidi="ar-SA"/>
              </w:rPr>
              <w:t xml:space="preserve">                             </w:t>
            </w:r>
          </w:p>
        </w:tc>
        <w:tc>
          <w:tcPr>
            <w:tcW w:w="1418" w:type="dxa"/>
            <w:noWrap/>
          </w:tcPr>
          <w:p w:rsidR="00B96D88" w:rsidRPr="00247623" w:rsidRDefault="00B96D88" w:rsidP="00104B6B">
            <w:pPr>
              <w:jc w:val="right"/>
              <w:rPr>
                <w:lang w:eastAsia="en-GB" w:bidi="ar-SA"/>
              </w:rPr>
            </w:pPr>
            <w:r w:rsidRPr="00247623">
              <w:rPr>
                <w:lang w:eastAsia="en-GB" w:bidi="ar-SA"/>
              </w:rPr>
              <w:t xml:space="preserve">166 </w:t>
            </w:r>
          </w:p>
          <w:p w:rsidR="00B96D88" w:rsidRPr="00247623" w:rsidRDefault="00B96D88" w:rsidP="00104B6B">
            <w:pPr>
              <w:jc w:val="right"/>
              <w:rPr>
                <w:lang w:eastAsia="en-GB" w:bidi="ar-SA"/>
              </w:rPr>
            </w:pPr>
            <w:r w:rsidRPr="00247623">
              <w:rPr>
                <w:lang w:eastAsia="en-GB" w:bidi="ar-SA"/>
              </w:rPr>
              <w:t>372</w:t>
            </w:r>
          </w:p>
        </w:tc>
        <w:tc>
          <w:tcPr>
            <w:tcW w:w="2551" w:type="dxa"/>
            <w:noWrap/>
          </w:tcPr>
          <w:p w:rsidR="00B96D88" w:rsidRPr="00247623" w:rsidRDefault="00B96D88" w:rsidP="00104B6B">
            <w:pPr>
              <w:rPr>
                <w:lang w:eastAsia="en-GB" w:bidi="ar-SA"/>
              </w:rPr>
            </w:pPr>
            <w:r w:rsidRPr="00247623">
              <w:rPr>
                <w:lang w:eastAsia="en-GB" w:bidi="ar-SA"/>
              </w:rPr>
              <w:t>2ᵒC (median 'compatible’)</w:t>
            </w:r>
          </w:p>
          <w:p w:rsidR="00B96D88" w:rsidRPr="00247623" w:rsidRDefault="00B96D88" w:rsidP="00104B6B">
            <w:pPr>
              <w:rPr>
                <w:lang w:eastAsia="en-GB" w:bidi="ar-SA"/>
              </w:rPr>
            </w:pPr>
            <w:r w:rsidRPr="00247623">
              <w:rPr>
                <w:lang w:eastAsia="en-GB" w:bidi="ar-SA"/>
              </w:rPr>
              <w:t>2ᵒC (90% chance)</w:t>
            </w:r>
          </w:p>
        </w:tc>
        <w:tc>
          <w:tcPr>
            <w:tcW w:w="3254" w:type="dxa"/>
          </w:tcPr>
          <w:p w:rsidR="00B96D88" w:rsidRPr="00247623" w:rsidRDefault="00B96D88" w:rsidP="00104B6B">
            <w:pPr>
              <w:rPr>
                <w:lang w:eastAsia="en-GB" w:bidi="ar-SA"/>
              </w:rPr>
            </w:pPr>
            <w:r w:rsidRPr="00247623">
              <w:rPr>
                <w:lang w:eastAsia="en-GB" w:bidi="ar-SA"/>
              </w:rPr>
              <w:t>Used to illustrate 2°C target GGR requirements</w:t>
            </w:r>
          </w:p>
        </w:tc>
      </w:tr>
      <w:tr w:rsidR="00B96D88" w:rsidRPr="00247623" w:rsidTr="00104B6B">
        <w:trPr>
          <w:trHeight w:val="285"/>
        </w:trPr>
        <w:tc>
          <w:tcPr>
            <w:tcW w:w="2405" w:type="dxa"/>
            <w:noWrap/>
          </w:tcPr>
          <w:p w:rsidR="00B96D88" w:rsidRPr="00247623" w:rsidRDefault="00B96D88" w:rsidP="00104B6B">
            <w:pPr>
              <w:rPr>
                <w:lang w:val="fr-FR" w:eastAsia="en-GB"/>
              </w:rPr>
            </w:pPr>
            <w:proofErr w:type="spellStart"/>
            <w:r w:rsidRPr="00247623">
              <w:rPr>
                <w:lang w:val="fr-FR" w:eastAsia="en-GB"/>
              </w:rPr>
              <w:t>Realmonte</w:t>
            </w:r>
            <w:proofErr w:type="spellEnd"/>
            <w:r w:rsidRPr="00247623">
              <w:rPr>
                <w:lang w:val="fr-FR" w:eastAsia="en-GB"/>
              </w:rPr>
              <w:t xml:space="preserve"> et al (2019)</w:t>
            </w:r>
          </w:p>
        </w:tc>
        <w:tc>
          <w:tcPr>
            <w:tcW w:w="1418" w:type="dxa"/>
            <w:noWrap/>
          </w:tcPr>
          <w:p w:rsidR="00B96D88" w:rsidRPr="00247623" w:rsidRDefault="00B96D88" w:rsidP="00104B6B">
            <w:pPr>
              <w:jc w:val="right"/>
              <w:rPr>
                <w:lang w:val="fr-FR" w:eastAsia="en-GB"/>
              </w:rPr>
            </w:pPr>
            <w:r w:rsidRPr="00247623">
              <w:rPr>
                <w:lang w:val="fr-FR" w:eastAsia="en-GB"/>
              </w:rPr>
              <w:t>164-327</w:t>
            </w:r>
          </w:p>
        </w:tc>
        <w:tc>
          <w:tcPr>
            <w:tcW w:w="2551" w:type="dxa"/>
            <w:noWrap/>
          </w:tcPr>
          <w:p w:rsidR="00B96D88" w:rsidRPr="00247623" w:rsidRDefault="00B96D88" w:rsidP="00104B6B">
            <w:pPr>
              <w:rPr>
                <w:lang w:eastAsia="en-GB"/>
              </w:rPr>
            </w:pPr>
            <w:r w:rsidRPr="00247623">
              <w:rPr>
                <w:lang w:eastAsia="en-GB"/>
              </w:rPr>
              <w:t xml:space="preserve">1.5°C </w:t>
            </w:r>
          </w:p>
        </w:tc>
        <w:tc>
          <w:tcPr>
            <w:tcW w:w="3254" w:type="dxa"/>
          </w:tcPr>
          <w:p w:rsidR="00B96D88" w:rsidRPr="00247623" w:rsidRDefault="00B96D88" w:rsidP="00104B6B">
            <w:pPr>
              <w:rPr>
                <w:lang w:eastAsia="en-GB"/>
              </w:rPr>
            </w:pPr>
            <w:r w:rsidRPr="00247623">
              <w:rPr>
                <w:lang w:eastAsia="en-GB"/>
              </w:rPr>
              <w:t>Used for upper bound, to illustrate implications of multiple technological GGRs</w:t>
            </w:r>
          </w:p>
        </w:tc>
      </w:tr>
      <w:tr w:rsidR="00B96D88" w:rsidRPr="00247623" w:rsidTr="00104B6B">
        <w:trPr>
          <w:trHeight w:val="285"/>
        </w:trPr>
        <w:tc>
          <w:tcPr>
            <w:tcW w:w="2405" w:type="dxa"/>
            <w:noWrap/>
          </w:tcPr>
          <w:p w:rsidR="00B96D88" w:rsidRPr="00247623" w:rsidRDefault="00B96D88" w:rsidP="00104B6B">
            <w:pPr>
              <w:rPr>
                <w:lang w:eastAsia="en-GB" w:bidi="ar-SA"/>
              </w:rPr>
            </w:pPr>
            <w:proofErr w:type="spellStart"/>
            <w:r w:rsidRPr="00247623">
              <w:rPr>
                <w:lang w:eastAsia="en-GB" w:bidi="ar-SA"/>
              </w:rPr>
              <w:t>Rogelj</w:t>
            </w:r>
            <w:proofErr w:type="spellEnd"/>
            <w:r w:rsidRPr="00247623">
              <w:rPr>
                <w:lang w:eastAsia="en-GB" w:bidi="ar-SA"/>
              </w:rPr>
              <w:t xml:space="preserve"> et al (2018)</w:t>
            </w:r>
          </w:p>
          <w:p w:rsidR="00B96D88" w:rsidRPr="00247623" w:rsidRDefault="00B96D88" w:rsidP="00104B6B">
            <w:pPr>
              <w:rPr>
                <w:lang w:eastAsia="en-GB" w:bidi="ar-SA"/>
              </w:rPr>
            </w:pPr>
          </w:p>
        </w:tc>
        <w:tc>
          <w:tcPr>
            <w:tcW w:w="1418" w:type="dxa"/>
            <w:noWrap/>
          </w:tcPr>
          <w:p w:rsidR="00B96D88" w:rsidRPr="00247623" w:rsidRDefault="00B96D88" w:rsidP="00104B6B">
            <w:pPr>
              <w:jc w:val="right"/>
              <w:rPr>
                <w:lang w:eastAsia="en-GB" w:bidi="ar-SA"/>
              </w:rPr>
            </w:pPr>
            <w:r w:rsidRPr="00247623">
              <w:rPr>
                <w:lang w:eastAsia="en-GB" w:bidi="ar-SA"/>
              </w:rPr>
              <w:t>38-262</w:t>
            </w:r>
          </w:p>
          <w:p w:rsidR="00B96D88" w:rsidRPr="00247623" w:rsidRDefault="00B96D88" w:rsidP="00104B6B">
            <w:pPr>
              <w:jc w:val="right"/>
              <w:rPr>
                <w:lang w:eastAsia="en-GB" w:bidi="ar-SA"/>
              </w:rPr>
            </w:pPr>
            <w:r w:rsidRPr="00247623">
              <w:rPr>
                <w:lang w:eastAsia="en-GB" w:bidi="ar-SA"/>
              </w:rPr>
              <w:t>44-327</w:t>
            </w:r>
          </w:p>
        </w:tc>
        <w:tc>
          <w:tcPr>
            <w:tcW w:w="2551" w:type="dxa"/>
            <w:noWrap/>
          </w:tcPr>
          <w:p w:rsidR="00B96D88" w:rsidRPr="00247623" w:rsidRDefault="00B96D88" w:rsidP="00104B6B">
            <w:pPr>
              <w:rPr>
                <w:lang w:eastAsia="en-GB" w:bidi="ar-SA"/>
              </w:rPr>
            </w:pPr>
            <w:r w:rsidRPr="00247623">
              <w:rPr>
                <w:lang w:eastAsia="en-GB" w:bidi="ar-SA"/>
              </w:rPr>
              <w:t>2.0ᵒC</w:t>
            </w:r>
          </w:p>
          <w:p w:rsidR="00B96D88" w:rsidRPr="00247623" w:rsidRDefault="00B96D88" w:rsidP="00104B6B">
            <w:pPr>
              <w:rPr>
                <w:lang w:eastAsia="en-GB" w:bidi="ar-SA"/>
              </w:rPr>
            </w:pPr>
            <w:r w:rsidRPr="00247623">
              <w:rPr>
                <w:lang w:eastAsia="en-GB" w:bidi="ar-SA"/>
              </w:rPr>
              <w:t>1.5ᵒC</w:t>
            </w:r>
          </w:p>
        </w:tc>
        <w:tc>
          <w:tcPr>
            <w:tcW w:w="3254" w:type="dxa"/>
            <w:vMerge w:val="restart"/>
          </w:tcPr>
          <w:p w:rsidR="00B96D88" w:rsidRPr="00247623" w:rsidRDefault="00B96D88" w:rsidP="00104B6B">
            <w:pPr>
              <w:rPr>
                <w:lang w:eastAsia="en-GB" w:bidi="ar-SA"/>
              </w:rPr>
            </w:pPr>
            <w:r w:rsidRPr="00247623">
              <w:rPr>
                <w:lang w:eastAsia="en-GB" w:bidi="ar-SA"/>
              </w:rPr>
              <w:t>Used to note the implications of shift between 2°C &amp; 1.5°C targets</w:t>
            </w:r>
          </w:p>
          <w:p w:rsidR="00B96D88" w:rsidRPr="00247623" w:rsidRDefault="00B96D88" w:rsidP="00104B6B">
            <w:pPr>
              <w:rPr>
                <w:lang w:eastAsia="en-GB" w:bidi="ar-SA"/>
              </w:rPr>
            </w:pPr>
          </w:p>
        </w:tc>
      </w:tr>
      <w:tr w:rsidR="00B96D88" w:rsidRPr="00247623" w:rsidTr="00104B6B">
        <w:trPr>
          <w:trHeight w:val="285"/>
        </w:trPr>
        <w:tc>
          <w:tcPr>
            <w:tcW w:w="2405" w:type="dxa"/>
            <w:noWrap/>
          </w:tcPr>
          <w:p w:rsidR="00B96D88" w:rsidRPr="00247623" w:rsidRDefault="00B96D88" w:rsidP="00104B6B">
            <w:pPr>
              <w:rPr>
                <w:lang w:eastAsia="en-GB" w:bidi="ar-SA"/>
              </w:rPr>
            </w:pPr>
            <w:proofErr w:type="spellStart"/>
            <w:r w:rsidRPr="00247623">
              <w:rPr>
                <w:lang w:eastAsia="en-GB" w:bidi="ar-SA"/>
              </w:rPr>
              <w:t>Luderer</w:t>
            </w:r>
            <w:proofErr w:type="spellEnd"/>
            <w:r w:rsidRPr="00247623">
              <w:rPr>
                <w:lang w:eastAsia="en-GB" w:bidi="ar-SA"/>
              </w:rPr>
              <w:t xml:space="preserve"> et al (2018)</w:t>
            </w:r>
          </w:p>
        </w:tc>
        <w:tc>
          <w:tcPr>
            <w:tcW w:w="1418" w:type="dxa"/>
            <w:noWrap/>
          </w:tcPr>
          <w:p w:rsidR="00B96D88" w:rsidRPr="00247623" w:rsidRDefault="00B96D88" w:rsidP="00104B6B">
            <w:pPr>
              <w:jc w:val="right"/>
              <w:rPr>
                <w:lang w:eastAsia="en-GB" w:bidi="ar-SA"/>
              </w:rPr>
            </w:pPr>
            <w:r w:rsidRPr="00247623">
              <w:rPr>
                <w:lang w:eastAsia="en-GB" w:bidi="ar-SA"/>
              </w:rPr>
              <w:t>98-210</w:t>
            </w:r>
          </w:p>
          <w:p w:rsidR="00B96D88" w:rsidRPr="00247623" w:rsidRDefault="00B96D88" w:rsidP="00104B6B">
            <w:pPr>
              <w:jc w:val="right"/>
              <w:rPr>
                <w:lang w:eastAsia="en-GB" w:bidi="ar-SA"/>
              </w:rPr>
            </w:pPr>
            <w:r w:rsidRPr="00247623">
              <w:rPr>
                <w:lang w:eastAsia="en-GB" w:bidi="ar-SA"/>
              </w:rPr>
              <w:t>175-259</w:t>
            </w:r>
          </w:p>
        </w:tc>
        <w:tc>
          <w:tcPr>
            <w:tcW w:w="2551" w:type="dxa"/>
            <w:noWrap/>
          </w:tcPr>
          <w:p w:rsidR="00B96D88" w:rsidRPr="00247623" w:rsidRDefault="00B96D88" w:rsidP="00104B6B">
            <w:pPr>
              <w:rPr>
                <w:lang w:eastAsia="en-GB" w:bidi="ar-SA"/>
              </w:rPr>
            </w:pPr>
            <w:r w:rsidRPr="00247623">
              <w:rPr>
                <w:lang w:eastAsia="en-GB" w:bidi="ar-SA"/>
              </w:rPr>
              <w:t>2.0ᵒC (67% chance)</w:t>
            </w:r>
          </w:p>
          <w:p w:rsidR="00B96D88" w:rsidRPr="00247623" w:rsidRDefault="00B96D88" w:rsidP="00104B6B">
            <w:pPr>
              <w:rPr>
                <w:lang w:eastAsia="en-GB" w:bidi="ar-SA"/>
              </w:rPr>
            </w:pPr>
            <w:r w:rsidRPr="00247623">
              <w:rPr>
                <w:lang w:eastAsia="en-GB" w:bidi="ar-SA"/>
              </w:rPr>
              <w:t>1.5ᵒC (50% chance)</w:t>
            </w:r>
          </w:p>
        </w:tc>
        <w:tc>
          <w:tcPr>
            <w:tcW w:w="3254" w:type="dxa"/>
            <w:vMerge/>
          </w:tcPr>
          <w:p w:rsidR="00B96D88" w:rsidRPr="00247623" w:rsidRDefault="00B96D88" w:rsidP="00104B6B">
            <w:pPr>
              <w:rPr>
                <w:lang w:eastAsia="en-GB" w:bidi="ar-SA"/>
              </w:rPr>
            </w:pPr>
          </w:p>
        </w:tc>
      </w:tr>
      <w:tr w:rsidR="00B96D88" w:rsidRPr="00247623" w:rsidTr="00104B6B">
        <w:trPr>
          <w:trHeight w:val="285"/>
        </w:trPr>
        <w:tc>
          <w:tcPr>
            <w:tcW w:w="2405" w:type="dxa"/>
            <w:noWrap/>
          </w:tcPr>
          <w:p w:rsidR="00B96D88" w:rsidRPr="00247623" w:rsidRDefault="00B96D88" w:rsidP="00104B6B">
            <w:pPr>
              <w:rPr>
                <w:lang w:val="fr-FR" w:eastAsia="en-GB"/>
              </w:rPr>
            </w:pPr>
            <w:proofErr w:type="spellStart"/>
            <w:r w:rsidRPr="00247623">
              <w:rPr>
                <w:lang w:eastAsia="en-GB" w:bidi="ar-SA"/>
              </w:rPr>
              <w:t>Grubler</w:t>
            </w:r>
            <w:proofErr w:type="spellEnd"/>
            <w:r w:rsidRPr="00247623">
              <w:rPr>
                <w:lang w:eastAsia="en-GB" w:bidi="ar-SA"/>
              </w:rPr>
              <w:t xml:space="preserve"> et al (2018)</w:t>
            </w:r>
          </w:p>
        </w:tc>
        <w:tc>
          <w:tcPr>
            <w:tcW w:w="1418" w:type="dxa"/>
            <w:noWrap/>
          </w:tcPr>
          <w:p w:rsidR="00B96D88" w:rsidRPr="00247623" w:rsidRDefault="00B96D88" w:rsidP="00104B6B">
            <w:pPr>
              <w:jc w:val="right"/>
              <w:rPr>
                <w:lang w:val="fr-FR" w:eastAsia="en-GB"/>
              </w:rPr>
            </w:pPr>
            <w:r w:rsidRPr="00247623">
              <w:rPr>
                <w:lang w:eastAsia="en-GB" w:bidi="ar-SA"/>
              </w:rPr>
              <w:t>46</w:t>
            </w:r>
          </w:p>
        </w:tc>
        <w:tc>
          <w:tcPr>
            <w:tcW w:w="2551" w:type="dxa"/>
            <w:noWrap/>
          </w:tcPr>
          <w:p w:rsidR="00B96D88" w:rsidRPr="00247623" w:rsidRDefault="00B96D88" w:rsidP="00104B6B">
            <w:pPr>
              <w:rPr>
                <w:lang w:eastAsia="en-GB"/>
              </w:rPr>
            </w:pPr>
            <w:r w:rsidRPr="00247623">
              <w:rPr>
                <w:lang w:eastAsia="en-GB"/>
              </w:rPr>
              <w:t>1.5°C</w:t>
            </w:r>
          </w:p>
        </w:tc>
        <w:tc>
          <w:tcPr>
            <w:tcW w:w="3254" w:type="dxa"/>
          </w:tcPr>
          <w:p w:rsidR="00B96D88" w:rsidRPr="00247623" w:rsidRDefault="00B96D88" w:rsidP="00104B6B">
            <w:pPr>
              <w:rPr>
                <w:lang w:eastAsia="en-GB"/>
              </w:rPr>
            </w:pPr>
            <w:r w:rsidRPr="00247623">
              <w:rPr>
                <w:lang w:eastAsia="en-GB" w:bidi="ar-SA"/>
              </w:rPr>
              <w:t>Used to illustrate GGR-minimising scenarios to calculate substitution</w:t>
            </w:r>
          </w:p>
        </w:tc>
      </w:tr>
    </w:tbl>
    <w:p w:rsidR="00B96D88" w:rsidRDefault="00B96D88" w:rsidP="00B96D88">
      <w:pPr>
        <w:rPr>
          <w:rFonts w:cs="Arial"/>
          <w:b/>
        </w:rPr>
      </w:pPr>
    </w:p>
    <w:p w:rsidR="00B96D88" w:rsidRDefault="00B96D88" w:rsidP="00B96D88"/>
    <w:p w:rsidR="00B96D88" w:rsidRDefault="00B96D88" w:rsidP="00B96D88">
      <w:r>
        <w:t xml:space="preserve">The modelled deployment is separated into two elements: first that which does not substitute for otherwise </w:t>
      </w:r>
      <w:proofErr w:type="spellStart"/>
      <w:r>
        <w:t>abateable</w:t>
      </w:r>
      <w:proofErr w:type="spellEnd"/>
      <w:r>
        <w:t xml:space="preserve"> emissions (</w:t>
      </w:r>
      <w:proofErr w:type="gramStart"/>
      <w:r>
        <w:t>basically GGR</w:t>
      </w:r>
      <w:proofErr w:type="gramEnd"/>
      <w:r>
        <w:t xml:space="preserve"> deployed to compensate for genuinely recalcitrant residual emissions); and second, that which does substitute (typically but not exclusively GGR which reverses excess emissions after a temporal delay (</w:t>
      </w:r>
      <w:proofErr w:type="spellStart"/>
      <w:r>
        <w:t>GGR</w:t>
      </w:r>
      <w:r>
        <w:rPr>
          <w:vertAlign w:val="subscript"/>
        </w:rPr>
        <w:t>sub</w:t>
      </w:r>
      <w:proofErr w:type="spellEnd"/>
      <w:r>
        <w:t xml:space="preserve">)). In the </w:t>
      </w:r>
      <w:proofErr w:type="gramStart"/>
      <w:r>
        <w:t>models</w:t>
      </w:r>
      <w:proofErr w:type="gramEnd"/>
      <w:r>
        <w:t xml:space="preserve"> such later GGR removals are largely matched by net increases in emissions in the near term, and thus failure to deliver GGR would mean that an additional amount of emissions equal to </w:t>
      </w:r>
      <w:proofErr w:type="spellStart"/>
      <w:r>
        <w:t>GGR</w:t>
      </w:r>
      <w:r>
        <w:rPr>
          <w:vertAlign w:val="subscript"/>
        </w:rPr>
        <w:t>sub</w:t>
      </w:r>
      <w:proofErr w:type="spellEnd"/>
      <w:r>
        <w:t xml:space="preserve"> would go unabated. </w:t>
      </w:r>
    </w:p>
    <w:p w:rsidR="00B96D88" w:rsidRDefault="00B96D88" w:rsidP="00B96D88"/>
    <w:p w:rsidR="00B96D88" w:rsidRDefault="00B96D88" w:rsidP="00B96D88">
      <w:r>
        <w:t xml:space="preserve">Estimates of the proportion of </w:t>
      </w:r>
      <w:proofErr w:type="gramStart"/>
      <w:r>
        <w:t xml:space="preserve">GGR which does substitute (the factor </w:t>
      </w:r>
      <w:proofErr w:type="spellStart"/>
      <w:r>
        <w:t>SUB</w:t>
      </w:r>
      <w:r w:rsidRPr="00FC043E">
        <w:rPr>
          <w:vertAlign w:val="subscript"/>
        </w:rPr>
        <w:t>rate</w:t>
      </w:r>
      <w:proofErr w:type="spellEnd"/>
      <w:r>
        <w:t>)</w:t>
      </w:r>
      <w:proofErr w:type="gramEnd"/>
      <w:r>
        <w:t xml:space="preserve"> are derived from two sources. </w:t>
      </w:r>
      <w:r>
        <w:rPr>
          <w:color w:val="333333"/>
          <w:spacing w:val="2"/>
          <w:shd w:val="clear" w:color="auto" w:fill="FCFCFC"/>
        </w:rPr>
        <w:t>First a minimum GGR requirement (</w:t>
      </w:r>
      <w:proofErr w:type="spellStart"/>
      <w:r>
        <w:rPr>
          <w:color w:val="333333"/>
          <w:spacing w:val="2"/>
          <w:shd w:val="clear" w:color="auto" w:fill="FCFCFC"/>
        </w:rPr>
        <w:t>GGR</w:t>
      </w:r>
      <w:r w:rsidRPr="00932B1E">
        <w:rPr>
          <w:color w:val="333333"/>
          <w:spacing w:val="2"/>
          <w:shd w:val="clear" w:color="auto" w:fill="FCFCFC"/>
          <w:vertAlign w:val="subscript"/>
        </w:rPr>
        <w:t>min</w:t>
      </w:r>
      <w:proofErr w:type="spellEnd"/>
      <w:r>
        <w:rPr>
          <w:color w:val="333333"/>
          <w:spacing w:val="2"/>
          <w:shd w:val="clear" w:color="auto" w:fill="FCFCFC"/>
        </w:rPr>
        <w:t xml:space="preserve">) derived from recent </w:t>
      </w:r>
      <w:r>
        <w:t xml:space="preserve">work exploring extremely ambitious mitigation </w:t>
      </w:r>
      <w:r>
        <w:fldChar w:fldCharType="begin">
          <w:fldData xml:space="preserve">PEVuZE5vdGU+PENpdGU+PEF1dGhvcj52YW4gVnV1cmVuPC9BdXRob3I+PFllYXI+MjAxODwvWWVh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</w:fldData>
        </w:fldChar>
      </w:r>
      <w:r>
        <w:instrText xml:space="preserve"> ADDIN EN.CITE </w:instrText>
      </w:r>
      <w:r>
        <w:fldChar w:fldCharType="begin">
          <w:fldData xml:space="preserve">PEVuZE5vdGU+PENpdGU+PEF1dGhvcj52YW4gVnV1cmVuPC9BdXRob3I+PFllYXI+MjAxODwvWWVh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</w:fldData>
        </w:fldChar>
      </w:r>
      <w:r>
        <w:instrText xml:space="preserve"> ADDIN EN.CITE.DATA </w:instrText>
      </w:r>
      <w:r>
        <w:fldChar w:fldCharType="end"/>
      </w:r>
      <w:r>
        <w:fldChar w:fldCharType="separate"/>
      </w:r>
      <w:r>
        <w:rPr>
          <w:noProof/>
        </w:rPr>
        <w:t>(</w:t>
      </w:r>
      <w:hyperlink w:anchor="_ENREF_4" w:tooltip="Grubler, 2018 #300" w:history="1">
        <w:r>
          <w:rPr>
            <w:noProof/>
          </w:rPr>
          <w:t>Grubler, Wilson et al. 2018</w:t>
        </w:r>
      </w:hyperlink>
      <w:r>
        <w:rPr>
          <w:noProof/>
        </w:rPr>
        <w:t xml:space="preserve">, </w:t>
      </w:r>
      <w:hyperlink w:anchor="_ENREF_13" w:tooltip="van Vuuren, 2018 #197" w:history="1">
        <w:r>
          <w:rPr>
            <w:noProof/>
          </w:rPr>
          <w:t>van Vuuren, Stehfest et al. 2018</w:t>
        </w:r>
      </w:hyperlink>
      <w:r>
        <w:rPr>
          <w:noProof/>
        </w:rPr>
        <w:t>)</w:t>
      </w:r>
      <w:r>
        <w:fldChar w:fldCharType="end"/>
      </w:r>
      <w:r>
        <w:t xml:space="preserve"> is compared with the GGR deployment in the IPCC (</w:t>
      </w:r>
      <w:proofErr w:type="spellStart"/>
      <w:r>
        <w:t>GGR</w:t>
      </w:r>
      <w:r w:rsidRPr="00932B1E">
        <w:rPr>
          <w:vertAlign w:val="subscript"/>
        </w:rPr>
        <w:t>req</w:t>
      </w:r>
      <w:proofErr w:type="spellEnd"/>
      <w:r>
        <w:t xml:space="preserve">). </w:t>
      </w:r>
      <w:proofErr w:type="spellStart"/>
      <w:r>
        <w:t>Grubler</w:t>
      </w:r>
      <w:proofErr w:type="spellEnd"/>
      <w:r>
        <w:t xml:space="preserve"> et al reduce cumulative GGR requirements (in the form of re- or afforestation)</w:t>
      </w:r>
      <w:r w:rsidRPr="006B1956">
        <w:t xml:space="preserve"> </w:t>
      </w:r>
      <w:r>
        <w:t xml:space="preserve">to as little as </w:t>
      </w:r>
      <w:proofErr w:type="gramStart"/>
      <w:r>
        <w:t>46Gt-C,</w:t>
      </w:r>
      <w:proofErr w:type="gramEnd"/>
      <w:r>
        <w:t xml:space="preserve"> or just 23% of the central GGR requirement in SR1.5 (199 Gt-C). This implies the remaining 77% of GGR substitutes for otherwise feasible mitigation. Comparing </w:t>
      </w:r>
      <w:proofErr w:type="spellStart"/>
      <w:r>
        <w:t>GGR</w:t>
      </w:r>
      <w:r w:rsidRPr="00932B1E">
        <w:rPr>
          <w:vertAlign w:val="subscript"/>
        </w:rPr>
        <w:t>min</w:t>
      </w:r>
      <w:proofErr w:type="spellEnd"/>
      <w:r>
        <w:t xml:space="preserve"> with the extremes of the IPCC GGR range would suggest substitution of 35% and 84% respectively. Second, a supplementary </w:t>
      </w:r>
      <w:proofErr w:type="spellStart"/>
      <w:r>
        <w:t>SUB</w:t>
      </w:r>
      <w:r w:rsidRPr="00FC043E">
        <w:rPr>
          <w:vertAlign w:val="subscript"/>
        </w:rPr>
        <w:t>rate</w:t>
      </w:r>
      <w:proofErr w:type="spellEnd"/>
      <w:r>
        <w:t xml:space="preserve"> estimate </w:t>
      </w:r>
      <w:proofErr w:type="gramStart"/>
      <w:r>
        <w:t>is extracted</w:t>
      </w:r>
      <w:proofErr w:type="gramEnd"/>
      <w:r>
        <w:t xml:space="preserve"> from previous 2°C scenario modelling which explicitly calculates the </w:t>
      </w:r>
      <w:r>
        <w:rPr>
          <w:color w:val="333333"/>
          <w:spacing w:val="2"/>
          <w:shd w:val="clear" w:color="auto" w:fill="FCFCFC"/>
        </w:rPr>
        <w:t xml:space="preserve">decrement in emissions reduction arising from the introduction of GGR in the same model. </w:t>
      </w:r>
      <w:r w:rsidRPr="007A44CA">
        <w:rPr>
          <w:color w:val="333333"/>
          <w:spacing w:val="2"/>
          <w:shd w:val="clear" w:color="auto" w:fill="FCFCFC"/>
        </w:rPr>
        <w:t xml:space="preserve">Reviewing findings from five </w:t>
      </w:r>
      <w:r>
        <w:rPr>
          <w:color w:val="333333"/>
          <w:spacing w:val="2"/>
          <w:shd w:val="clear" w:color="auto" w:fill="FCFCFC"/>
        </w:rPr>
        <w:t>IAMs</w:t>
      </w:r>
      <w:r w:rsidRPr="007A44CA">
        <w:rPr>
          <w:color w:val="333333"/>
          <w:spacing w:val="2"/>
          <w:shd w:val="clear" w:color="auto" w:fill="FCFCFC"/>
        </w:rPr>
        <w:t xml:space="preserve">, </w:t>
      </w:r>
      <w:proofErr w:type="spellStart"/>
      <w:r w:rsidRPr="007A44CA">
        <w:rPr>
          <w:color w:val="333333"/>
          <w:spacing w:val="2"/>
          <w:shd w:val="clear" w:color="auto" w:fill="FCFCFC"/>
        </w:rPr>
        <w:t>Tavoni</w:t>
      </w:r>
      <w:proofErr w:type="spellEnd"/>
      <w:r w:rsidRPr="007A44CA">
        <w:rPr>
          <w:color w:val="333333"/>
          <w:spacing w:val="2"/>
          <w:shd w:val="clear" w:color="auto" w:fill="FCFCFC"/>
        </w:rPr>
        <w:t xml:space="preserve"> and Socolow (2015) report that in all cases </w:t>
      </w:r>
      <w:r>
        <w:rPr>
          <w:color w:val="333333"/>
          <w:spacing w:val="2"/>
          <w:shd w:val="clear" w:color="auto" w:fill="FCFCFC"/>
        </w:rPr>
        <w:t xml:space="preserve">GGR </w:t>
      </w:r>
      <w:r w:rsidRPr="007A44CA">
        <w:rPr>
          <w:i/>
          <w:color w:val="333333"/>
          <w:spacing w:val="2"/>
          <w:shd w:val="clear" w:color="auto" w:fill="FCFCFC"/>
        </w:rPr>
        <w:t>“availability reduce</w:t>
      </w:r>
      <w:r w:rsidRPr="00AE3E1D">
        <w:rPr>
          <w:rFonts w:cs="Arial"/>
          <w:i/>
          <w:color w:val="333333"/>
          <w:spacing w:val="2"/>
          <w:shd w:val="clear" w:color="auto" w:fill="FCFCFC"/>
        </w:rPr>
        <w:t xml:space="preserve">s conventional mitigation early in the [current] century, relative to base cases where no </w:t>
      </w:r>
      <w:r>
        <w:rPr>
          <w:rFonts w:cs="Arial"/>
          <w:i/>
          <w:color w:val="333333"/>
          <w:spacing w:val="2"/>
          <w:shd w:val="clear" w:color="auto" w:fill="FCFCFC"/>
        </w:rPr>
        <w:t>[GGR]</w:t>
      </w:r>
      <w:r w:rsidRPr="00AE3E1D">
        <w:rPr>
          <w:rFonts w:cs="Arial"/>
          <w:i/>
          <w:color w:val="333333"/>
          <w:spacing w:val="2"/>
          <w:shd w:val="clear" w:color="auto" w:fill="FCFCFC"/>
        </w:rPr>
        <w:t xml:space="preserve"> is available</w:t>
      </w:r>
      <w:r w:rsidRPr="00DF1CB6">
        <w:rPr>
          <w:rFonts w:cs="Arial"/>
          <w:i/>
          <w:color w:val="333333"/>
          <w:spacing w:val="2"/>
          <w:shd w:val="clear" w:color="auto" w:fill="FCFCFC"/>
        </w:rPr>
        <w:t>”</w:t>
      </w:r>
      <w:r w:rsidRPr="00DF1CB6">
        <w:rPr>
          <w:rFonts w:cs="Arial"/>
          <w:color w:val="333333"/>
          <w:spacing w:val="2"/>
          <w:shd w:val="clear" w:color="auto" w:fill="FCFCFC"/>
        </w:rPr>
        <w:t xml:space="preserve"> </w:t>
      </w:r>
      <w:r w:rsidRPr="004058EE">
        <w:rPr>
          <w:rFonts w:cs="Arial"/>
          <w:color w:val="333333"/>
          <w:spacing w:val="2"/>
          <w:shd w:val="clear" w:color="auto" w:fill="FCFCFC"/>
        </w:rPr>
        <w:t>(</w:t>
      </w:r>
      <w:r>
        <w:rPr>
          <w:rFonts w:cs="Arial"/>
          <w:color w:val="333333"/>
          <w:spacing w:val="2"/>
          <w:shd w:val="clear" w:color="auto" w:fill="FCFCFC"/>
        </w:rPr>
        <w:t>p</w:t>
      </w:r>
      <w:r w:rsidRPr="004058EE">
        <w:rPr>
          <w:rFonts w:cs="Arial"/>
          <w:color w:val="333333"/>
          <w:spacing w:val="2"/>
          <w:shd w:val="clear" w:color="auto" w:fill="FCFCFC"/>
        </w:rPr>
        <w:t>6)</w:t>
      </w:r>
      <w:r w:rsidRPr="00DF1CB6">
        <w:rPr>
          <w:rFonts w:cs="Arial"/>
          <w:color w:val="333333"/>
          <w:spacing w:val="2"/>
          <w:shd w:val="clear" w:color="auto" w:fill="FCFCFC"/>
        </w:rPr>
        <w:t>.</w:t>
      </w:r>
      <w:r>
        <w:rPr>
          <w:rFonts w:cs="Arial"/>
          <w:color w:val="333333"/>
          <w:spacing w:val="2"/>
          <w:shd w:val="clear" w:color="auto" w:fill="FCFCFC"/>
        </w:rPr>
        <w:t xml:space="preserve"> </w:t>
      </w:r>
      <w:r w:rsidRPr="007A44CA">
        <w:rPr>
          <w:color w:val="333333"/>
          <w:spacing w:val="2"/>
          <w:shd w:val="clear" w:color="auto" w:fill="FCFCFC"/>
        </w:rPr>
        <w:t xml:space="preserve"> </w:t>
      </w:r>
      <w:r>
        <w:rPr>
          <w:color w:val="333333"/>
          <w:spacing w:val="2"/>
          <w:shd w:val="clear" w:color="auto" w:fill="FCFCFC"/>
        </w:rPr>
        <w:t xml:space="preserve">Two studies </w:t>
      </w:r>
      <w:r w:rsidRPr="00726EE7">
        <w:fldChar w:fldCharType="begin">
          <w:fldData xml:space="preserve">PEVuZE5vdGU+PENpdGU+PEF1dGhvcj5BemFyPC9BdXRob3I+PFllYXI+MjAxMzwvWWVhcj48UmVj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</w:fldData>
        </w:fldChar>
      </w:r>
      <w:r w:rsidRPr="00726EE7">
        <w:instrText xml:space="preserve"> ADDIN EN.CITE </w:instrText>
      </w:r>
      <w:r w:rsidRPr="00726EE7">
        <w:fldChar w:fldCharType="begin">
          <w:fldData xml:space="preserve">PEVuZE5vdGU+PENpdGU+PEF1dGhvcj5BemFyPC9BdXRob3I+PFllYXI+MjAxMzwvWWVhcj48UmVj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</w:fldData>
        </w:fldChar>
      </w:r>
      <w:r w:rsidRPr="00726EE7">
        <w:instrText xml:space="preserve"> ADDIN EN.CITE.DATA </w:instrText>
      </w:r>
      <w:r w:rsidRPr="00726EE7">
        <w:fldChar w:fldCharType="end"/>
      </w:r>
      <w:r w:rsidRPr="00726EE7">
        <w:fldChar w:fldCharType="separate"/>
      </w:r>
      <w:r w:rsidRPr="00726EE7">
        <w:rPr>
          <w:noProof/>
        </w:rPr>
        <w:t>(</w:t>
      </w:r>
      <w:hyperlink w:anchor="_ENREF_1" w:tooltip="Azar, 2013 #28" w:history="1">
        <w:r w:rsidRPr="00726EE7">
          <w:rPr>
            <w:noProof/>
          </w:rPr>
          <w:t>Azar, Johansson et al. 2013</w:t>
        </w:r>
      </w:hyperlink>
      <w:r w:rsidRPr="00726EE7">
        <w:rPr>
          <w:noProof/>
        </w:rPr>
        <w:t xml:space="preserve">, </w:t>
      </w:r>
      <w:hyperlink w:anchor="_ENREF_10" w:tooltip="Riahi, 2015 #212" w:history="1">
        <w:r w:rsidRPr="00726EE7">
          <w:rPr>
            <w:noProof/>
          </w:rPr>
          <w:t>Riahi, Kriegler et al. 2015</w:t>
        </w:r>
      </w:hyperlink>
      <w:r w:rsidRPr="00726EE7">
        <w:rPr>
          <w:noProof/>
        </w:rPr>
        <w:t>)</w:t>
      </w:r>
      <w:r w:rsidRPr="00726EE7">
        <w:fldChar w:fldCharType="end"/>
      </w:r>
      <w:r>
        <w:t xml:space="preserve"> </w:t>
      </w:r>
      <w:r>
        <w:rPr>
          <w:color w:val="333333"/>
          <w:spacing w:val="2"/>
          <w:shd w:val="clear" w:color="auto" w:fill="FCFCFC"/>
        </w:rPr>
        <w:t>provide direct comparative figures. These studies f</w:t>
      </w:r>
      <w:r w:rsidRPr="00726EE7">
        <w:t xml:space="preserve">orecast </w:t>
      </w:r>
      <w:r>
        <w:t>emissions reductions</w:t>
      </w:r>
      <w:r w:rsidRPr="00726EE7">
        <w:t xml:space="preserve"> </w:t>
      </w:r>
      <w:r>
        <w:t xml:space="preserve">to be </w:t>
      </w:r>
      <w:r w:rsidRPr="00726EE7">
        <w:t>1.7-2.45</w:t>
      </w:r>
      <w:r>
        <w:t xml:space="preserve"> </w:t>
      </w:r>
      <w:r w:rsidRPr="00726EE7">
        <w:t xml:space="preserve">Gt-C pa lower in </w:t>
      </w:r>
      <w:r>
        <w:t>2°C pathways</w:t>
      </w:r>
      <w:r w:rsidRPr="00726EE7">
        <w:t xml:space="preserve"> with substantial deployment of GGR. </w:t>
      </w:r>
      <w:r>
        <w:rPr>
          <w:rFonts w:cs="Arial"/>
        </w:rPr>
        <w:t>S</w:t>
      </w:r>
      <w:r w:rsidRPr="00AE3E1D">
        <w:rPr>
          <w:rFonts w:cs="Arial"/>
        </w:rPr>
        <w:t>hortfall</w:t>
      </w:r>
      <w:r>
        <w:rPr>
          <w:rFonts w:cs="Arial"/>
        </w:rPr>
        <w:t>s at these rates</w:t>
      </w:r>
      <w:r w:rsidRPr="00AE3E1D">
        <w:rPr>
          <w:rFonts w:cs="Arial"/>
        </w:rPr>
        <w:t xml:space="preserve"> c</w:t>
      </w:r>
      <w:r>
        <w:rPr>
          <w:rFonts w:cs="Arial"/>
        </w:rPr>
        <w:t>ontinued over the rest of the century (with</w:t>
      </w:r>
      <w:r w:rsidRPr="00AE3E1D">
        <w:rPr>
          <w:rFonts w:cs="Arial"/>
        </w:rPr>
        <w:t xml:space="preserve"> a </w:t>
      </w:r>
      <w:r w:rsidRPr="00AE3E1D">
        <w:rPr>
          <w:rFonts w:cs="Arial"/>
        </w:rPr>
        <w:lastRenderedPageBreak/>
        <w:t>con</w:t>
      </w:r>
      <w:r>
        <w:rPr>
          <w:rFonts w:cs="Arial"/>
        </w:rPr>
        <w:t>stantly receding promise of GGR</w:t>
      </w:r>
      <w:r>
        <w:rPr>
          <w:rStyle w:val="FootnoteReference"/>
          <w:rFonts w:cs="Arial"/>
        </w:rPr>
        <w:footnoteReference w:id="1"/>
      </w:r>
      <w:r>
        <w:rPr>
          <w:rFonts w:cs="Arial"/>
        </w:rPr>
        <w:t>)</w:t>
      </w:r>
      <w:r w:rsidRPr="00AE3E1D">
        <w:rPr>
          <w:rFonts w:cs="Arial"/>
        </w:rPr>
        <w:t xml:space="preserve"> would </w:t>
      </w:r>
      <w:r>
        <w:rPr>
          <w:rFonts w:cs="Arial"/>
        </w:rPr>
        <w:t xml:space="preserve">aggregate to </w:t>
      </w:r>
      <w:r w:rsidRPr="00AE3E1D">
        <w:rPr>
          <w:rFonts w:cs="Arial"/>
        </w:rPr>
        <w:t>153</w:t>
      </w:r>
      <w:r>
        <w:rPr>
          <w:rFonts w:cs="Arial"/>
        </w:rPr>
        <w:t>-196Gt-C, or a median of 166</w:t>
      </w:r>
      <w:r w:rsidRPr="00AE3E1D">
        <w:rPr>
          <w:rFonts w:cs="Arial"/>
        </w:rPr>
        <w:t xml:space="preserve"> </w:t>
      </w:r>
      <w:r>
        <w:rPr>
          <w:rFonts w:cs="Arial"/>
        </w:rPr>
        <w:t>Gt-C, equivalent to 66% of the median 273</w:t>
      </w:r>
      <w:r w:rsidRPr="00AE3E1D">
        <w:rPr>
          <w:rFonts w:cs="Arial"/>
        </w:rPr>
        <w:t xml:space="preserve"> Gt-C removals </w:t>
      </w:r>
      <w:r>
        <w:rPr>
          <w:rFonts w:cs="Arial"/>
        </w:rPr>
        <w:t>by GGR in 2</w:t>
      </w:r>
      <w:r>
        <w:t>°</w:t>
      </w:r>
      <w:r>
        <w:rPr>
          <w:rFonts w:cs="Arial"/>
        </w:rPr>
        <w:t xml:space="preserve">C pathways found by </w:t>
      </w:r>
      <w:hyperlink w:anchor="_ENREF_14" w:tooltip="Wiltshire, 2015 #46" w:history="1">
        <w:r>
          <w:rPr>
            <w:rFonts w:cs="Arial"/>
          </w:rPr>
          <w:fldChar w:fldCharType="begin"/>
        </w:r>
        <w:r>
          <w:rPr>
            <w:rFonts w:cs="Arial"/>
          </w:rPr>
          <w:instrText xml:space="preserve"> ADDIN EN.CITE &lt;EndNote&gt;&lt;Cite AuthorYear="1"&gt;&lt;Author&gt;Wiltshire&lt;/Author&gt;&lt;Year&gt;2015&lt;/Year&gt;&lt;RecNum&gt;46&lt;/RecNum&gt;&lt;DisplayText&gt;Wiltshire and Davies-Barnard (2015)&lt;/DisplayText&gt;&lt;record&gt;&lt;rec-number&gt;46&lt;/rec-number&gt;&lt;foreign-keys&gt;&lt;key app="EN" db-id="0zzad9fw8a059ze5xpfpd5zfdxt92t9a9fps" timestamp="1513182788"&gt;46&lt;/key&gt;&lt;key app="ENWeb" db-id=""&gt;0&lt;/key&gt;&lt;/foreign-keys&gt;&lt;ref-type name="Report"&gt;27&lt;/ref-type&gt;&lt;contributors&gt;&lt;authors&gt;&lt;author&gt;Wiltshire, Andrew&lt;/author&gt;&lt;author&gt;Davies-Barnard, T&lt;/author&gt;&lt;/authors&gt;&lt;tertiary-authors&gt;&lt;author&gt;Met Office, Grantham Institute, Tyndall Centre, Walker Institute&lt;/author&gt;&lt;/tertiary-authors&gt;&lt;/contributors&gt;&lt;titles&gt;&lt;title&gt;Planetary limits to BECCS negative emissions &lt;/title&gt;&lt;secondary-title&gt;AVOID Working Paper&lt;/secondary-title&gt;&lt;/titles&gt;&lt;periodical&gt;&lt;full-title&gt;AVOID Working Paper&lt;/full-title&gt;&lt;/periodical&gt;&lt;number&gt;1104872 / AVOID 2 WPD.2a Report 1&lt;/number&gt;&lt;dates&gt;&lt;year&gt;2015&lt;/year&gt;&lt;/dates&gt;&lt;urls&gt;&lt;/urls&gt;&lt;/record&gt;&lt;/Cite&gt;&lt;/EndNote&gt;</w:instrText>
        </w:r>
        <w:r>
          <w:rPr>
            <w:rFonts w:cs="Arial"/>
          </w:rPr>
          <w:fldChar w:fldCharType="separate"/>
        </w:r>
        <w:r>
          <w:rPr>
            <w:rFonts w:cs="Arial"/>
            <w:noProof/>
          </w:rPr>
          <w:t>Wiltshire and Davies-Barnard (2015)</w:t>
        </w:r>
        <w:r>
          <w:rPr>
            <w:rFonts w:cs="Arial"/>
          </w:rPr>
          <w:fldChar w:fldCharType="end"/>
        </w:r>
      </w:hyperlink>
      <w:r w:rsidRPr="00AE3E1D">
        <w:rPr>
          <w:rFonts w:cs="Arial"/>
        </w:rPr>
        <w:t xml:space="preserve">. </w:t>
      </w:r>
      <w:r>
        <w:rPr>
          <w:rFonts w:cs="Arial"/>
        </w:rPr>
        <w:t>Combining these two approaches, suggests that</w:t>
      </w:r>
      <w:r w:rsidRPr="00AE3E1D">
        <w:rPr>
          <w:rFonts w:cs="Arial"/>
        </w:rPr>
        <w:t xml:space="preserve"> treating </w:t>
      </w:r>
      <w:r>
        <w:rPr>
          <w:rFonts w:cs="Arial"/>
        </w:rPr>
        <w:t>70%</w:t>
      </w:r>
      <w:r w:rsidRPr="00AE3E1D">
        <w:rPr>
          <w:rFonts w:cs="Arial"/>
        </w:rPr>
        <w:t xml:space="preserve"> of cumulative GGR as a substitute is </w:t>
      </w:r>
      <w:r>
        <w:rPr>
          <w:rFonts w:cs="Arial"/>
        </w:rPr>
        <w:t>a reasonable approximation</w:t>
      </w:r>
      <w:r w:rsidRPr="00AE3E1D">
        <w:rPr>
          <w:rFonts w:cs="Arial"/>
        </w:rPr>
        <w:t>.</w:t>
      </w:r>
      <w:r>
        <w:rPr>
          <w:rFonts w:cs="Arial"/>
        </w:rPr>
        <w:t xml:space="preserve"> </w:t>
      </w:r>
      <w:r>
        <w:t>This approximate central figure of 70% (</w:t>
      </w:r>
      <w:proofErr w:type="spellStart"/>
      <w:r>
        <w:t>SUB</w:t>
      </w:r>
      <w:r>
        <w:rPr>
          <w:vertAlign w:val="subscript"/>
        </w:rPr>
        <w:t>rate</w:t>
      </w:r>
      <w:proofErr w:type="spellEnd"/>
      <w:r>
        <w:t xml:space="preserve">), based on the two sources, is therefore applied to both </w:t>
      </w:r>
      <w:proofErr w:type="spellStart"/>
      <w:r>
        <w:t>GGR</w:t>
      </w:r>
      <w:r w:rsidRPr="00B648C7">
        <w:rPr>
          <w:vertAlign w:val="subscript"/>
        </w:rPr>
        <w:t>req</w:t>
      </w:r>
      <w:proofErr w:type="spellEnd"/>
      <w:r>
        <w:t xml:space="preserve"> and </w:t>
      </w:r>
      <w:proofErr w:type="spellStart"/>
      <w:r>
        <w:t>GGR</w:t>
      </w:r>
      <w:r>
        <w:rPr>
          <w:vertAlign w:val="subscript"/>
        </w:rPr>
        <w:t>dac</w:t>
      </w:r>
      <w:proofErr w:type="spellEnd"/>
      <w:r>
        <w:t xml:space="preserve"> to calculate the </w:t>
      </w:r>
      <w:r w:rsidRPr="00FC043E">
        <w:rPr>
          <w:i/>
        </w:rPr>
        <w:t>amount</w:t>
      </w:r>
      <w:r>
        <w:t xml:space="preserve"> of GGR that substitutes (</w:t>
      </w:r>
      <w:proofErr w:type="spellStart"/>
      <w:r>
        <w:t>GGR</w:t>
      </w:r>
      <w:r>
        <w:rPr>
          <w:vertAlign w:val="subscript"/>
        </w:rPr>
        <w:t>sub</w:t>
      </w:r>
      <w:proofErr w:type="spellEnd"/>
      <w:r w:rsidRPr="00FC043E">
        <w:t>)</w:t>
      </w:r>
      <w:r>
        <w:t>. This provides an estimated range for Type 1 mitigation deterrence (MD</w:t>
      </w:r>
      <w:r w:rsidRPr="00B648C7">
        <w:rPr>
          <w:vertAlign w:val="subscript"/>
        </w:rPr>
        <w:t>1</w:t>
      </w:r>
      <w:r w:rsidRPr="009934D6">
        <w:t xml:space="preserve">, </w:t>
      </w:r>
      <w:r>
        <w:t xml:space="preserve">Supplementary Table 1). The potential for subsequent failure to achieve long-term removal of the whole of this substituted amount </w:t>
      </w:r>
      <w:proofErr w:type="gramStart"/>
      <w:r>
        <w:t>is discussed</w:t>
      </w:r>
      <w:proofErr w:type="gramEnd"/>
      <w:r>
        <w:t xml:space="preserve"> in the main text (see sections 2.1, 3.1.1 and 4). Possible failure routes </w:t>
      </w:r>
      <w:proofErr w:type="gramStart"/>
      <w:r>
        <w:t>are illustrated</w:t>
      </w:r>
      <w:proofErr w:type="gramEnd"/>
      <w:r>
        <w:t xml:space="preserve"> here in Supplementary Figure 1.</w:t>
      </w:r>
    </w:p>
    <w:p w:rsidR="00B96D88" w:rsidRDefault="00B96D88" w:rsidP="00B96D88">
      <w:pPr>
        <w:pStyle w:val="Standard"/>
        <w:spacing w:after="200"/>
        <w:rPr>
          <w:rFonts w:ascii="Arial" w:hAnsi="Arial" w:cs="Arial"/>
          <w:sz w:val="22"/>
          <w:szCs w:val="22"/>
        </w:rPr>
      </w:pPr>
    </w:p>
    <w:p w:rsidR="00B96D88" w:rsidRDefault="00B96D88" w:rsidP="00B96D88">
      <w:pPr>
        <w:pStyle w:val="Standard"/>
        <w:spacing w:after="200"/>
        <w:rPr>
          <w:rFonts w:asciiTheme="minorHAnsi" w:hAnsiTheme="minorHAnsi" w:cstheme="minorHAnsi"/>
          <w:b/>
          <w:sz w:val="22"/>
          <w:szCs w:val="22"/>
        </w:rPr>
      </w:pPr>
      <w:r>
        <w:rPr>
          <w:rFonts w:asciiTheme="minorHAnsi" w:hAnsiTheme="minorHAnsi" w:cstheme="minorHAnsi"/>
          <w:b/>
          <w:noProof/>
          <w:sz w:val="22"/>
          <w:szCs w:val="22"/>
          <w:lang w:eastAsia="en-GB" w:bidi="ar-SA"/>
        </w:rPr>
        <w:drawing>
          <wp:inline distT="0" distB="0" distL="0" distR="0" wp14:anchorId="7C6D0DAB" wp14:editId="7EB2666F">
            <wp:extent cx="5731510" cy="33451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antifying MD Fig 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inline>
        </w:drawing>
      </w:r>
    </w:p>
    <w:p w:rsidR="00B96D88" w:rsidRPr="001721AC" w:rsidRDefault="00B96D88" w:rsidP="00B96D88">
      <w:pPr>
        <w:pStyle w:val="Standard"/>
        <w:spacing w:after="200"/>
        <w:rPr>
          <w:rFonts w:asciiTheme="minorHAnsi" w:hAnsiTheme="minorHAnsi" w:cstheme="minorHAnsi"/>
          <w:b/>
          <w:sz w:val="22"/>
          <w:szCs w:val="22"/>
        </w:rPr>
      </w:pPr>
      <w:r w:rsidRPr="001721AC">
        <w:rPr>
          <w:rFonts w:asciiTheme="minorHAnsi" w:hAnsiTheme="minorHAnsi" w:cstheme="minorHAnsi"/>
          <w:b/>
          <w:sz w:val="22"/>
          <w:szCs w:val="22"/>
        </w:rPr>
        <w:t xml:space="preserve">Supplementary Figure 1: A flow diagram showing the steps required for successful </w:t>
      </w:r>
      <w:r>
        <w:rPr>
          <w:rFonts w:asciiTheme="minorHAnsi" w:hAnsiTheme="minorHAnsi" w:cstheme="minorHAnsi"/>
          <w:b/>
          <w:sz w:val="22"/>
          <w:szCs w:val="22"/>
        </w:rPr>
        <w:t xml:space="preserve">long-term </w:t>
      </w:r>
      <w:r w:rsidRPr="001721AC">
        <w:rPr>
          <w:rFonts w:asciiTheme="minorHAnsi" w:hAnsiTheme="minorHAnsi" w:cstheme="minorHAnsi"/>
          <w:b/>
          <w:sz w:val="22"/>
          <w:szCs w:val="22"/>
        </w:rPr>
        <w:t xml:space="preserve">carbon storage by GGRs. Possible failures </w:t>
      </w:r>
      <w:proofErr w:type="gramStart"/>
      <w:r w:rsidRPr="001721AC">
        <w:rPr>
          <w:rFonts w:asciiTheme="minorHAnsi" w:hAnsiTheme="minorHAnsi" w:cstheme="minorHAnsi"/>
          <w:b/>
          <w:sz w:val="22"/>
          <w:szCs w:val="22"/>
        </w:rPr>
        <w:t>are shown</w:t>
      </w:r>
      <w:proofErr w:type="gramEnd"/>
      <w:r w:rsidRPr="001721AC">
        <w:rPr>
          <w:rFonts w:asciiTheme="minorHAnsi" w:hAnsiTheme="minorHAnsi" w:cstheme="minorHAnsi"/>
          <w:b/>
          <w:sz w:val="22"/>
          <w:szCs w:val="22"/>
        </w:rPr>
        <w:t xml:space="preserve"> by white arrows and boxes. Success requires negotiating the grey track.  </w:t>
      </w:r>
    </w:p>
    <w:p w:rsidR="00B96D88" w:rsidRDefault="00B96D88" w:rsidP="00B96D88"/>
    <w:p w:rsidR="00B96D88" w:rsidRPr="0003272C" w:rsidRDefault="00B96D88" w:rsidP="00B96D88">
      <w:pPr>
        <w:pStyle w:val="Heading4"/>
        <w:rPr>
          <w:b/>
        </w:rPr>
      </w:pPr>
      <w:r w:rsidRPr="0003272C">
        <w:rPr>
          <w:b/>
        </w:rPr>
        <w:t>Type 2</w:t>
      </w:r>
    </w:p>
    <w:p w:rsidR="00B96D88" w:rsidRDefault="00B96D88" w:rsidP="00B96D88">
      <w:r>
        <w:t>In section 3.2, to estimate MD</w:t>
      </w:r>
      <w:r w:rsidRPr="00B83716">
        <w:rPr>
          <w:vertAlign w:val="subscript"/>
        </w:rPr>
        <w:t>2</w:t>
      </w:r>
      <w:r>
        <w:t xml:space="preserve">, two possible rebound effects are estimated and combined. These are illustrative of different ways in which additional emissions, not accounted in the models, might arise from the actual or attempted deployment of GGR. These relate to land use change and enhanced oil recovery, two phenomena which </w:t>
      </w:r>
      <w:proofErr w:type="gramStart"/>
      <w:r>
        <w:t>have already been identified</w:t>
      </w:r>
      <w:proofErr w:type="gramEnd"/>
      <w:r>
        <w:t xml:space="preserve"> as risks associated with the most widely modelled form of GGR (BECCS). A range for BECCS deployment (</w:t>
      </w:r>
      <w:proofErr w:type="spellStart"/>
      <w:r>
        <w:t>GGR</w:t>
      </w:r>
      <w:r w:rsidRPr="00B648C7">
        <w:rPr>
          <w:vertAlign w:val="subscript"/>
        </w:rPr>
        <w:t>beccs</w:t>
      </w:r>
      <w:proofErr w:type="spellEnd"/>
      <w:r>
        <w:t xml:space="preserve">) </w:t>
      </w:r>
      <w:proofErr w:type="gramStart"/>
      <w:r>
        <w:t>is taken</w:t>
      </w:r>
      <w:proofErr w:type="gramEnd"/>
      <w:r>
        <w:t xml:space="preserve"> from IPCC (2018). A ratio for indirect land-use rebound emissions (</w:t>
      </w:r>
      <w:proofErr w:type="gramStart"/>
      <w:r>
        <w:t>RE(</w:t>
      </w:r>
      <w:proofErr w:type="gramEnd"/>
      <w:r>
        <w:t>LUC)</w:t>
      </w:r>
      <w:r w:rsidRPr="00B648C7">
        <w:rPr>
          <w:vertAlign w:val="subscript"/>
        </w:rPr>
        <w:t>rate</w:t>
      </w:r>
      <w:r>
        <w:t>) and an estimate for EOR related emissions in excess of storage (</w:t>
      </w:r>
      <w:proofErr w:type="spellStart"/>
      <w:r>
        <w:t>RE</w:t>
      </w:r>
      <w:r w:rsidRPr="00B648C7">
        <w:rPr>
          <w:vertAlign w:val="subscript"/>
        </w:rPr>
        <w:t>eor</w:t>
      </w:r>
      <w:proofErr w:type="spellEnd"/>
      <w:r>
        <w:t xml:space="preserve">) are derived from relevant literatures (see also Supplementary Table 1). </w:t>
      </w:r>
    </w:p>
    <w:p w:rsidR="00B96D88" w:rsidRDefault="00B96D88" w:rsidP="00B96D88"/>
    <w:p w:rsidR="00B96D88" w:rsidRDefault="00B96D88" w:rsidP="00B96D88">
      <w:r>
        <w:t>For RE(LUC)</w:t>
      </w:r>
      <w:r w:rsidRPr="0095235B">
        <w:rPr>
          <w:vertAlign w:val="subscript"/>
        </w:rPr>
        <w:t>rate</w:t>
      </w:r>
      <w:r>
        <w:t xml:space="preserve"> the estimate relies on the central range of a </w:t>
      </w:r>
      <w:r w:rsidRPr="00D02F9D">
        <w:t xml:space="preserve">10-20% </w:t>
      </w:r>
      <w:r>
        <w:t xml:space="preserve">emissions rebound estimated for </w:t>
      </w:r>
      <w:r w:rsidRPr="00E625C0">
        <w:t>well</w:t>
      </w:r>
      <w:r>
        <w:t>-</w:t>
      </w:r>
      <w:r w:rsidRPr="00E625C0">
        <w:t xml:space="preserve">managed </w:t>
      </w:r>
      <w:r>
        <w:t xml:space="preserve">bioenergy </w:t>
      </w:r>
      <w:r w:rsidRPr="00E625C0">
        <w:t>systems</w:t>
      </w:r>
      <w:r>
        <w:t xml:space="preserve"> </w:t>
      </w:r>
      <w:r>
        <w:fldChar w:fldCharType="begin"/>
      </w:r>
      <w:r>
        <w:instrText xml:space="preserve"> ADDIN EN.CITE &lt;EndNote&gt;&lt;Cite&gt;&lt;Author&gt;Souza&lt;/Author&gt;&lt;Year&gt;2013&lt;/Year&gt;&lt;RecNum&gt;337&lt;/RecNum&gt;&lt;DisplayText&gt;(Souza, Victoria et al. 2013)&lt;/DisplayText&gt;&lt;record&gt;&lt;rec-number&gt;337&lt;/rec-number&gt;&lt;foreign-keys&gt;&lt;key app="EN" db-id="0zzad9fw8a059ze5xpfpd5zfdxt92t9a9fps" timestamp="1533134881"&gt;337&lt;/key&gt;&lt;/foreign-keys&gt;&lt;ref-type name="Report"&gt;27&lt;/ref-type&gt;&lt;contributors&gt;&lt;authors&gt;&lt;author&gt;Souza, G.M.&lt;/author&gt;&lt;author&gt;Victoria, R.L.&lt;/author&gt;&lt;author&gt;Joly, C.A.&lt;/author&gt;&lt;author&gt;Verdade, L.M.&lt;/author&gt;&lt;/authors&gt;&lt;tertiary-authors&gt;&lt;author&gt;FAPESP&lt;/author&gt;&lt;/tertiary-authors&gt;&lt;/contributors&gt;&lt;titles&gt;&lt;title&gt;Bioenergy &amp;amp; Sustainability: bridging the gaps&lt;/title&gt;&lt;/titles&gt;&lt;volume&gt;72&lt;/volume&gt;&lt;dates&gt;&lt;year&gt;2013&lt;/year&gt;&lt;/dates&gt;&lt;pub-location&gt;Sao Paulo&lt;/pub-location&gt;&lt;publisher&gt;SCOPE&lt;/publisher&gt;&lt;urls&gt;&lt;related-urls&gt;&lt;url&gt;http://bioenfapesp.org/scopebioenergy/index.php&lt;/url&gt;&lt;/related-urls&gt;&lt;/urls&gt;&lt;/record&gt;&lt;/Cite&gt;&lt;/EndNote&gt;</w:instrText>
      </w:r>
      <w:r>
        <w:fldChar w:fldCharType="separate"/>
      </w:r>
      <w:r>
        <w:rPr>
          <w:noProof/>
        </w:rPr>
        <w:t>(</w:t>
      </w:r>
      <w:hyperlink w:anchor="_ENREF_11" w:tooltip="Souza, 2013 #337" w:history="1">
        <w:r>
          <w:rPr>
            <w:noProof/>
          </w:rPr>
          <w:t>Souza, Victoria et al. 2013</w:t>
        </w:r>
      </w:hyperlink>
      <w:r>
        <w:rPr>
          <w:noProof/>
        </w:rPr>
        <w:t>)</w:t>
      </w:r>
      <w:r>
        <w:fldChar w:fldCharType="end"/>
      </w:r>
      <w:r w:rsidRPr="00D02F9D">
        <w:t>.</w:t>
      </w:r>
      <w:r>
        <w:t xml:space="preserve"> The </w:t>
      </w:r>
      <w:proofErr w:type="spellStart"/>
      <w:r>
        <w:t>GGR</w:t>
      </w:r>
      <w:r w:rsidRPr="00B648C7">
        <w:rPr>
          <w:vertAlign w:val="subscript"/>
        </w:rPr>
        <w:t>beccs</w:t>
      </w:r>
      <w:proofErr w:type="spellEnd"/>
      <w:r w:rsidRPr="00B648C7">
        <w:rPr>
          <w:vertAlign w:val="subscript"/>
        </w:rPr>
        <w:t xml:space="preserve"> </w:t>
      </w:r>
      <w:r>
        <w:t>figure is multi</w:t>
      </w:r>
      <w:r w:rsidRPr="00997FB1">
        <w:t xml:space="preserve">plied by the </w:t>
      </w:r>
      <w:proofErr w:type="gramStart"/>
      <w:r w:rsidRPr="00997FB1">
        <w:t>RE(</w:t>
      </w:r>
      <w:proofErr w:type="gramEnd"/>
      <w:r w:rsidRPr="00997FB1">
        <w:t>LUC)</w:t>
      </w:r>
      <w:r w:rsidRPr="00997FB1">
        <w:rPr>
          <w:vertAlign w:val="subscript"/>
        </w:rPr>
        <w:t>rate</w:t>
      </w:r>
      <w:r w:rsidRPr="00997FB1">
        <w:t xml:space="preserve"> to estimate the land-use rebound emissions </w:t>
      </w:r>
      <w:proofErr w:type="spellStart"/>
      <w:r w:rsidRPr="00997FB1">
        <w:t>RE</w:t>
      </w:r>
      <w:r w:rsidRPr="00997FB1">
        <w:rPr>
          <w:vertAlign w:val="subscript"/>
        </w:rPr>
        <w:t>luc</w:t>
      </w:r>
      <w:proofErr w:type="spellEnd"/>
      <w:r w:rsidRPr="00997FB1">
        <w:t xml:space="preserve">. Attribution of this rebound to GGR may be contentious, as non-GGR pathways also include substantial increases in land use for biomass energy. Nor is it simple to </w:t>
      </w:r>
      <w:r w:rsidRPr="00997FB1">
        <w:lastRenderedPageBreak/>
        <w:t>unpick the extent to which models already include these effects in their land-use calculations.</w:t>
      </w:r>
      <w:r>
        <w:t xml:space="preserve"> Wiltshire and Davies-Barnard (2015) highlight that early modelling of BECCS often overlooked even direct land-use change, which for certain deployments could eliminate any carbon benefit of the technology. If this </w:t>
      </w:r>
      <w:proofErr w:type="gramStart"/>
      <w:r>
        <w:t>is</w:t>
      </w:r>
      <w:proofErr w:type="gramEnd"/>
      <w:r>
        <w:t xml:space="preserve"> not fully accounted for in the models considered here the rebound effects would be higher than estimated here.</w:t>
      </w:r>
    </w:p>
    <w:p w:rsidR="00B96D88" w:rsidRDefault="00B96D88" w:rsidP="00B96D88"/>
    <w:p w:rsidR="00B96D88" w:rsidRDefault="00B96D88" w:rsidP="00B96D88">
      <w:r>
        <w:t>The EOR rebound (</w:t>
      </w:r>
      <w:proofErr w:type="spellStart"/>
      <w:r>
        <w:t>RE</w:t>
      </w:r>
      <w:r w:rsidRPr="00991554">
        <w:rPr>
          <w:vertAlign w:val="subscript"/>
        </w:rPr>
        <w:t>eor</w:t>
      </w:r>
      <w:proofErr w:type="spellEnd"/>
      <w:r>
        <w:t xml:space="preserve">) is based on a </w:t>
      </w:r>
      <w:r w:rsidRPr="00E625C0">
        <w:t xml:space="preserve">global potential for EOR </w:t>
      </w:r>
      <w:r>
        <w:t xml:space="preserve"> to recover an additional </w:t>
      </w:r>
      <w:r w:rsidRPr="00E625C0">
        <w:t>470-1070 b</w:t>
      </w:r>
      <w:r>
        <w:t>illion barrels of oil and store</w:t>
      </w:r>
      <w:r w:rsidRPr="00E625C0">
        <w:t xml:space="preserve"> 38-87 Gt-C</w:t>
      </w:r>
      <w:r>
        <w:t xml:space="preserve"> (</w:t>
      </w:r>
      <w:r w:rsidRPr="00E625C0">
        <w:t>140-320 Gt-CO2)</w:t>
      </w:r>
      <w:r>
        <w:t xml:space="preserve"> (</w:t>
      </w:r>
      <w:proofErr w:type="spellStart"/>
      <w:r>
        <w:t>EOR</w:t>
      </w:r>
      <w:r w:rsidRPr="00427CE6">
        <w:rPr>
          <w:vertAlign w:val="subscript"/>
        </w:rPr>
        <w:t>stor</w:t>
      </w:r>
      <w:proofErr w:type="spellEnd"/>
      <w:r>
        <w:t>) at an average rate of 300kg-CO</w:t>
      </w:r>
      <w:r w:rsidRPr="009B2B65">
        <w:rPr>
          <w:vertAlign w:val="subscript"/>
        </w:rPr>
        <w:t>2</w:t>
      </w:r>
      <w:r>
        <w:t xml:space="preserve"> (82kg-C)</w:t>
      </w:r>
      <w:r w:rsidRPr="00F8431D">
        <w:t xml:space="preserve"> </w:t>
      </w:r>
      <w:r>
        <w:t>(</w:t>
      </w:r>
      <w:proofErr w:type="spellStart"/>
      <w:r>
        <w:rPr>
          <w:noProof/>
        </w:rPr>
        <w:fldChar w:fldCharType="begin"/>
      </w:r>
      <w:r>
        <w:rPr>
          <w:noProof/>
        </w:rPr>
        <w:instrText xml:space="preserve"> HYPERLINK \l "_ENREF_13" \o "Godec, 2011 #313" </w:instrText>
      </w:r>
      <w:r>
        <w:rPr>
          <w:noProof/>
        </w:rPr>
        <w:fldChar w:fldCharType="separate"/>
      </w:r>
      <w:r>
        <w:rPr>
          <w:noProof/>
        </w:rPr>
        <w:t>Godec</w:t>
      </w:r>
      <w:proofErr w:type="spellEnd"/>
      <w:r>
        <w:rPr>
          <w:noProof/>
        </w:rPr>
        <w:t>, Kuuskraa et al. 2011</w:t>
      </w:r>
      <w:r>
        <w:rPr>
          <w:noProof/>
        </w:rPr>
        <w:fldChar w:fldCharType="end"/>
      </w:r>
      <w:r>
        <w:rPr>
          <w:noProof/>
        </w:rPr>
        <w:t>)</w:t>
      </w:r>
      <w:r>
        <w:t>. The oil recovered is assumed to have an embodied average CO</w:t>
      </w:r>
      <w:r w:rsidRPr="009B2B65">
        <w:rPr>
          <w:vertAlign w:val="subscript"/>
        </w:rPr>
        <w:t>2</w:t>
      </w:r>
      <w:r>
        <w:t xml:space="preserve"> content on combustion of 430kg-CO</w:t>
      </w:r>
      <w:r w:rsidRPr="009B2B65">
        <w:rPr>
          <w:vertAlign w:val="subscript"/>
        </w:rPr>
        <w:t>2</w:t>
      </w:r>
      <w:r>
        <w:t xml:space="preserve"> (117 kg-C) (</w:t>
      </w:r>
      <w:r>
        <w:fldChar w:fldCharType="begin"/>
      </w:r>
      <w:r>
        <w:instrText xml:space="preserve"> ADDIN EN.CITE &lt;EndNote&gt;&lt;Cite&gt;&lt;Author&gt;USEPA&lt;/Author&gt;&lt;Year&gt;Undated&lt;/Year&gt;&lt;RecNum&gt;590&lt;/RecNum&gt;&lt;DisplayText&gt;(USEPA Undated)&lt;/DisplayText&gt;&lt;record&gt;&lt;rec-number&gt;590&lt;/rec-number&gt;&lt;foreign-keys&gt;&lt;key app="EN" db-id="0zzad9fw8a059ze5xpfpd5zfdxt92t9a9fps" timestamp="1570893481"&gt;590&lt;/key&gt;&lt;/foreign-keys&gt;&lt;ref-type name="Web Page"&gt;12&lt;/ref-type&gt;&lt;contributors&gt;&lt;authors&gt;&lt;author&gt;USEPA&lt;/author&gt;&lt;/authors&gt;&lt;/contributors&gt;&lt;titles&gt;&lt;title&gt;Greenhouse Gases Equivalencies Calculator - Calculations and References&lt;/title&gt;&lt;/titles&gt;&lt;dates&gt;&lt;year&gt;Undated&lt;/year&gt;&lt;/dates&gt;&lt;urls&gt;&lt;related-urls&gt;&lt;url&gt;https://www.epa.gov/energy/greenhouse-gases-equivalencies-calculator-calculations-and-references&lt;/url&gt;&lt;/related-urls&gt;&lt;/urls&gt;&lt;/record&gt;&lt;/Cite&gt;&lt;/EndNote&gt;</w:instrText>
      </w:r>
      <w:r>
        <w:fldChar w:fldCharType="separate"/>
      </w:r>
      <w:r>
        <w:rPr>
          <w:noProof/>
        </w:rPr>
        <w:t>(</w:t>
      </w:r>
      <w:hyperlink w:anchor="_ENREF_12" w:tooltip="USEPA, Undated #590" w:history="1">
        <w:r>
          <w:rPr>
            <w:noProof/>
          </w:rPr>
          <w:t>USEPA Undated</w:t>
        </w:r>
      </w:hyperlink>
      <w:r>
        <w:rPr>
          <w:noProof/>
        </w:rPr>
        <w:t>)</w:t>
      </w:r>
      <w:r>
        <w:fldChar w:fldCharType="end"/>
      </w:r>
      <w:r>
        <w:t xml:space="preserve">, to which is added 63kg-CO2 per barrel for global average upstream emissions (based on 6120 MJ per barrel and 10.3g/MJ </w:t>
      </w:r>
      <w:r>
        <w:fldChar w:fldCharType="begin"/>
      </w:r>
      <w:r>
        <w:instrText xml:space="preserve"> ADDIN EN.CITE &lt;EndNote&gt;&lt;Cite&gt;&lt;Author&gt;Masnadi&lt;/Author&gt;&lt;Year&gt;2018&lt;/Year&gt;&lt;RecNum&gt;591&lt;/RecNum&gt;&lt;DisplayText&gt;(Masnadi, El-Houjeiri et al. 2018)&lt;/DisplayText&gt;&lt;record&gt;&lt;rec-number&gt;591&lt;/rec-number&gt;&lt;foreign-keys&gt;&lt;key app="EN" db-id="0zzad9fw8a059ze5xpfpd5zfdxt92t9a9fps" timestamp="1570893751"&gt;591&lt;/key&gt;&lt;/foreign-keys&gt;&lt;ref-type name="Journal Article"&gt;17&lt;/ref-type&gt;&lt;contributors&gt;&lt;authors&gt;&lt;author&gt;Masnadi, Mohammad S.&lt;/author&gt;&lt;author&gt;El-Houjeiri, Hassan M.&lt;/author&gt;&lt;author&gt;Schunack, Dominik&lt;/author&gt;&lt;author&gt;Li, Yunpo&lt;/author&gt;&lt;author&gt;Englander, Jacob G.&lt;/author&gt;&lt;author&gt;Badahdah, Alhassan&lt;/author&gt;&lt;author&gt;Monfort, Jean-Christophe&lt;/author&gt;&lt;author&gt;Anderson, James E.&lt;/author&gt;&lt;author&gt;Wallington, Timothy J.&lt;/author&gt;&lt;author&gt;Bergerson, Joule A.&lt;/author&gt;&lt;author&gt;Gordon, Deborah&lt;/author&gt;&lt;author&gt;Koomey, Jonathan&lt;/author&gt;&lt;author&gt;Przesmitzki, Steven&lt;/author&gt;&lt;author&gt;Azevedo, Inês L.&lt;/author&gt;&lt;author&gt;Bi, Xiaotao T.&lt;/author&gt;&lt;author&gt;Duffy, James E.&lt;/author&gt;&lt;author&gt;Heath, Garvin A.&lt;/author&gt;&lt;author&gt;Keoleian, Gregory A.&lt;/author&gt;&lt;author&gt;McGlade, Christophe&lt;/author&gt;&lt;author&gt;Meehan, D. Nathan&lt;/author&gt;&lt;author&gt;Yeh, Sonia&lt;/author&gt;&lt;author&gt;You, Fengqi&lt;/author&gt;&lt;author&gt;Wang, Michael&lt;/author&gt;&lt;author&gt;Brandt, Adam R.&lt;/author&gt;&lt;/authors&gt;&lt;/contributors&gt;&lt;titles&gt;&lt;title&gt;Global carbon intensity of crude oil production&lt;/title&gt;&lt;secondary-title&gt;Science&lt;/secondary-title&gt;&lt;/titles&gt;&lt;periodical&gt;&lt;full-title&gt;Science&lt;/full-title&gt;&lt;/periodical&gt;&lt;pages&gt;851&lt;/pages&gt;&lt;volume&gt;361&lt;/volume&gt;&lt;number&gt;6405&lt;/number&gt;&lt;dates&gt;&lt;year&gt;2018&lt;/year&gt;&lt;/dates&gt;&lt;urls&gt;&lt;related-urls&gt;&lt;url&gt;http://science.sciencemag.org/content/361/6405/851.abstract&lt;/url&gt;&lt;/related-urls&gt;&lt;/urls&gt;&lt;electronic-resource-num&gt;10.1126/science.aar6859&lt;/electronic-resource-num&gt;&lt;/record&gt;&lt;/Cite&gt;&lt;/EndNote&gt;</w:instrText>
      </w:r>
      <w:r>
        <w:fldChar w:fldCharType="separate"/>
      </w:r>
      <w:r>
        <w:rPr>
          <w:noProof/>
        </w:rPr>
        <w:t>(</w:t>
      </w:r>
      <w:hyperlink w:anchor="_ENREF_9" w:tooltip="Masnadi, 2018 #591" w:history="1">
        <w:r>
          <w:rPr>
            <w:noProof/>
          </w:rPr>
          <w:t>Masnadi, El-Houjeiri et al. 2018</w:t>
        </w:r>
      </w:hyperlink>
      <w:r>
        <w:rPr>
          <w:noProof/>
        </w:rPr>
        <w:t>)</w:t>
      </w:r>
      <w:r>
        <w:fldChar w:fldCharType="end"/>
      </w:r>
      <w:r>
        <w:t xml:space="preserve">) for a low estimate of per barrel emissions of 493kg CO2 (134 kg-C). A high estimate for per barrel emissions is derived from </w:t>
      </w:r>
      <w:hyperlink w:anchor="_ENREF_3" w:tooltip="Gordon, 2015 #589" w:history="1">
        <w:r>
          <w:fldChar w:fldCharType="begin"/>
        </w:r>
        <w:r>
          <w:instrText xml:space="preserve"> ADDIN EN.CITE &lt;EndNote&gt;&lt;Cite AuthorYear="1"&gt;&lt;Author&gt;Gordon&lt;/Author&gt;&lt;Year&gt;2015&lt;/Year&gt;&lt;RecNum&gt;589&lt;/RecNum&gt;&lt;DisplayText&gt;Gordon, Brandt et al. (2015)&lt;/DisplayText&gt;&lt;record&gt;&lt;rec-number&gt;589&lt;/rec-number&gt;&lt;foreign-keys&gt;&lt;key app="EN" db-id="0zzad9fw8a059ze5xpfpd5zfdxt92t9a9fps" timestamp="1570889217"&gt;589&lt;/key&gt;&lt;/foreign-keys&gt;&lt;ref-type name="Report"&gt;27&lt;/ref-type&gt;&lt;contributors&gt;&lt;authors&gt;&lt;author&gt;Gordon, Deborah&lt;/author&gt;&lt;author&gt;Brandt, Adam&lt;/author&gt;&lt;author&gt;Bergerson, Joule&lt;/author&gt;&lt;author&gt;Koomey, Jonathan&lt;/author&gt;&lt;/authors&gt;&lt;/contributors&gt;&lt;titles&gt;&lt;title&gt;Know Your Oil: Creating an Global Oil-Climate Index&lt;/title&gt;&lt;/titles&gt;&lt;dates&gt;&lt;year&gt;2015&lt;/year&gt;&lt;/dates&gt;&lt;pub-location&gt;Washington DC&lt;/pub-location&gt;&lt;publisher&gt;Carnegie Endowment for International Peace&lt;/publisher&gt;&lt;urls&gt;&lt;related-urls&gt;&lt;url&gt;https://carnegieendowment.org/files/know_your_oil.pdf&lt;/url&gt;&lt;/related-urls&gt;&lt;/urls&gt;&lt;/record&gt;&lt;/Cite&gt;&lt;/EndNote&gt;</w:instrText>
        </w:r>
        <w:r>
          <w:fldChar w:fldCharType="separate"/>
        </w:r>
        <w:r>
          <w:rPr>
            <w:noProof/>
          </w:rPr>
          <w:t>Gordon, Brandt et al. (2015)</w:t>
        </w:r>
        <w:r>
          <w:fldChar w:fldCharType="end"/>
        </w:r>
      </w:hyperlink>
      <w:r>
        <w:t xml:space="preserve"> who calculate a weighted average of 570kg-CO</w:t>
      </w:r>
      <w:r w:rsidRPr="000750C1">
        <w:rPr>
          <w:vertAlign w:val="subscript"/>
        </w:rPr>
        <w:t>2</w:t>
      </w:r>
      <w:r>
        <w:t xml:space="preserve"> (155kg-C) per barrel including all upstream and processing emissions and coproducts. Gross emissions associated with the additional oil (</w:t>
      </w:r>
      <w:proofErr w:type="spellStart"/>
      <w:r>
        <w:t>EOR</w:t>
      </w:r>
      <w:r>
        <w:rPr>
          <w:vertAlign w:val="subscript"/>
        </w:rPr>
        <w:t>em</w:t>
      </w:r>
      <w:proofErr w:type="spellEnd"/>
      <w:r>
        <w:t>) are therefore 63-166 Gt-C (470-1070 barrels at 134-155kg per barrel). The net additional emissions from EOR (</w:t>
      </w:r>
      <w:proofErr w:type="spellStart"/>
      <w:r>
        <w:t>RE</w:t>
      </w:r>
      <w:r w:rsidRPr="00E71F18">
        <w:rPr>
          <w:vertAlign w:val="subscript"/>
        </w:rPr>
        <w:t>eor</w:t>
      </w:r>
      <w:proofErr w:type="spellEnd"/>
      <w:r>
        <w:t xml:space="preserve">) can be calculated by subtracting </w:t>
      </w:r>
      <w:proofErr w:type="spellStart"/>
      <w:r>
        <w:t>EOR</w:t>
      </w:r>
      <w:r w:rsidRPr="00E71F18">
        <w:rPr>
          <w:vertAlign w:val="subscript"/>
        </w:rPr>
        <w:t>stor</w:t>
      </w:r>
      <w:proofErr w:type="spellEnd"/>
      <w:r>
        <w:t xml:space="preserve"> from </w:t>
      </w:r>
      <w:proofErr w:type="spellStart"/>
      <w:r>
        <w:t>EOR</w:t>
      </w:r>
      <w:r w:rsidRPr="00E71F18">
        <w:rPr>
          <w:vertAlign w:val="subscript"/>
        </w:rPr>
        <w:t>em</w:t>
      </w:r>
      <w:proofErr w:type="spellEnd"/>
      <w:r>
        <w:t>, or by subtracting the storage per barrel from the emissions per barrel, giving a range from 193-270 kg-CO</w:t>
      </w:r>
      <w:r w:rsidRPr="000750C1">
        <w:rPr>
          <w:vertAlign w:val="subscript"/>
        </w:rPr>
        <w:t>2</w:t>
      </w:r>
      <w:r>
        <w:t xml:space="preserve"> (53-74 kg-C) per barrel, which, multiplied by 470-1070 billion barrels, gives 24.7-79.8 Gt-C (</w:t>
      </w:r>
      <w:proofErr w:type="spellStart"/>
      <w:r>
        <w:t>RE</w:t>
      </w:r>
      <w:r w:rsidRPr="00E71F18">
        <w:rPr>
          <w:vertAlign w:val="subscript"/>
        </w:rPr>
        <w:t>eor</w:t>
      </w:r>
      <w:proofErr w:type="spellEnd"/>
      <w:r>
        <w:t xml:space="preserve">). </w:t>
      </w:r>
    </w:p>
    <w:p w:rsidR="00B96D88" w:rsidRDefault="00B96D88" w:rsidP="00B96D88"/>
    <w:p w:rsidR="00B96D88" w:rsidRPr="000E3164" w:rsidRDefault="00B96D88" w:rsidP="00B96D88">
      <w:r>
        <w:t>The two effects are potentially additive and co-correlated (in that the amounts of CO</w:t>
      </w:r>
      <w:r w:rsidRPr="00C124E4">
        <w:rPr>
          <w:vertAlign w:val="subscript"/>
        </w:rPr>
        <w:t>2</w:t>
      </w:r>
      <w:r>
        <w:t xml:space="preserve"> available for EOR will grow with higher rates of BECCS and or DAC; while the scale and potential severity of land-use rebounds can also be expected to grow with higher deployment of BECCS). </w:t>
      </w:r>
      <w:proofErr w:type="gramStart"/>
      <w:r>
        <w:t>Therefore</w:t>
      </w:r>
      <w:proofErr w:type="gramEnd"/>
      <w:r>
        <w:t xml:space="preserve"> the low and high extremes of the ranges of each of the two rebounds are summed to give a range for Type 2 mitigation deterrence (MD</w:t>
      </w:r>
      <w:r w:rsidRPr="00B648C7">
        <w:rPr>
          <w:vertAlign w:val="subscript"/>
        </w:rPr>
        <w:t>2</w:t>
      </w:r>
      <w:r w:rsidRPr="009934D6">
        <w:t xml:space="preserve">, </w:t>
      </w:r>
      <w:r>
        <w:t xml:space="preserve">Supplementary </w:t>
      </w:r>
      <w:r w:rsidRPr="009934D6">
        <w:t>Table 1</w:t>
      </w:r>
      <w:r>
        <w:t>). Because this only covers two possible rebounds, it remains a partial estimate.</w:t>
      </w:r>
    </w:p>
    <w:p w:rsidR="00B96D88" w:rsidRDefault="00B96D88" w:rsidP="00B96D88">
      <w:pPr>
        <w:pStyle w:val="Heading4"/>
        <w:rPr>
          <w:b/>
        </w:rPr>
      </w:pPr>
    </w:p>
    <w:p w:rsidR="00B96D88" w:rsidRPr="0003272C" w:rsidRDefault="00B96D88" w:rsidP="00B96D88">
      <w:pPr>
        <w:pStyle w:val="Heading4"/>
        <w:rPr>
          <w:b/>
        </w:rPr>
      </w:pPr>
      <w:r w:rsidRPr="0003272C">
        <w:rPr>
          <w:b/>
        </w:rPr>
        <w:t>Type 3</w:t>
      </w:r>
    </w:p>
    <w:p w:rsidR="00B96D88" w:rsidRDefault="00B96D88" w:rsidP="00B96D88">
      <w:r>
        <w:t>Section 3.3 (and Supplementary table 3) present an estimate of the potential scale of mitigation foregone through imaginary offsetting (or Type 3 mitigation deterrence – MD</w:t>
      </w:r>
      <w:r w:rsidRPr="00B83716">
        <w:rPr>
          <w:vertAlign w:val="subscript"/>
        </w:rPr>
        <w:t>3</w:t>
      </w:r>
      <w:r>
        <w:t xml:space="preserve">). There are no empirical estimates of this effect, so a novel approach </w:t>
      </w:r>
      <w:proofErr w:type="gramStart"/>
      <w:r>
        <w:t>is applied</w:t>
      </w:r>
      <w:proofErr w:type="gramEnd"/>
      <w:r>
        <w:t xml:space="preserve">, based on the tendency of promises of future GGR to embody claims about cost. This assumes that actors (governments, businesses, individuals) faced with difficult or expensive mitigation actions will be more likely to seek to avoid them if the promised cost of future GGR is lower than the immediate anticipated cost of mitigation. </w:t>
      </w:r>
    </w:p>
    <w:p w:rsidR="00B96D88" w:rsidRDefault="00B96D88" w:rsidP="00B96D88">
      <w:pPr>
        <w:rPr>
          <w:b/>
        </w:rPr>
      </w:pPr>
    </w:p>
    <w:p w:rsidR="00B96D88" w:rsidRDefault="00B96D88" w:rsidP="00B96D88">
      <w:pPr>
        <w:rPr>
          <w:rFonts w:ascii="Arial" w:hAnsi="Arial"/>
          <w:b/>
        </w:rPr>
      </w:pPr>
      <w:r>
        <w:rPr>
          <w:rFonts w:ascii="Arial" w:hAnsi="Arial"/>
          <w:b/>
        </w:rPr>
        <w:t>Supplementary table 3</w:t>
      </w:r>
      <w:r w:rsidRPr="00C91365">
        <w:rPr>
          <w:rFonts w:ascii="Arial" w:hAnsi="Arial"/>
          <w:b/>
        </w:rPr>
        <w:t>: C</w:t>
      </w:r>
      <w:r>
        <w:rPr>
          <w:rFonts w:ascii="Arial" w:hAnsi="Arial"/>
          <w:b/>
        </w:rPr>
        <w:t>arbon</w:t>
      </w:r>
      <w:r w:rsidRPr="00C91365">
        <w:rPr>
          <w:rFonts w:ascii="Arial" w:hAnsi="Arial"/>
          <w:b/>
        </w:rPr>
        <w:t xml:space="preserve"> at risk through </w:t>
      </w:r>
      <w:r>
        <w:rPr>
          <w:rFonts w:ascii="Arial" w:hAnsi="Arial"/>
          <w:b/>
        </w:rPr>
        <w:t>mitigation foregone in imagined offsetting</w:t>
      </w:r>
    </w:p>
    <w:p w:rsidR="00B96D88" w:rsidRDefault="00B96D88" w:rsidP="00B96D88">
      <w:pPr>
        <w:rPr>
          <w:rFonts w:ascii="Arial" w:hAnsi="Arial"/>
          <w:b/>
        </w:rPr>
      </w:pPr>
    </w:p>
    <w:tbl>
      <w:tblPr>
        <w:tblStyle w:val="TableGrid"/>
        <w:tblW w:w="0" w:type="auto"/>
        <w:tblCellMar>
          <w:top w:w="57" w:type="dxa"/>
          <w:bottom w:w="57" w:type="dxa"/>
        </w:tblCellMar>
        <w:tblLook w:val="04A0" w:firstRow="1" w:lastRow="0" w:firstColumn="1" w:lastColumn="0" w:noHBand="0" w:noVBand="1"/>
      </w:tblPr>
      <w:tblGrid>
        <w:gridCol w:w="5240"/>
        <w:gridCol w:w="1552"/>
        <w:gridCol w:w="1559"/>
      </w:tblGrid>
      <w:tr w:rsidR="00B96D88" w:rsidTr="00104B6B">
        <w:tc>
          <w:tcPr>
            <w:tcW w:w="5240" w:type="dxa"/>
          </w:tcPr>
          <w:p w:rsidR="00B96D88" w:rsidRPr="00200348" w:rsidRDefault="00B96D88" w:rsidP="00104B6B">
            <w:pPr>
              <w:rPr>
                <w:lang w:eastAsia="en-GB"/>
              </w:rPr>
            </w:pPr>
          </w:p>
        </w:tc>
        <w:tc>
          <w:tcPr>
            <w:tcW w:w="3111" w:type="dxa"/>
            <w:gridSpan w:val="2"/>
          </w:tcPr>
          <w:p w:rsidR="00B96D88" w:rsidRPr="00200348" w:rsidRDefault="00B96D88" w:rsidP="00104B6B">
            <w:pPr>
              <w:jc w:val="center"/>
              <w:rPr>
                <w:b/>
                <w:lang w:eastAsia="en-GB"/>
              </w:rPr>
            </w:pPr>
            <w:r w:rsidRPr="00200348">
              <w:rPr>
                <w:lang w:eastAsia="en-GB"/>
              </w:rPr>
              <w:t>Counterfactual</w:t>
            </w:r>
          </w:p>
        </w:tc>
      </w:tr>
      <w:tr w:rsidR="00B96D88" w:rsidTr="00104B6B">
        <w:tc>
          <w:tcPr>
            <w:tcW w:w="5240" w:type="dxa"/>
          </w:tcPr>
          <w:p w:rsidR="00B96D88" w:rsidRPr="00200348" w:rsidRDefault="00B96D88" w:rsidP="00104B6B">
            <w:pPr>
              <w:rPr>
                <w:lang w:eastAsia="en-GB"/>
              </w:rPr>
            </w:pPr>
          </w:p>
        </w:tc>
        <w:tc>
          <w:tcPr>
            <w:tcW w:w="1552" w:type="dxa"/>
          </w:tcPr>
          <w:p w:rsidR="00B96D88" w:rsidRPr="00200348" w:rsidRDefault="00B96D88" w:rsidP="00104B6B">
            <w:pPr>
              <w:jc w:val="center"/>
              <w:rPr>
                <w:b/>
                <w:lang w:eastAsia="en-GB"/>
              </w:rPr>
            </w:pPr>
            <w:r w:rsidRPr="00200348">
              <w:rPr>
                <w:b/>
                <w:lang w:eastAsia="en-GB"/>
              </w:rPr>
              <w:t xml:space="preserve">RCP6.0 </w:t>
            </w:r>
          </w:p>
        </w:tc>
        <w:tc>
          <w:tcPr>
            <w:tcW w:w="1559" w:type="dxa"/>
          </w:tcPr>
          <w:p w:rsidR="00B96D88" w:rsidRPr="00200348" w:rsidRDefault="00B96D88" w:rsidP="00104B6B">
            <w:pPr>
              <w:jc w:val="center"/>
              <w:rPr>
                <w:b/>
                <w:lang w:eastAsia="en-GB"/>
              </w:rPr>
            </w:pPr>
            <w:r w:rsidRPr="00200348">
              <w:rPr>
                <w:b/>
                <w:lang w:eastAsia="en-GB"/>
              </w:rPr>
              <w:t>RCP 8.5</w:t>
            </w:r>
          </w:p>
        </w:tc>
      </w:tr>
      <w:tr w:rsidR="00B96D88" w:rsidTr="00104B6B">
        <w:tc>
          <w:tcPr>
            <w:tcW w:w="5240" w:type="dxa"/>
          </w:tcPr>
          <w:p w:rsidR="00B96D88" w:rsidRPr="00200348" w:rsidRDefault="00B96D88" w:rsidP="00104B6B">
            <w:pPr>
              <w:rPr>
                <w:lang w:eastAsia="en-GB"/>
              </w:rPr>
            </w:pPr>
            <w:r w:rsidRPr="00200348">
              <w:rPr>
                <w:lang w:eastAsia="en-GB"/>
              </w:rPr>
              <w:t>Median anticipated emissions (2020-2100) (Gt-C)</w:t>
            </w:r>
          </w:p>
        </w:tc>
        <w:tc>
          <w:tcPr>
            <w:tcW w:w="1552" w:type="dxa"/>
          </w:tcPr>
          <w:p w:rsidR="00B96D88" w:rsidRPr="00200348" w:rsidRDefault="00B96D88" w:rsidP="00104B6B">
            <w:pPr>
              <w:jc w:val="right"/>
              <w:rPr>
                <w:lang w:eastAsia="en-GB"/>
              </w:rPr>
            </w:pPr>
            <w:r w:rsidRPr="00200348">
              <w:rPr>
                <w:lang w:eastAsia="en-GB"/>
              </w:rPr>
              <w:t>1087</w:t>
            </w:r>
          </w:p>
        </w:tc>
        <w:tc>
          <w:tcPr>
            <w:tcW w:w="1559" w:type="dxa"/>
          </w:tcPr>
          <w:p w:rsidR="00B96D88" w:rsidRPr="00200348" w:rsidRDefault="00B96D88" w:rsidP="00104B6B">
            <w:pPr>
              <w:jc w:val="right"/>
              <w:rPr>
                <w:lang w:eastAsia="en-GB"/>
              </w:rPr>
            </w:pPr>
            <w:r w:rsidRPr="00200348">
              <w:rPr>
                <w:lang w:eastAsia="en-GB"/>
              </w:rPr>
              <w:t>1613</w:t>
            </w:r>
          </w:p>
        </w:tc>
      </w:tr>
      <w:tr w:rsidR="00B96D88" w:rsidTr="00104B6B">
        <w:tc>
          <w:tcPr>
            <w:tcW w:w="5240" w:type="dxa"/>
          </w:tcPr>
          <w:p w:rsidR="00B96D88" w:rsidRPr="00200348" w:rsidRDefault="00B96D88" w:rsidP="00104B6B">
            <w:pPr>
              <w:rPr>
                <w:lang w:eastAsia="en-GB"/>
              </w:rPr>
            </w:pPr>
            <w:r w:rsidRPr="00200348">
              <w:rPr>
                <w:lang w:eastAsia="en-GB"/>
              </w:rPr>
              <w:t>Emissions abated for less than $100/t-CO</w:t>
            </w:r>
            <w:r w:rsidRPr="00200348">
              <w:rPr>
                <w:vertAlign w:val="subscript"/>
                <w:lang w:eastAsia="en-GB"/>
              </w:rPr>
              <w:t xml:space="preserve">2 </w:t>
            </w:r>
            <w:r w:rsidRPr="00200348">
              <w:rPr>
                <w:lang w:eastAsia="en-GB"/>
              </w:rPr>
              <w:t>(Gt-C)</w:t>
            </w:r>
          </w:p>
        </w:tc>
        <w:tc>
          <w:tcPr>
            <w:tcW w:w="1552" w:type="dxa"/>
          </w:tcPr>
          <w:p w:rsidR="00B96D88" w:rsidRPr="00200348" w:rsidRDefault="00B96D88" w:rsidP="00104B6B">
            <w:pPr>
              <w:jc w:val="right"/>
              <w:rPr>
                <w:lang w:eastAsia="en-GB"/>
              </w:rPr>
            </w:pPr>
            <w:r w:rsidRPr="00200348">
              <w:rPr>
                <w:lang w:eastAsia="en-GB"/>
              </w:rPr>
              <w:t>543</w:t>
            </w:r>
          </w:p>
        </w:tc>
        <w:tc>
          <w:tcPr>
            <w:tcW w:w="1559" w:type="dxa"/>
          </w:tcPr>
          <w:p w:rsidR="00B96D88" w:rsidRPr="00200348" w:rsidRDefault="00B96D88" w:rsidP="00104B6B">
            <w:pPr>
              <w:jc w:val="right"/>
              <w:rPr>
                <w:lang w:eastAsia="en-GB"/>
              </w:rPr>
            </w:pPr>
            <w:r w:rsidRPr="00200348">
              <w:rPr>
                <w:lang w:eastAsia="en-GB"/>
              </w:rPr>
              <w:t>543</w:t>
            </w:r>
          </w:p>
        </w:tc>
      </w:tr>
      <w:tr w:rsidR="00B96D88" w:rsidTr="00104B6B">
        <w:tc>
          <w:tcPr>
            <w:tcW w:w="5240" w:type="dxa"/>
          </w:tcPr>
          <w:p w:rsidR="00B96D88" w:rsidRPr="00200348" w:rsidRDefault="00B96D88" w:rsidP="00104B6B">
            <w:pPr>
              <w:rPr>
                <w:lang w:eastAsia="en-GB"/>
              </w:rPr>
            </w:pPr>
            <w:r w:rsidRPr="00200348">
              <w:rPr>
                <w:lang w:eastAsia="en-GB"/>
              </w:rPr>
              <w:t>Emissions costing over $100/t-CO</w:t>
            </w:r>
            <w:r w:rsidRPr="00200348">
              <w:rPr>
                <w:vertAlign w:val="subscript"/>
                <w:lang w:eastAsia="en-GB"/>
              </w:rPr>
              <w:t>2</w:t>
            </w:r>
            <w:r w:rsidRPr="00200348">
              <w:rPr>
                <w:lang w:eastAsia="en-GB"/>
              </w:rPr>
              <w:t xml:space="preserve"> to mitigate</w:t>
            </w:r>
          </w:p>
        </w:tc>
        <w:tc>
          <w:tcPr>
            <w:tcW w:w="1552" w:type="dxa"/>
          </w:tcPr>
          <w:p w:rsidR="00B96D88" w:rsidRPr="00200348" w:rsidRDefault="00B96D88" w:rsidP="00104B6B">
            <w:pPr>
              <w:jc w:val="right"/>
              <w:rPr>
                <w:lang w:eastAsia="en-GB"/>
              </w:rPr>
            </w:pPr>
            <w:r w:rsidRPr="00200348">
              <w:rPr>
                <w:lang w:eastAsia="en-GB"/>
              </w:rPr>
              <w:t>543</w:t>
            </w:r>
          </w:p>
        </w:tc>
        <w:tc>
          <w:tcPr>
            <w:tcW w:w="1559" w:type="dxa"/>
          </w:tcPr>
          <w:p w:rsidR="00B96D88" w:rsidRPr="00200348" w:rsidRDefault="00B96D88" w:rsidP="00104B6B">
            <w:pPr>
              <w:jc w:val="right"/>
              <w:rPr>
                <w:lang w:eastAsia="en-GB"/>
              </w:rPr>
            </w:pPr>
            <w:r w:rsidRPr="00200348">
              <w:rPr>
                <w:lang w:eastAsia="en-GB"/>
              </w:rPr>
              <w:t>1087</w:t>
            </w:r>
          </w:p>
        </w:tc>
      </w:tr>
      <w:tr w:rsidR="00B96D88" w:rsidTr="00104B6B">
        <w:tc>
          <w:tcPr>
            <w:tcW w:w="5240" w:type="dxa"/>
          </w:tcPr>
          <w:p w:rsidR="00B96D88" w:rsidRPr="00200348" w:rsidRDefault="00B96D88" w:rsidP="00104B6B">
            <w:pPr>
              <w:rPr>
                <w:lang w:eastAsia="en-GB"/>
              </w:rPr>
            </w:pPr>
            <w:r w:rsidRPr="00200348">
              <w:rPr>
                <w:lang w:eastAsia="en-GB"/>
              </w:rPr>
              <w:t>Residual budget for 1.5°C (Gt-C) (Based on IPCC, 2018)</w:t>
            </w:r>
          </w:p>
        </w:tc>
        <w:tc>
          <w:tcPr>
            <w:tcW w:w="1552" w:type="dxa"/>
          </w:tcPr>
          <w:p w:rsidR="00B96D88" w:rsidRPr="00200348" w:rsidRDefault="00B96D88" w:rsidP="00104B6B">
            <w:pPr>
              <w:jc w:val="right"/>
              <w:rPr>
                <w:lang w:eastAsia="en-GB"/>
              </w:rPr>
            </w:pPr>
            <w:r w:rsidRPr="00200348">
              <w:rPr>
                <w:lang w:eastAsia="en-GB"/>
              </w:rPr>
              <w:t>80-176</w:t>
            </w:r>
          </w:p>
        </w:tc>
        <w:tc>
          <w:tcPr>
            <w:tcW w:w="1559" w:type="dxa"/>
          </w:tcPr>
          <w:p w:rsidR="00B96D88" w:rsidRPr="00200348" w:rsidRDefault="00B96D88" w:rsidP="00104B6B">
            <w:pPr>
              <w:jc w:val="right"/>
              <w:rPr>
                <w:lang w:eastAsia="en-GB"/>
              </w:rPr>
            </w:pPr>
            <w:r w:rsidRPr="00200348">
              <w:rPr>
                <w:lang w:eastAsia="en-GB"/>
              </w:rPr>
              <w:t>80-176</w:t>
            </w:r>
          </w:p>
        </w:tc>
      </w:tr>
      <w:tr w:rsidR="00B96D88" w:rsidTr="00104B6B">
        <w:tc>
          <w:tcPr>
            <w:tcW w:w="5240" w:type="dxa"/>
          </w:tcPr>
          <w:p w:rsidR="00B96D88" w:rsidRPr="00200348" w:rsidRDefault="00B96D88" w:rsidP="00104B6B">
            <w:pPr>
              <w:rPr>
                <w:lang w:eastAsia="en-GB"/>
              </w:rPr>
            </w:pPr>
            <w:r w:rsidRPr="00200348">
              <w:rPr>
                <w:lang w:eastAsia="en-GB"/>
              </w:rPr>
              <w:t>GGR removals (Gt-C)</w:t>
            </w:r>
          </w:p>
        </w:tc>
        <w:tc>
          <w:tcPr>
            <w:tcW w:w="1552" w:type="dxa"/>
          </w:tcPr>
          <w:p w:rsidR="00B96D88" w:rsidRPr="00200348" w:rsidRDefault="00B96D88" w:rsidP="00104B6B">
            <w:pPr>
              <w:jc w:val="right"/>
              <w:rPr>
                <w:lang w:eastAsia="en-GB"/>
              </w:rPr>
            </w:pPr>
            <w:r w:rsidRPr="00200348">
              <w:rPr>
                <w:lang w:eastAsia="en-GB"/>
              </w:rPr>
              <w:t>71-281</w:t>
            </w:r>
          </w:p>
        </w:tc>
        <w:tc>
          <w:tcPr>
            <w:tcW w:w="1559" w:type="dxa"/>
          </w:tcPr>
          <w:p w:rsidR="00B96D88" w:rsidRPr="00200348" w:rsidRDefault="00B96D88" w:rsidP="00104B6B">
            <w:pPr>
              <w:jc w:val="right"/>
              <w:rPr>
                <w:lang w:eastAsia="en-GB"/>
              </w:rPr>
            </w:pPr>
            <w:r w:rsidRPr="00200348">
              <w:rPr>
                <w:lang w:eastAsia="en-GB"/>
              </w:rPr>
              <w:t>71-281</w:t>
            </w:r>
          </w:p>
        </w:tc>
      </w:tr>
      <w:tr w:rsidR="00B96D88" w:rsidTr="00104B6B">
        <w:tc>
          <w:tcPr>
            <w:tcW w:w="5240" w:type="dxa"/>
          </w:tcPr>
          <w:p w:rsidR="00B96D88" w:rsidRPr="00200348" w:rsidRDefault="00B96D88" w:rsidP="00104B6B">
            <w:pPr>
              <w:rPr>
                <w:lang w:eastAsia="en-GB"/>
              </w:rPr>
            </w:pPr>
            <w:r w:rsidRPr="00200348">
              <w:rPr>
                <w:lang w:eastAsia="en-GB"/>
              </w:rPr>
              <w:t>Remaining ‘at risk’ mitigation at over $100/t-CO</w:t>
            </w:r>
            <w:r w:rsidRPr="00200348">
              <w:rPr>
                <w:vertAlign w:val="subscript"/>
                <w:lang w:eastAsia="en-GB"/>
              </w:rPr>
              <w:t xml:space="preserve">2 </w:t>
            </w:r>
            <w:r w:rsidRPr="00200348">
              <w:rPr>
                <w:lang w:eastAsia="en-GB"/>
              </w:rPr>
              <w:t>(Gt-C)</w:t>
            </w:r>
          </w:p>
        </w:tc>
        <w:tc>
          <w:tcPr>
            <w:tcW w:w="1552" w:type="dxa"/>
          </w:tcPr>
          <w:p w:rsidR="00B96D88" w:rsidRPr="00200348" w:rsidRDefault="00B96D88" w:rsidP="00104B6B">
            <w:pPr>
              <w:jc w:val="right"/>
              <w:rPr>
                <w:lang w:eastAsia="en-GB"/>
              </w:rPr>
            </w:pPr>
            <w:r w:rsidRPr="00200348">
              <w:rPr>
                <w:lang w:eastAsia="en-GB"/>
              </w:rPr>
              <w:t>182-297</w:t>
            </w:r>
          </w:p>
        </w:tc>
        <w:tc>
          <w:tcPr>
            <w:tcW w:w="1559" w:type="dxa"/>
          </w:tcPr>
          <w:p w:rsidR="00B96D88" w:rsidRPr="00200348" w:rsidRDefault="00B96D88" w:rsidP="00104B6B">
            <w:pPr>
              <w:jc w:val="right"/>
              <w:rPr>
                <w:lang w:eastAsia="en-GB"/>
              </w:rPr>
            </w:pPr>
            <w:r w:rsidRPr="00200348">
              <w:rPr>
                <w:lang w:eastAsia="en-GB"/>
              </w:rPr>
              <w:t>709-823</w:t>
            </w:r>
          </w:p>
        </w:tc>
      </w:tr>
    </w:tbl>
    <w:p w:rsidR="00B96D88" w:rsidRDefault="00B96D88" w:rsidP="00B96D88">
      <w:pPr>
        <w:rPr>
          <w:b/>
        </w:rPr>
      </w:pPr>
    </w:p>
    <w:p w:rsidR="00B96D88" w:rsidRDefault="00B96D88" w:rsidP="00B96D88"/>
    <w:p w:rsidR="00B96D88" w:rsidRDefault="00B96D88" w:rsidP="00B96D88">
      <w:r>
        <w:t>To derive a quantitative estimate, figures for baseline emissions in RCP6.0 (</w:t>
      </w:r>
      <w:proofErr w:type="spellStart"/>
      <w:r>
        <w:t>EM</w:t>
      </w:r>
      <w:r w:rsidRPr="00B648C7">
        <w:rPr>
          <w:vertAlign w:val="subscript"/>
        </w:rPr>
        <w:t>base</w:t>
      </w:r>
      <w:proofErr w:type="spellEnd"/>
      <w:r>
        <w:t xml:space="preserve">) </w:t>
      </w:r>
      <w:proofErr w:type="gramStart"/>
      <w:r>
        <w:t>are used</w:t>
      </w:r>
      <w:proofErr w:type="gramEnd"/>
      <w:r>
        <w:t xml:space="preserve"> to calculate the quantity of emissions reduction that would be expected to cost more than $100/t-CO</w:t>
      </w:r>
      <w:r w:rsidRPr="00B648C7">
        <w:rPr>
          <w:vertAlign w:val="subscript"/>
        </w:rPr>
        <w:t>2</w:t>
      </w:r>
      <w:r>
        <w:t xml:space="preserve"> ($367/t-C) (MIT</w:t>
      </w:r>
      <w:r w:rsidRPr="00B648C7">
        <w:rPr>
          <w:vertAlign w:val="subscript"/>
        </w:rPr>
        <w:t>100</w:t>
      </w:r>
      <w:r>
        <w:t xml:space="preserve">). This cost threshold </w:t>
      </w:r>
      <w:proofErr w:type="gramStart"/>
      <w:r>
        <w:t>is selected</w:t>
      </w:r>
      <w:proofErr w:type="gramEnd"/>
      <w:r>
        <w:t xml:space="preserve"> to represent emissions reductions costing more than the typically promised </w:t>
      </w:r>
      <w:r>
        <w:lastRenderedPageBreak/>
        <w:t xml:space="preserve">cost of GGR </w:t>
      </w:r>
      <w:r>
        <w:fldChar w:fldCharType="begin">
          <w:fldData xml:space="preserve">PEVuZE5vdGU+PENpdGU+PEF1dGhvcj5GdXNzPC9BdXRob3I+PFllYXI+MjAxODwvWWVhcj48UmVj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</w:fldData>
        </w:fldChar>
      </w:r>
      <w:r>
        <w:instrText xml:space="preserve"> ADDIN EN.CITE </w:instrText>
      </w:r>
      <w:r>
        <w:fldChar w:fldCharType="begin">
          <w:fldData xml:space="preserve">PEVuZE5vdGU+PENpdGU+PEF1dGhvcj5GdXNzPC9BdXRob3I+PFllYXI+MjAxODwvWWVhcj48UmVj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</w:fldData>
        </w:fldChar>
      </w:r>
      <w:r>
        <w:instrText xml:space="preserve"> ADDIN EN.CITE.DATA </w:instrText>
      </w:r>
      <w:r>
        <w:fldChar w:fldCharType="end"/>
      </w:r>
      <w:r>
        <w:fldChar w:fldCharType="separate"/>
      </w:r>
      <w:r>
        <w:rPr>
          <w:noProof/>
        </w:rPr>
        <w:t>(</w:t>
      </w:r>
      <w:hyperlink w:anchor="_ENREF_2" w:tooltip="Fuss, 2018 #297" w:history="1">
        <w:r>
          <w:rPr>
            <w:noProof/>
          </w:rPr>
          <w:t>Fuss, Lamb et al. 2018</w:t>
        </w:r>
      </w:hyperlink>
      <w:r>
        <w:rPr>
          <w:noProof/>
        </w:rPr>
        <w:t xml:space="preserve">, </w:t>
      </w:r>
      <w:hyperlink w:anchor="_ENREF_8" w:tooltip="Keith, 2018 #294" w:history="1">
        <w:r>
          <w:rPr>
            <w:noProof/>
          </w:rPr>
          <w:t>Keith, Holmes et al. 2018</w:t>
        </w:r>
      </w:hyperlink>
      <w:r>
        <w:rPr>
          <w:noProof/>
        </w:rPr>
        <w:t>)</w:t>
      </w:r>
      <w:r>
        <w:fldChar w:fldCharType="end"/>
      </w:r>
      <w:r>
        <w:t>. All emissions reduction activities costing in excess of the $100 threshold level are considered to be vulnerable to imagined offsetting or Type 3 mitigation deterrence (MD</w:t>
      </w:r>
      <w:r w:rsidRPr="009934D6">
        <w:rPr>
          <w:vertAlign w:val="subscript"/>
        </w:rPr>
        <w:t>3</w:t>
      </w:r>
      <w:r w:rsidRPr="006E01D7">
        <w:t xml:space="preserve">, </w:t>
      </w:r>
      <w:r>
        <w:t xml:space="preserve">Supplementary </w:t>
      </w:r>
      <w:r w:rsidRPr="006E01D7">
        <w:t>Table 1</w:t>
      </w:r>
      <w:r>
        <w:t>), because the relevant emitters might – in isolation - reasonably expect that paying for future carbon removal would cost them less than cutting emissions.</w:t>
      </w:r>
    </w:p>
    <w:p w:rsidR="00B96D88" w:rsidRDefault="00B96D88" w:rsidP="00B96D88"/>
    <w:p w:rsidR="00B96D88" w:rsidRDefault="00B96D88" w:rsidP="00B96D88">
      <w:r>
        <w:t>To calculate the amount of carbon involved, the most recent available IPCC estimate for the proportion of mitigation costing over this threshold (PROP</w:t>
      </w:r>
      <w:r w:rsidRPr="00060759">
        <w:rPr>
          <w:vertAlign w:val="subscript"/>
        </w:rPr>
        <w:t>100</w:t>
      </w:r>
      <w:r>
        <w:t xml:space="preserve">) </w:t>
      </w:r>
      <w:r>
        <w:fldChar w:fldCharType="begin"/>
      </w:r>
      <w:r>
        <w:instrText xml:space="preserve"> ADDIN EN.CITE &lt;EndNote&gt;&lt;Cite&gt;&lt;Author&gt;IPCC&lt;/Author&gt;&lt;Year&gt;2007&lt;/Year&gt;&lt;RecNum&gt;547&lt;/RecNum&gt;&lt;DisplayText&gt;(IPCC 2007)&lt;/DisplayText&gt;&lt;record&gt;&lt;rec-number&gt;547&lt;/rec-number&gt;&lt;foreign-keys&gt;&lt;key app="EN" db-id="0zzad9fw8a059ze5xpfpd5zfdxt92t9a9fps" timestamp="1566743941"&gt;547&lt;/key&gt;&lt;/foreign-keys&gt;&lt;ref-type name="Book"&gt;6&lt;/ref-type&gt;&lt;contributors&gt;&lt;authors&gt;&lt;author&gt;IPCC&lt;/author&gt;&lt;/authors&gt;&lt;secondary-authors&gt;&lt;author&gt;B. Metz, &lt;/author&gt;&lt;author&gt;O.R. Davidson, &lt;/author&gt;&lt;author&gt;P.R. Bosch, &lt;/author&gt;&lt;author&gt;R. Dave, &lt;/author&gt;&lt;author&gt;L.A. Meyer&lt;/author&gt;&lt;/secondary-authors&gt;&lt;/contributors&gt;&lt;titles&gt;&lt;title&gt;Climate Change 2007: Mitigation. Contribution of Working Group III to the Fourth Assessment Report of the Intergovernmental Panel on Climate Change&lt;/title&gt;&lt;/titles&gt;&lt;dates&gt;&lt;year&gt;2007&lt;/year&gt;&lt;/dates&gt;&lt;pub-location&gt;Cambridge, United Kingdom and New York, NY, USA&lt;/pub-location&gt;&lt;publisher&gt;Cambridge University Press&lt;/publisher&gt;&lt;urls&gt;&lt;/urls&gt;&lt;/record&gt;&lt;/Cite&gt;&lt;/EndNote&gt;</w:instrText>
      </w:r>
      <w:r>
        <w:fldChar w:fldCharType="separate"/>
      </w:r>
      <w:r>
        <w:rPr>
          <w:noProof/>
        </w:rPr>
        <w:t>(</w:t>
      </w:r>
      <w:hyperlink w:anchor="_ENREF_5" w:tooltip="IPCC, 2007 #547" w:history="1">
        <w:r>
          <w:rPr>
            <w:noProof/>
          </w:rPr>
          <w:t>IPCC 2007</w:t>
        </w:r>
      </w:hyperlink>
      <w:r>
        <w:rPr>
          <w:noProof/>
        </w:rPr>
        <w:t>)</w:t>
      </w:r>
      <w:r>
        <w:fldChar w:fldCharType="end"/>
      </w:r>
      <w:r>
        <w:t xml:space="preserve">: (50%), is applied to baseline RCP6.0 emissions from </w:t>
      </w:r>
      <w:hyperlink w:anchor="_ENREF_6" w:tooltip="IPCC, 2014 #548" w:history="1">
        <w:r>
          <w:fldChar w:fldCharType="begin"/>
        </w:r>
        <w:r>
          <w:instrText xml:space="preserve"> ADDIN EN.CITE &lt;EndNote&gt;&lt;Cite AuthorYear="1"&gt;&lt;Author&gt;IPCC&lt;/Author&gt;&lt;Year&gt;2014&lt;/Year&gt;&lt;RecNum&gt;548&lt;/RecNum&gt;&lt;DisplayText&gt;IPCC (2014)&lt;/DisplayText&gt;&lt;record&gt;&lt;rec-number&gt;548&lt;/rec-number&gt;&lt;foreign-keys&gt;&lt;key app="EN" db-id="0zzad9fw8a059ze5xpfpd5zfdxt92t9a9fps" timestamp="1566749041"&gt;548&lt;/key&gt;&lt;/foreign-keys&gt;&lt;ref-type name="Book"&gt;6&lt;/ref-type&gt;&lt;contributors&gt;&lt;authors&gt;&lt;author&gt;IPCC&lt;/author&gt;&lt;/authors&gt;&lt;secondary-authors&gt;&lt;author&gt;R.K. Pachauri&lt;/author&gt;&lt;author&gt;L.A. Meyer&lt;/author&gt;&lt;/secondary-authors&gt;&lt;/contributors&gt;&lt;titles&gt;&lt;title&gt;Climate Change 2014: Synthesis Report. Contribution of Working Groups I, II and III to the Fifth Assessment Report of the Intergovernmental Panel on Climate Change&lt;/title&gt;&lt;/titles&gt;&lt;dates&gt;&lt;year&gt;2014&lt;/year&gt;&lt;/dates&gt;&lt;pub-location&gt;Geneva&lt;/pub-location&gt;&lt;publisher&gt;IPCC&lt;/publisher&gt;&lt;urls&gt;&lt;/urls&gt;&lt;/record&gt;&lt;/Cite&gt;&lt;/EndNote&gt;</w:instrText>
        </w:r>
        <w:r>
          <w:fldChar w:fldCharType="separate"/>
        </w:r>
        <w:r>
          <w:rPr>
            <w:noProof/>
          </w:rPr>
          <w:t>IPCC (2014)</w:t>
        </w:r>
        <w:r>
          <w:fldChar w:fldCharType="end"/>
        </w:r>
      </w:hyperlink>
      <w:r>
        <w:t>, adjusted downwards for emissions from 2011-2020). From MIT</w:t>
      </w:r>
      <w:r w:rsidRPr="00B648C7">
        <w:rPr>
          <w:vertAlign w:val="subscript"/>
        </w:rPr>
        <w:t>100</w:t>
      </w:r>
      <w:r>
        <w:t xml:space="preserve"> the permissible cumulative unabated emissions (CBUD</w:t>
      </w:r>
      <w:r w:rsidRPr="00B648C7">
        <w:rPr>
          <w:vertAlign w:val="subscript"/>
        </w:rPr>
        <w:t>1.5</w:t>
      </w:r>
      <w:r>
        <w:t>) and the contribution of GGR (</w:t>
      </w:r>
      <w:proofErr w:type="spellStart"/>
      <w:r>
        <w:t>GGR</w:t>
      </w:r>
      <w:r w:rsidRPr="00B648C7">
        <w:rPr>
          <w:vertAlign w:val="subscript"/>
        </w:rPr>
        <w:t>req</w:t>
      </w:r>
      <w:proofErr w:type="spellEnd"/>
      <w:r>
        <w:t xml:space="preserve">) </w:t>
      </w:r>
      <w:proofErr w:type="gramStart"/>
      <w:r>
        <w:t>are both subtracted</w:t>
      </w:r>
      <w:proofErr w:type="gramEnd"/>
      <w:r>
        <w:t>, to produce figures for the residual amount of anticipated mitigation costing over $100/t-CO</w:t>
      </w:r>
      <w:r w:rsidRPr="00060759">
        <w:rPr>
          <w:vertAlign w:val="subscript"/>
        </w:rPr>
        <w:t>2</w:t>
      </w:r>
      <w:r>
        <w:t xml:space="preserve">. </w:t>
      </w:r>
    </w:p>
    <w:p w:rsidR="00B96D88" w:rsidRDefault="00B96D88" w:rsidP="00B96D88"/>
    <w:p w:rsidR="00B96D88" w:rsidRDefault="00B96D88" w:rsidP="00B96D88">
      <w:r w:rsidRPr="00785531">
        <w:t>According to the IPCC’s Fourth Assessment Report</w:t>
      </w:r>
      <w:r>
        <w:t xml:space="preserve"> </w:t>
      </w:r>
      <w:r>
        <w:fldChar w:fldCharType="begin"/>
      </w:r>
      <w:r>
        <w:instrText xml:space="preserve"> ADDIN EN.CITE &lt;EndNote&gt;&lt;Cite&gt;&lt;Author&gt;IPCC&lt;/Author&gt;&lt;Year&gt;2007&lt;/Year&gt;&lt;RecNum&gt;547&lt;/RecNum&gt;&lt;DisplayText&gt;(IPCC 2007)&lt;/DisplayText&gt;&lt;record&gt;&lt;rec-number&gt;547&lt;/rec-number&gt;&lt;foreign-keys&gt;&lt;key app="EN" db-id="0zzad9fw8a059ze5xpfpd5zfdxt92t9a9fps" timestamp="1566743941"&gt;547&lt;/key&gt;&lt;/foreign-keys&gt;&lt;ref-type name="Book"&gt;6&lt;/ref-type&gt;&lt;contributors&gt;&lt;authors&gt;&lt;author&gt;IPCC&lt;/author&gt;&lt;/authors&gt;&lt;secondary-authors&gt;&lt;author&gt;B. Metz, &lt;/author&gt;&lt;author&gt;O.R. Davidson, &lt;/author&gt;&lt;author&gt;P.R. Bosch, &lt;/author&gt;&lt;author&gt;R. Dave, &lt;/author&gt;&lt;author&gt;L.A. Meyer&lt;/author&gt;&lt;/secondary-authors&gt;&lt;/contributors&gt;&lt;titles&gt;&lt;title&gt;Climate Change 2007: Mitigation. Contribution of Working Group III to the Fourth Assessment Report of the Intergovernmental Panel on Climate Change&lt;/title&gt;&lt;/titles&gt;&lt;dates&gt;&lt;year&gt;2007&lt;/year&gt;&lt;/dates&gt;&lt;pub-location&gt;Cambridge, United Kingdom and New York, NY, USA&lt;/pub-location&gt;&lt;publisher&gt;Cambridge University Press&lt;/publisher&gt;&lt;urls&gt;&lt;/urls&gt;&lt;/record&gt;&lt;/Cite&gt;&lt;/EndNote&gt;</w:instrText>
      </w:r>
      <w:r>
        <w:fldChar w:fldCharType="separate"/>
      </w:r>
      <w:r>
        <w:rPr>
          <w:noProof/>
        </w:rPr>
        <w:t>(</w:t>
      </w:r>
      <w:hyperlink w:anchor="_ENREF_5" w:tooltip="IPCC, 2007 #547" w:history="1">
        <w:r>
          <w:rPr>
            <w:noProof/>
          </w:rPr>
          <w:t>IPCC 2007</w:t>
        </w:r>
      </w:hyperlink>
      <w:r>
        <w:rPr>
          <w:noProof/>
        </w:rPr>
        <w:t>)</w:t>
      </w:r>
      <w:r>
        <w:fldChar w:fldCharType="end"/>
      </w:r>
      <w:r w:rsidRPr="00785531">
        <w:t xml:space="preserve">, </w:t>
      </w:r>
      <w:r w:rsidRPr="00B648C7">
        <w:t>in</w:t>
      </w:r>
      <w:r w:rsidRPr="00785531">
        <w:t xml:space="preserve"> 2030, </w:t>
      </w:r>
      <w:r w:rsidRPr="00B648C7">
        <w:t xml:space="preserve">mitigation of </w:t>
      </w:r>
      <w:r>
        <w:t xml:space="preserve">between </w:t>
      </w:r>
      <w:r w:rsidRPr="00B648C7">
        <w:t>50 and 70% of</w:t>
      </w:r>
      <w:r w:rsidRPr="00785531">
        <w:t xml:space="preserve"> total </w:t>
      </w:r>
      <w:r w:rsidRPr="00B648C7">
        <w:t>emissions</w:t>
      </w:r>
      <w:r w:rsidRPr="00785531">
        <w:t xml:space="preserve"> would cost </w:t>
      </w:r>
      <w:r>
        <w:t>more than $100/t-CO</w:t>
      </w:r>
      <w:r w:rsidRPr="00E71F18">
        <w:rPr>
          <w:vertAlign w:val="subscript"/>
        </w:rPr>
        <w:t>2</w:t>
      </w:r>
      <w:r w:rsidRPr="00B648C7">
        <w:t xml:space="preserve"> (and </w:t>
      </w:r>
      <w:r>
        <w:t xml:space="preserve">thus </w:t>
      </w:r>
      <w:r w:rsidRPr="00B648C7">
        <w:t>30-50% would cost less than $100 per tonne)</w:t>
      </w:r>
      <w:r w:rsidRPr="00785531">
        <w:t>.</w:t>
      </w:r>
      <w:r w:rsidRPr="00785531">
        <w:rPr>
          <w:rStyle w:val="FootnoteReference"/>
        </w:rPr>
        <w:footnoteReference w:id="2"/>
      </w:r>
      <w:r w:rsidRPr="00785531">
        <w:t xml:space="preserve"> </w:t>
      </w:r>
      <w:r w:rsidRPr="00F86CBF">
        <w:t xml:space="preserve">The lower </w:t>
      </w:r>
      <w:r>
        <w:t>figure</w:t>
      </w:r>
      <w:r w:rsidRPr="00F86CBF">
        <w:t xml:space="preserve"> (50%) </w:t>
      </w:r>
      <w:proofErr w:type="gramStart"/>
      <w:r w:rsidRPr="00F86CBF">
        <w:t xml:space="preserve">is </w:t>
      </w:r>
      <w:r>
        <w:t>based</w:t>
      </w:r>
      <w:proofErr w:type="gramEnd"/>
      <w:r>
        <w:t xml:space="preserve"> on</w:t>
      </w:r>
      <w:r w:rsidRPr="00F86CBF">
        <w:t xml:space="preserve"> baseline emissions </w:t>
      </w:r>
      <w:r>
        <w:t>from</w:t>
      </w:r>
      <w:r w:rsidRPr="00F86CBF">
        <w:t xml:space="preserve"> an RCP6.0 path, while the upper figure of 70% applies to RCP8.5 (IPCC, 2007). </w:t>
      </w:r>
      <w:r>
        <w:t xml:space="preserve">In </w:t>
      </w:r>
      <w:proofErr w:type="gramStart"/>
      <w:r>
        <w:t>RCP6.0</w:t>
      </w:r>
      <w:proofErr w:type="gramEnd"/>
      <w:r>
        <w:t xml:space="preserve"> (see Supplementary t</w:t>
      </w:r>
      <w:r w:rsidRPr="00F86CBF">
        <w:t>able 3) 900-1273 Gt-C (median 1087 Gt-C) cumulative emissions are anticipated between 2020 and 2100.</w:t>
      </w:r>
      <w:r w:rsidRPr="00F86CBF">
        <w:rPr>
          <w:rStyle w:val="FootnoteReference"/>
        </w:rPr>
        <w:footnoteReference w:id="3"/>
      </w:r>
      <w:r w:rsidRPr="00F86CBF">
        <w:t xml:space="preserve"> Half of </w:t>
      </w:r>
      <w:proofErr w:type="gramStart"/>
      <w:r w:rsidRPr="00F86CBF">
        <w:t>this,</w:t>
      </w:r>
      <w:proofErr w:type="gramEnd"/>
      <w:r w:rsidRPr="00F86CBF">
        <w:t xml:space="preserve"> or 543 Gt-C is therefore the median estimate of MIT</w:t>
      </w:r>
      <w:r w:rsidRPr="00F86CBF">
        <w:rPr>
          <w:vertAlign w:val="subscript"/>
        </w:rPr>
        <w:t>100</w:t>
      </w:r>
      <w:r w:rsidRPr="00F86CBF">
        <w:t xml:space="preserve"> in the RCP6.0 baseline. However, of this amount, 80-176 Gt-C is the permitted unabated cumulative emission, and (assuming that all the substitution described in section 3.1 was of more expensive mitigation), a further 71-281 Gt-C would be removed by GGR.</w:t>
      </w:r>
      <w:r w:rsidRPr="00F86CBF">
        <w:rPr>
          <w:rStyle w:val="FootnoteReference"/>
        </w:rPr>
        <w:footnoteReference w:id="4"/>
      </w:r>
      <w:r w:rsidRPr="00F86CBF">
        <w:t xml:space="preserve"> Thi</w:t>
      </w:r>
      <w:r>
        <w:t xml:space="preserve">s leaves a residual of </w:t>
      </w:r>
      <w:r w:rsidRPr="00F86CBF">
        <w:t xml:space="preserve">mitigation </w:t>
      </w:r>
      <w:r>
        <w:t xml:space="preserve">(costing above the $100 threshold, and </w:t>
      </w:r>
      <w:r w:rsidRPr="00F86CBF">
        <w:t>required to achiev</w:t>
      </w:r>
      <w:r w:rsidRPr="00C86E72">
        <w:t>e a 1.5°C outcome</w:t>
      </w:r>
      <w:r>
        <w:t>)</w:t>
      </w:r>
      <w:r w:rsidRPr="0003272C">
        <w:t xml:space="preserve"> </w:t>
      </w:r>
      <w:r w:rsidRPr="00F86CBF">
        <w:t>of 182-297 Gt-C</w:t>
      </w:r>
      <w:r>
        <w:t xml:space="preserve"> (MD</w:t>
      </w:r>
      <w:r w:rsidRPr="000E3164">
        <w:rPr>
          <w:vertAlign w:val="subscript"/>
        </w:rPr>
        <w:t>3</w:t>
      </w:r>
      <w:r>
        <w:t>)</w:t>
      </w:r>
      <w:r w:rsidRPr="00C86E72">
        <w:t xml:space="preserve">. </w:t>
      </w:r>
      <w:r>
        <w:t>One can assume</w:t>
      </w:r>
      <w:r w:rsidRPr="00C86E72">
        <w:t xml:space="preserve"> that higher anticipated emissions would stimulate higher GGR deployment, but that a large permitted residual emissions budget would stimulate lower GGR deployment. To calculate th</w:t>
      </w:r>
      <w:r>
        <w:t>e</w:t>
      </w:r>
      <w:r w:rsidRPr="00C86E72">
        <w:t xml:space="preserve"> range</w:t>
      </w:r>
      <w:r>
        <w:t xml:space="preserve"> of MD</w:t>
      </w:r>
      <w:r w:rsidRPr="000E3164">
        <w:rPr>
          <w:vertAlign w:val="subscript"/>
        </w:rPr>
        <w:t>3</w:t>
      </w:r>
      <w:r w:rsidRPr="00C86E72">
        <w:t xml:space="preserve"> therefore the sum of high GGR and low remaining budget (361 Gt-C) or the sum of low GGR and high remaining budget (247 Gt-C)</w:t>
      </w:r>
      <w:r>
        <w:t xml:space="preserve"> respectively, were subtracted from </w:t>
      </w:r>
      <w:r w:rsidRPr="00C86E72">
        <w:t xml:space="preserve">the </w:t>
      </w:r>
      <w:r>
        <w:t xml:space="preserve">figure for </w:t>
      </w:r>
      <w:r w:rsidRPr="00C86E72">
        <w:t>residual expensive emissions</w:t>
      </w:r>
      <w:r>
        <w:t xml:space="preserve"> (see Supplementary Table 3)</w:t>
      </w:r>
      <w:r w:rsidRPr="00C86E72">
        <w:t>.</w:t>
      </w:r>
      <w:r>
        <w:t xml:space="preserve"> Supplementary table 3 also illustrates the effects of a RCP 8.5 counterfactual on Type 3 mitigation deterrence.</w:t>
      </w:r>
    </w:p>
    <w:p w:rsidR="00B96D88" w:rsidRDefault="00B96D88" w:rsidP="00B96D88">
      <w:pPr>
        <w:pStyle w:val="Heading4"/>
        <w:rPr>
          <w:b/>
        </w:rPr>
      </w:pPr>
    </w:p>
    <w:p w:rsidR="00B96D88" w:rsidRPr="0003272C" w:rsidRDefault="00B96D88" w:rsidP="00B96D88">
      <w:pPr>
        <w:pStyle w:val="Heading4"/>
        <w:rPr>
          <w:b/>
        </w:rPr>
      </w:pPr>
      <w:r w:rsidRPr="0003272C">
        <w:rPr>
          <w:b/>
        </w:rPr>
        <w:t>Summary and temperature implications</w:t>
      </w:r>
    </w:p>
    <w:p w:rsidR="00B96D88" w:rsidRDefault="00B96D88" w:rsidP="00B96D88">
      <w:r>
        <w:t xml:space="preserve">This gives quantitative estimates of the carbon at risk for the three types of mitigation deterrence. In Section 4 and Table </w:t>
      </w:r>
      <w:proofErr w:type="gramStart"/>
      <w:r>
        <w:t>1</w:t>
      </w:r>
      <w:proofErr w:type="gramEnd"/>
      <w:r>
        <w:t xml:space="preserve"> these are summed. Because Types 1 and 2 </w:t>
      </w:r>
      <w:proofErr w:type="gramStart"/>
      <w:r>
        <w:t>are both positively correlated</w:t>
      </w:r>
      <w:proofErr w:type="gramEnd"/>
      <w:r>
        <w:t xml:space="preserve"> with the underlying GGR requirement, but Type 3 is inversely correlated with the underlying GGR requirement, the low estimates of Types 1 and 2 are added to the high estimate of Type 3 and vice versa to construct the range of carbon at risk from mitigation deterrence. Finally, a range of transient climate response to cumulative carbon emissions (TCRE) estimates derived from IPCC (2018), are used to calculate the additional temperature rise that could result from this ‘at risk’ carbon (Table 2).  </w:t>
      </w:r>
    </w:p>
    <w:p w:rsidR="00B96D88" w:rsidRDefault="00B96D88" w:rsidP="00B96D88">
      <w:pPr>
        <w:pStyle w:val="Heading3"/>
      </w:pPr>
    </w:p>
    <w:p w:rsidR="00B96D88" w:rsidRPr="00F669F2" w:rsidRDefault="00B96D88" w:rsidP="00B96D88">
      <w:pPr>
        <w:pStyle w:val="Heading3"/>
      </w:pPr>
      <w:r w:rsidRPr="00F669F2">
        <w:t>Supplementary material references</w:t>
      </w:r>
    </w:p>
    <w:p w:rsidR="00B96D88" w:rsidRPr="00C6647E" w:rsidRDefault="00B96D88" w:rsidP="00B96D88">
      <w:pPr>
        <w:pStyle w:val="EndNoteBibliography"/>
        <w:spacing w:after="120"/>
        <w:rPr>
          <w:sz w:val="20"/>
          <w:szCs w:val="20"/>
        </w:rPr>
      </w:pPr>
      <w:r w:rsidRPr="00C6647E">
        <w:rPr>
          <w:rFonts w:ascii="Calibri" w:hAnsi="Calibri" w:cs="Calibri"/>
          <w:sz w:val="20"/>
          <w:szCs w:val="20"/>
          <w:lang w:val="en-US"/>
        </w:rPr>
        <w:fldChar w:fldCharType="begin"/>
      </w:r>
      <w:r w:rsidRPr="00C6647E">
        <w:rPr>
          <w:sz w:val="20"/>
          <w:szCs w:val="20"/>
        </w:rPr>
        <w:instrText xml:space="preserve"> ADDIN EN.REFLIST </w:instrText>
      </w:r>
      <w:r w:rsidRPr="00C6647E">
        <w:rPr>
          <w:rFonts w:ascii="Calibri" w:hAnsi="Calibri" w:cs="Calibri"/>
          <w:sz w:val="20"/>
          <w:szCs w:val="20"/>
          <w:lang w:val="en-US"/>
        </w:rPr>
        <w:fldChar w:fldCharType="separate"/>
      </w:r>
      <w:r w:rsidRPr="00C6647E">
        <w:rPr>
          <w:sz w:val="20"/>
          <w:szCs w:val="20"/>
        </w:rPr>
        <w:t xml:space="preserve">Azar, C., D. J. A. Johansson and N. Mattsson (2013). "Meeting global temperature targets—the role of bioenergy with carbon capture and storage." </w:t>
      </w:r>
      <w:r w:rsidRPr="00C6647E">
        <w:rPr>
          <w:sz w:val="20"/>
          <w:szCs w:val="20"/>
          <w:u w:val="single"/>
        </w:rPr>
        <w:t>Environmental Research Letters</w:t>
      </w:r>
      <w:r w:rsidRPr="00C6647E">
        <w:rPr>
          <w:sz w:val="20"/>
          <w:szCs w:val="20"/>
        </w:rPr>
        <w:t xml:space="preserve"> </w:t>
      </w:r>
      <w:r w:rsidRPr="00C6647E">
        <w:rPr>
          <w:b/>
          <w:sz w:val="20"/>
          <w:szCs w:val="20"/>
        </w:rPr>
        <w:t>8</w:t>
      </w:r>
      <w:r w:rsidRPr="00C6647E">
        <w:rPr>
          <w:sz w:val="20"/>
          <w:szCs w:val="20"/>
        </w:rPr>
        <w:t>(3): 034004.</w:t>
      </w:r>
    </w:p>
    <w:p w:rsidR="00B96D88" w:rsidRPr="00C6647E" w:rsidRDefault="00B96D88" w:rsidP="00B96D88">
      <w:pPr>
        <w:pStyle w:val="EndNoteBibliography"/>
        <w:spacing w:after="120"/>
        <w:rPr>
          <w:sz w:val="20"/>
          <w:szCs w:val="20"/>
        </w:rPr>
      </w:pPr>
      <w:r w:rsidRPr="00C6647E">
        <w:rPr>
          <w:sz w:val="20"/>
          <w:szCs w:val="20"/>
        </w:rPr>
        <w:t xml:space="preserve">Fuss, S., W. F. Lamb, M. W. Callaghan, J. Hilaire, F. Creutzig, T. Amann, T. Beringer, W. d. O. Garcia, J. Hartmann, T. Khanna, G. Luderer, G. F. Nemet, J. Rogelj, P. Smith, J. L. Vicente, J. Wilcox, M. d. M. Z. Dominguez and J. C. Minx (2018). "Negative emissions—Part 2: Costs, potentials and side effects." </w:t>
      </w:r>
      <w:r w:rsidRPr="00C6647E">
        <w:rPr>
          <w:sz w:val="20"/>
          <w:szCs w:val="20"/>
          <w:u w:val="single"/>
        </w:rPr>
        <w:t>Environmental Research Letters</w:t>
      </w:r>
      <w:r w:rsidRPr="00C6647E">
        <w:rPr>
          <w:sz w:val="20"/>
          <w:szCs w:val="20"/>
        </w:rPr>
        <w:t xml:space="preserve"> </w:t>
      </w:r>
      <w:r w:rsidRPr="00C6647E">
        <w:rPr>
          <w:b/>
          <w:sz w:val="20"/>
          <w:szCs w:val="20"/>
        </w:rPr>
        <w:t>13</w:t>
      </w:r>
      <w:r w:rsidRPr="00C6647E">
        <w:rPr>
          <w:sz w:val="20"/>
          <w:szCs w:val="20"/>
        </w:rPr>
        <w:t>(6): 063002.</w:t>
      </w:r>
    </w:p>
    <w:p w:rsidR="00B96D88" w:rsidRPr="00C6647E" w:rsidRDefault="00B96D88" w:rsidP="00B96D88">
      <w:pPr>
        <w:pStyle w:val="EndNoteBibliography"/>
        <w:spacing w:after="120"/>
        <w:rPr>
          <w:sz w:val="20"/>
          <w:szCs w:val="20"/>
        </w:rPr>
      </w:pPr>
      <w:r w:rsidRPr="00C6647E">
        <w:rPr>
          <w:sz w:val="20"/>
          <w:szCs w:val="20"/>
        </w:rPr>
        <w:t>Gordon, D., A. Brandt, J. Bergerson and J. Koomey (2015). Know Your Oil: Creating an Global Oil-Climate Index. Washington DC, Carnegie Endowment for International Peace.</w:t>
      </w:r>
    </w:p>
    <w:p w:rsidR="00B96D88" w:rsidRPr="00C6647E" w:rsidRDefault="00B96D88" w:rsidP="00B96D88">
      <w:pPr>
        <w:pStyle w:val="EndNoteBibliography"/>
        <w:spacing w:after="120"/>
        <w:rPr>
          <w:sz w:val="20"/>
          <w:szCs w:val="20"/>
        </w:rPr>
      </w:pPr>
      <w:r w:rsidRPr="00C6647E">
        <w:rPr>
          <w:sz w:val="20"/>
          <w:szCs w:val="20"/>
        </w:rPr>
        <w:t xml:space="preserve">Grubler, A., C. Wilson, N. Bento, B. Boza-Kiss, V. Krey, D. L. McCollum, N. D. Rao, K. Riahi, J. Rogelj, S. De Stercke, J. Cullen, S. Frank, O. Fricko, F. Guo, M. Gidden, P. Havlík, D. Huppmann, G. Kiesewetter, P. Rafaj, W. Schoepp and H. Valin (2018). "A low energy demand scenario for meeting the 1.5 °C target and sustainable </w:t>
      </w:r>
      <w:r w:rsidRPr="00C6647E">
        <w:rPr>
          <w:sz w:val="20"/>
          <w:szCs w:val="20"/>
        </w:rPr>
        <w:lastRenderedPageBreak/>
        <w:t xml:space="preserve">development goals without negative emission technologies." </w:t>
      </w:r>
      <w:r w:rsidRPr="00C6647E">
        <w:rPr>
          <w:sz w:val="20"/>
          <w:szCs w:val="20"/>
          <w:u w:val="single"/>
        </w:rPr>
        <w:t>Nature Energy</w:t>
      </w:r>
      <w:r w:rsidRPr="00C6647E">
        <w:rPr>
          <w:sz w:val="20"/>
          <w:szCs w:val="20"/>
        </w:rPr>
        <w:t xml:space="preserve"> </w:t>
      </w:r>
      <w:r w:rsidRPr="00C6647E">
        <w:rPr>
          <w:b/>
          <w:sz w:val="20"/>
          <w:szCs w:val="20"/>
        </w:rPr>
        <w:t>3</w:t>
      </w:r>
      <w:r w:rsidRPr="00C6647E">
        <w:rPr>
          <w:sz w:val="20"/>
          <w:szCs w:val="20"/>
        </w:rPr>
        <w:t>(6): 515-527.</w:t>
      </w:r>
    </w:p>
    <w:p w:rsidR="00B96D88" w:rsidRPr="00C6647E" w:rsidRDefault="00B96D88" w:rsidP="00B96D88">
      <w:pPr>
        <w:pStyle w:val="EndNoteBibliography"/>
        <w:spacing w:after="120"/>
        <w:rPr>
          <w:sz w:val="20"/>
          <w:szCs w:val="20"/>
        </w:rPr>
      </w:pPr>
      <w:r w:rsidRPr="00C6647E">
        <w:rPr>
          <w:sz w:val="20"/>
          <w:szCs w:val="20"/>
        </w:rPr>
        <w:t xml:space="preserve">IPCC (2007). </w:t>
      </w:r>
      <w:r w:rsidRPr="00C6647E">
        <w:rPr>
          <w:sz w:val="20"/>
          <w:szCs w:val="20"/>
          <w:u w:val="single"/>
        </w:rPr>
        <w:t>Climate Change 2007: Mitigation. Contribution of Working Group III to the Fourth Assessment Report of the Intergovernmental Panel on Climate Change</w:t>
      </w:r>
      <w:r w:rsidRPr="00C6647E">
        <w:rPr>
          <w:sz w:val="20"/>
          <w:szCs w:val="20"/>
        </w:rPr>
        <w:t>. Cambridge, United Kingdom and New York, NY, USA, Cambridge University Press.</w:t>
      </w:r>
    </w:p>
    <w:p w:rsidR="00B96D88" w:rsidRPr="00C6647E" w:rsidRDefault="00B96D88" w:rsidP="00B96D88">
      <w:pPr>
        <w:pStyle w:val="EndNoteBibliography"/>
        <w:spacing w:after="120"/>
        <w:rPr>
          <w:sz w:val="20"/>
          <w:szCs w:val="20"/>
        </w:rPr>
      </w:pPr>
      <w:r w:rsidRPr="00C6647E">
        <w:rPr>
          <w:sz w:val="20"/>
          <w:szCs w:val="20"/>
        </w:rPr>
        <w:t xml:space="preserve">IPCC (2014). </w:t>
      </w:r>
      <w:r w:rsidRPr="00C6647E">
        <w:rPr>
          <w:sz w:val="20"/>
          <w:szCs w:val="20"/>
          <w:u w:val="single"/>
        </w:rPr>
        <w:t>Climate Change 2014: Synthesis Report. Contribution of Working Groups I, II and III to the Fifth Assessment Report of the Intergovernmental Panel on Climate Change</w:t>
      </w:r>
      <w:r w:rsidRPr="00C6647E">
        <w:rPr>
          <w:sz w:val="20"/>
          <w:szCs w:val="20"/>
        </w:rPr>
        <w:t>. Geneva, IPCC.</w:t>
      </w:r>
    </w:p>
    <w:p w:rsidR="00B96D88" w:rsidRPr="00C6647E" w:rsidRDefault="00B96D88" w:rsidP="00B96D88">
      <w:pPr>
        <w:pStyle w:val="EndNoteBibliography"/>
        <w:spacing w:after="120"/>
        <w:rPr>
          <w:sz w:val="20"/>
          <w:szCs w:val="20"/>
        </w:rPr>
      </w:pPr>
      <w:r w:rsidRPr="00C6647E">
        <w:rPr>
          <w:sz w:val="20"/>
          <w:szCs w:val="20"/>
        </w:rPr>
        <w:t>IPCC (2018). Global Warming of 1.5</w:t>
      </w:r>
      <w:r w:rsidRPr="00C6647E">
        <w:rPr>
          <w:sz w:val="20"/>
          <w:szCs w:val="20"/>
          <w:vertAlign w:val="superscript"/>
        </w:rPr>
        <w:t>o</w:t>
      </w:r>
      <w:r w:rsidRPr="00C6647E">
        <w:rPr>
          <w:sz w:val="20"/>
          <w:szCs w:val="20"/>
        </w:rPr>
        <w:t>C. Switzerland, Intergovernmental Panel on Climate Change.</w:t>
      </w:r>
    </w:p>
    <w:p w:rsidR="00B96D88" w:rsidRPr="00C6647E" w:rsidRDefault="00B96D88" w:rsidP="00B96D88">
      <w:pPr>
        <w:pStyle w:val="EndNoteBibliography"/>
        <w:spacing w:after="120"/>
        <w:rPr>
          <w:sz w:val="20"/>
          <w:szCs w:val="20"/>
        </w:rPr>
      </w:pPr>
      <w:r w:rsidRPr="00C6647E">
        <w:rPr>
          <w:sz w:val="20"/>
          <w:szCs w:val="20"/>
        </w:rPr>
        <w:t xml:space="preserve">Keith, D. W., G. Holmes, D. St. Angelo and K. Heidel (2018). "A Process for Capturing CO2 from the Atmosphere." </w:t>
      </w:r>
      <w:r w:rsidRPr="00C6647E">
        <w:rPr>
          <w:sz w:val="20"/>
          <w:szCs w:val="20"/>
          <w:u w:val="single"/>
        </w:rPr>
        <w:t>Joule</w:t>
      </w:r>
      <w:r w:rsidRPr="00C6647E">
        <w:rPr>
          <w:sz w:val="20"/>
          <w:szCs w:val="20"/>
        </w:rPr>
        <w:t>.</w:t>
      </w:r>
    </w:p>
    <w:p w:rsidR="00B96D88" w:rsidRPr="00C6647E" w:rsidRDefault="00B96D88" w:rsidP="00B96D88">
      <w:pPr>
        <w:pStyle w:val="EndNoteBibliography"/>
        <w:spacing w:after="120"/>
        <w:rPr>
          <w:sz w:val="20"/>
          <w:szCs w:val="20"/>
        </w:rPr>
      </w:pPr>
      <w:r w:rsidRPr="00C6647E">
        <w:rPr>
          <w:sz w:val="20"/>
          <w:szCs w:val="20"/>
        </w:rPr>
        <w:t xml:space="preserve">Masnadi, M. S., H. M. El-Houjeiri, D. Schunack, Y. Li, J. G. Englander, A. Badahdah, J.-C. Monfort, J. E. Anderson, T. J. Wallington, J. A. Bergerson, D. Gordon, J. Koomey, S. Przesmitzki, I. L. Azevedo, X. T. Bi, J. E. Duffy, G. A. Heath, G. A. Keoleian, C. McGlade, D. N. Meehan, S. Yeh, F. You, M. Wang and A. R. Brandt (2018). "Global carbon intensity of crude oil production." </w:t>
      </w:r>
      <w:r w:rsidRPr="00C6647E">
        <w:rPr>
          <w:sz w:val="20"/>
          <w:szCs w:val="20"/>
          <w:u w:val="single"/>
        </w:rPr>
        <w:t>Science</w:t>
      </w:r>
      <w:r w:rsidRPr="00C6647E">
        <w:rPr>
          <w:sz w:val="20"/>
          <w:szCs w:val="20"/>
        </w:rPr>
        <w:t xml:space="preserve"> </w:t>
      </w:r>
      <w:r w:rsidRPr="00C6647E">
        <w:rPr>
          <w:b/>
          <w:sz w:val="20"/>
          <w:szCs w:val="20"/>
        </w:rPr>
        <w:t>361</w:t>
      </w:r>
      <w:r w:rsidRPr="00C6647E">
        <w:rPr>
          <w:sz w:val="20"/>
          <w:szCs w:val="20"/>
        </w:rPr>
        <w:t>(6405): 851.</w:t>
      </w:r>
    </w:p>
    <w:p w:rsidR="00B96D88" w:rsidRPr="00C6647E" w:rsidRDefault="00B96D88" w:rsidP="00B96D88">
      <w:pPr>
        <w:pStyle w:val="EndNoteBibliography"/>
        <w:spacing w:after="120"/>
        <w:rPr>
          <w:sz w:val="20"/>
          <w:szCs w:val="20"/>
        </w:rPr>
      </w:pPr>
      <w:r w:rsidRPr="00C6647E">
        <w:rPr>
          <w:sz w:val="20"/>
          <w:szCs w:val="20"/>
        </w:rPr>
        <w:t xml:space="preserve">Riahi, K., E. Kriegler, N. Johnson, C. Bertram, M. den Elzen, J. Eom, M. Schaeffer, J. Edmonds, M. Isaac, V. Krey, T. Longden, G. Luderer, A. Méjean, D. L. McCollum, S. Mima, H. Turton, D. P. van Vuuren, K. Wada, V. Bosetti, P. Capros, P. Criqui, M. Hamdi-Cherif, M. Kainuma and O. Edenhofer (2015). "Locked into Copenhagen pledges — Implications of short-term emission targets for the cost and feasibility of long-term climate goals." </w:t>
      </w:r>
      <w:r w:rsidRPr="00C6647E">
        <w:rPr>
          <w:sz w:val="20"/>
          <w:szCs w:val="20"/>
          <w:u w:val="single"/>
        </w:rPr>
        <w:t>Technological Forecasting and Social Change</w:t>
      </w:r>
      <w:r w:rsidRPr="00C6647E">
        <w:rPr>
          <w:sz w:val="20"/>
          <w:szCs w:val="20"/>
        </w:rPr>
        <w:t xml:space="preserve"> </w:t>
      </w:r>
      <w:r w:rsidRPr="00C6647E">
        <w:rPr>
          <w:b/>
          <w:sz w:val="20"/>
          <w:szCs w:val="20"/>
        </w:rPr>
        <w:t>90</w:t>
      </w:r>
      <w:r w:rsidRPr="00C6647E">
        <w:rPr>
          <w:sz w:val="20"/>
          <w:szCs w:val="20"/>
        </w:rPr>
        <w:t>: 8-23.</w:t>
      </w:r>
    </w:p>
    <w:p w:rsidR="00B96D88" w:rsidRPr="00C6647E" w:rsidRDefault="00B96D88" w:rsidP="00B96D88">
      <w:pPr>
        <w:pStyle w:val="EndNoteBibliography"/>
        <w:spacing w:after="120"/>
        <w:rPr>
          <w:sz w:val="20"/>
          <w:szCs w:val="20"/>
        </w:rPr>
      </w:pPr>
      <w:r w:rsidRPr="00C6647E">
        <w:rPr>
          <w:sz w:val="20"/>
          <w:szCs w:val="20"/>
        </w:rPr>
        <w:t xml:space="preserve">Souza, G. M., R. L. Victoria, C. A. Joly and L. M. Verdade (2013). Bioenergy &amp; Sustainability: bridging the gaps. Sao Paulo, SCOPE. </w:t>
      </w:r>
      <w:r w:rsidRPr="00C6647E">
        <w:rPr>
          <w:b/>
          <w:sz w:val="20"/>
          <w:szCs w:val="20"/>
        </w:rPr>
        <w:t>72</w:t>
      </w:r>
      <w:r w:rsidRPr="00C6647E">
        <w:rPr>
          <w:sz w:val="20"/>
          <w:szCs w:val="20"/>
        </w:rPr>
        <w:t>.</w:t>
      </w:r>
    </w:p>
    <w:p w:rsidR="00B96D88" w:rsidRPr="00C6647E" w:rsidRDefault="00B96D88" w:rsidP="00B96D88">
      <w:pPr>
        <w:pStyle w:val="EndNoteBibliography"/>
        <w:spacing w:after="120"/>
        <w:rPr>
          <w:sz w:val="20"/>
          <w:szCs w:val="20"/>
        </w:rPr>
      </w:pPr>
      <w:r w:rsidRPr="00C6647E">
        <w:rPr>
          <w:sz w:val="20"/>
          <w:szCs w:val="20"/>
        </w:rPr>
        <w:t>USEPA. (Undated). "Greenhouse Gases Equivalencies Calculator - Calculations and References." from https://</w:t>
      </w:r>
      <w:hyperlink r:id="rId7" w:history="1">
        <w:r w:rsidRPr="00C6647E">
          <w:rPr>
            <w:rStyle w:val="Hyperlink"/>
            <w:sz w:val="20"/>
            <w:szCs w:val="20"/>
          </w:rPr>
          <w:t>www.epa.gov/energy/greenhouse-gases-equivalencies-calculator-calculations-and-references</w:t>
        </w:r>
      </w:hyperlink>
      <w:r w:rsidRPr="00C6647E">
        <w:rPr>
          <w:sz w:val="20"/>
          <w:szCs w:val="20"/>
        </w:rPr>
        <w:t>.</w:t>
      </w:r>
    </w:p>
    <w:p w:rsidR="00B96D88" w:rsidRPr="00C6647E" w:rsidRDefault="00B96D88" w:rsidP="00B96D88">
      <w:pPr>
        <w:pStyle w:val="EndNoteBibliography"/>
        <w:spacing w:after="120"/>
        <w:rPr>
          <w:sz w:val="20"/>
          <w:szCs w:val="20"/>
        </w:rPr>
      </w:pPr>
      <w:r w:rsidRPr="00C6647E">
        <w:rPr>
          <w:sz w:val="20"/>
          <w:szCs w:val="20"/>
        </w:rPr>
        <w:t xml:space="preserve">van Vuuren, D. P., E. Stehfest, D. E. H. J. Gernaat, M. van den Berg, D. L. Bijl, H. S. de Boer, V. Daioglou, J. C. Doelman, O. Y. Edelenbosch, M. Harmsen, A. F. Hof and M. A. E. van Sluisveld (2018). "Alternative pathways to the 1.5 °C target reduce the need for negative emission technologies." </w:t>
      </w:r>
      <w:r w:rsidRPr="00C6647E">
        <w:rPr>
          <w:sz w:val="20"/>
          <w:szCs w:val="20"/>
          <w:u w:val="single"/>
        </w:rPr>
        <w:t>Nature Climate Change</w:t>
      </w:r>
      <w:r w:rsidRPr="00C6647E">
        <w:rPr>
          <w:sz w:val="20"/>
          <w:szCs w:val="20"/>
        </w:rPr>
        <w:t xml:space="preserve"> </w:t>
      </w:r>
      <w:r w:rsidRPr="00C6647E">
        <w:rPr>
          <w:b/>
          <w:sz w:val="20"/>
          <w:szCs w:val="20"/>
        </w:rPr>
        <w:t>8</w:t>
      </w:r>
      <w:r w:rsidRPr="00C6647E">
        <w:rPr>
          <w:sz w:val="20"/>
          <w:szCs w:val="20"/>
        </w:rPr>
        <w:t>(5): 391-397.</w:t>
      </w:r>
    </w:p>
    <w:p w:rsidR="00B96D88" w:rsidRPr="00C6647E" w:rsidRDefault="00B96D88" w:rsidP="00B96D88">
      <w:pPr>
        <w:pStyle w:val="EndNoteBibliography"/>
        <w:spacing w:after="120"/>
        <w:rPr>
          <w:sz w:val="20"/>
          <w:szCs w:val="20"/>
        </w:rPr>
      </w:pPr>
      <w:r w:rsidRPr="00C6647E">
        <w:rPr>
          <w:sz w:val="20"/>
          <w:szCs w:val="20"/>
        </w:rPr>
        <w:t xml:space="preserve">Wiltshire, A. and T. Davies-Barnard (2015). Planetary limits to BECCS negative emissions </w:t>
      </w:r>
      <w:r w:rsidRPr="00C6647E">
        <w:rPr>
          <w:sz w:val="20"/>
          <w:szCs w:val="20"/>
          <w:u w:val="single"/>
        </w:rPr>
        <w:t>AVOID Working Paper</w:t>
      </w:r>
      <w:r w:rsidRPr="00C6647E">
        <w:rPr>
          <w:sz w:val="20"/>
          <w:szCs w:val="20"/>
        </w:rPr>
        <w:t>.</w:t>
      </w:r>
    </w:p>
    <w:p w:rsidR="00B96D88" w:rsidRPr="00C6647E" w:rsidRDefault="00B96D88" w:rsidP="00B96D88">
      <w:pPr>
        <w:spacing w:after="120"/>
        <w:rPr>
          <w:sz w:val="20"/>
          <w:szCs w:val="20"/>
        </w:rPr>
      </w:pPr>
      <w:r w:rsidRPr="00C6647E">
        <w:rPr>
          <w:sz w:val="20"/>
          <w:szCs w:val="20"/>
        </w:rPr>
        <w:fldChar w:fldCharType="end"/>
      </w:r>
    </w:p>
    <w:p w:rsidR="00B96D88" w:rsidRPr="00B648C7" w:rsidRDefault="00B96D88" w:rsidP="00B96D88">
      <w:pPr>
        <w:pStyle w:val="Standard"/>
        <w:spacing w:after="120"/>
        <w:rPr>
          <w:rFonts w:asciiTheme="minorHAnsi" w:hAnsiTheme="minorHAnsi" w:cstheme="minorHAnsi"/>
          <w:b/>
          <w:sz w:val="28"/>
          <w:szCs w:val="28"/>
        </w:rPr>
      </w:pPr>
    </w:p>
    <w:p w:rsidR="00F10335" w:rsidRDefault="00F10335"/>
    <w:sectPr w:rsidR="00F10335" w:rsidSect="00B96D8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936" w:rsidRDefault="00FE5936" w:rsidP="00B96D88">
      <w:r>
        <w:separator/>
      </w:r>
    </w:p>
  </w:endnote>
  <w:endnote w:type="continuationSeparator" w:id="0">
    <w:p w:rsidR="00FE5936" w:rsidRDefault="00FE5936" w:rsidP="00B9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936" w:rsidRDefault="00FE5936" w:rsidP="00B96D88">
      <w:r>
        <w:separator/>
      </w:r>
    </w:p>
  </w:footnote>
  <w:footnote w:type="continuationSeparator" w:id="0">
    <w:p w:rsidR="00FE5936" w:rsidRDefault="00FE5936" w:rsidP="00B96D88">
      <w:r>
        <w:continuationSeparator/>
      </w:r>
    </w:p>
  </w:footnote>
  <w:footnote w:id="1">
    <w:p w:rsidR="00B96D88" w:rsidRDefault="00B96D88" w:rsidP="00B96D88">
      <w:pPr>
        <w:pStyle w:val="FootnoteText"/>
      </w:pPr>
      <w:r>
        <w:rPr>
          <w:rStyle w:val="FootnoteReference"/>
        </w:rPr>
        <w:footnoteRef/>
      </w:r>
      <w:r>
        <w:t xml:space="preserve"> </w:t>
      </w:r>
      <w:r w:rsidRPr="009B4D1B">
        <w:rPr>
          <w:rFonts w:cs="Arial"/>
          <w:sz w:val="18"/>
        </w:rPr>
        <w:t xml:space="preserve">In Azar et </w:t>
      </w:r>
      <w:proofErr w:type="spellStart"/>
      <w:r w:rsidRPr="009B4D1B">
        <w:rPr>
          <w:rFonts w:cs="Arial"/>
          <w:sz w:val="18"/>
        </w:rPr>
        <w:t>al’s</w:t>
      </w:r>
      <w:proofErr w:type="spellEnd"/>
      <w:r w:rsidRPr="009B4D1B">
        <w:rPr>
          <w:rFonts w:cs="Arial"/>
          <w:sz w:val="18"/>
        </w:rPr>
        <w:t xml:space="preserve"> pathways the shortfall in mitigation continues until 2070 or 2080, and the cumulative excess emissions significantly outweigh cumulative GGR in the remainder of the century (as removals continue until 2150)</w:t>
      </w:r>
      <w:r>
        <w:rPr>
          <w:rFonts w:cs="Arial"/>
          <w:sz w:val="18"/>
        </w:rPr>
        <w:t xml:space="preserve"> (</w:t>
      </w:r>
      <w:r w:rsidRPr="009B4D1B">
        <w:rPr>
          <w:rFonts w:cs="Arial"/>
          <w:sz w:val="18"/>
        </w:rPr>
        <w:fldChar w:fldCharType="begin"/>
      </w:r>
      <w:r>
        <w:rPr>
          <w:rFonts w:cs="Arial"/>
          <w:sz w:val="18"/>
        </w:rPr>
        <w:instrText xml:space="preserve"> ADDIN EN.CITE &lt;EndNote&gt;&lt;Cite ExcludeAuth="1"&gt;&lt;Author&gt;Azar&lt;/Author&gt;&lt;Year&gt;2013&lt;/Year&gt;&lt;RecNum&gt;28&lt;/RecNum&gt;&lt;DisplayText&gt;Azar, C., D. J. A. Johansson and N. Mattsson (2013). &amp;quot;Meeting global temperature targets—the role of bioenergy with carbon capture and storage.&amp;quot; &lt;style face="underline"&gt;Environmental Research Letters&lt;/style&gt; &lt;style face="bold"&gt;8&lt;/style&gt;(3): 034004.&lt;/DisplayText&gt;&lt;record&gt;&lt;rec-number&gt;28&lt;/rec-number&gt;&lt;foreign-keys&gt;&lt;key app="EN" db-id="0zzad9fw8a059ze5xpfpd5zfdxt92t9a9fps" timestamp="1513182675"&gt;28&lt;/key&gt;&lt;key app="ENWeb" db-id=""&gt;0&lt;/key&gt;&lt;/foreign-keys&gt;&lt;ref-type name="Journal Article"&gt;17&lt;/ref-type&gt;&lt;contributors&gt;&lt;authors&gt;&lt;author&gt;Azar, Christian&lt;/author&gt;&lt;author&gt;Johansson, Daniel J. A.&lt;/author&gt;&lt;author&gt;Mattsson, Niclas&lt;/author&gt;&lt;/authors&gt;&lt;/contributors&gt;&lt;titles&gt;&lt;title&gt;Meeting global temperature targets—the role of bioenergy with carbon capture and storage&lt;/title&gt;&lt;secondary-title&gt;Environmental Research Letters&lt;/secondary-title&gt;&lt;/titles&gt;&lt;periodical&gt;&lt;full-title&gt;Environmental Research Letters&lt;/full-title&gt;&lt;/periodical&gt;&lt;pages&gt;034004&lt;/pages&gt;&lt;volume&gt;8&lt;/volume&gt;&lt;number&gt;3&lt;/number&gt;&lt;dates&gt;&lt;year&gt;2013&lt;/year&gt;&lt;/dates&gt;&lt;isbn&gt;1748-9326&lt;/isbn&gt;&lt;urls&gt;&lt;/urls&gt;&lt;electronic-resource-num&gt;10.1088/1748-9326/8/3/034004&lt;/electronic-resource-num&gt;&lt;/record&gt;&lt;/Cite&gt;&lt;/EndNote&gt;</w:instrText>
      </w:r>
      <w:r w:rsidRPr="009B4D1B">
        <w:rPr>
          <w:rFonts w:cs="Arial"/>
          <w:sz w:val="18"/>
        </w:rPr>
        <w:fldChar w:fldCharType="separate"/>
      </w:r>
      <w:r>
        <w:rPr>
          <w:rFonts w:cs="Arial"/>
          <w:noProof/>
          <w:sz w:val="18"/>
        </w:rPr>
        <w:t xml:space="preserve">Azar, C., D. J. A. Johansson and N. Mattsson (2013). "Meeting global temperature targets—the role of bioenergy with carbon capture and storage." </w:t>
      </w:r>
      <w:r w:rsidRPr="00286270">
        <w:rPr>
          <w:rFonts w:cs="Arial"/>
          <w:noProof/>
          <w:sz w:val="18"/>
          <w:u w:val="single"/>
        </w:rPr>
        <w:t>Environmental Research Letters</w:t>
      </w:r>
      <w:r>
        <w:rPr>
          <w:rFonts w:cs="Arial"/>
          <w:noProof/>
          <w:sz w:val="18"/>
        </w:rPr>
        <w:t xml:space="preserve"> </w:t>
      </w:r>
      <w:r w:rsidRPr="00286270">
        <w:rPr>
          <w:rFonts w:cs="Arial"/>
          <w:b/>
          <w:noProof/>
          <w:sz w:val="18"/>
        </w:rPr>
        <w:t>8</w:t>
      </w:r>
      <w:r>
        <w:rPr>
          <w:rFonts w:cs="Arial"/>
          <w:noProof/>
          <w:sz w:val="18"/>
        </w:rPr>
        <w:t>(3): 034004.</w:t>
      </w:r>
      <w:r w:rsidRPr="009B4D1B">
        <w:rPr>
          <w:rFonts w:cs="Arial"/>
          <w:sz w:val="18"/>
        </w:rPr>
        <w:fldChar w:fldCharType="end"/>
      </w:r>
      <w:r>
        <w:rPr>
          <w:rFonts w:cs="Arial"/>
          <w:sz w:val="18"/>
        </w:rPr>
        <w:t>)</w:t>
      </w:r>
    </w:p>
  </w:footnote>
  <w:footnote w:id="2">
    <w:p w:rsidR="00B96D88" w:rsidRPr="00843DDF" w:rsidRDefault="00B96D88" w:rsidP="00B96D88">
      <w:pPr>
        <w:pStyle w:val="FootnoteText"/>
        <w:rPr>
          <w:sz w:val="18"/>
        </w:rPr>
      </w:pPr>
      <w:r w:rsidRPr="00843DDF">
        <w:rPr>
          <w:rStyle w:val="FootnoteReference"/>
          <w:rFonts w:cs="Times New Roman"/>
          <w:sz w:val="18"/>
        </w:rPr>
        <w:footnoteRef/>
      </w:r>
      <w:r w:rsidRPr="00843DDF">
        <w:rPr>
          <w:sz w:val="18"/>
        </w:rPr>
        <w:t xml:space="preserve"> See </w:t>
      </w:r>
      <w:r w:rsidRPr="006617F2">
        <w:rPr>
          <w:sz w:val="18"/>
        </w:rPr>
        <w:t xml:space="preserve">Chapter 11 in </w:t>
      </w:r>
      <w:hyperlink r:id="rId1" w:history="1">
        <w:r w:rsidRPr="00B648C7">
          <w:rPr>
            <w:rStyle w:val="Hyperlink"/>
            <w:sz w:val="18"/>
          </w:rPr>
          <w:t>https://www.ipcc.ch/site/assets/uploads/2018/03/ar4_wg3_full_report-1.pdf</w:t>
        </w:r>
      </w:hyperlink>
    </w:p>
  </w:footnote>
  <w:footnote w:id="3">
    <w:p w:rsidR="00B96D88" w:rsidRPr="004669B6" w:rsidRDefault="00B96D88" w:rsidP="00B96D88">
      <w:pPr>
        <w:pStyle w:val="FootnoteText"/>
        <w:rPr>
          <w:sz w:val="18"/>
        </w:rPr>
      </w:pPr>
      <w:r w:rsidRPr="004669B6">
        <w:rPr>
          <w:rStyle w:val="FootnoteReference"/>
          <w:sz w:val="18"/>
        </w:rPr>
        <w:footnoteRef/>
      </w:r>
      <w:r w:rsidRPr="004669B6">
        <w:rPr>
          <w:sz w:val="18"/>
        </w:rPr>
        <w:t xml:space="preserve"> RCP6.0 involves 987-1360 Gt-C cumulative emissions over 2011-2100, here reduced by 87 Gt-C to account for emissions from 2011-2019.</w:t>
      </w:r>
    </w:p>
  </w:footnote>
  <w:footnote w:id="4">
    <w:p w:rsidR="00B96D88" w:rsidRDefault="00B96D88" w:rsidP="00B96D88">
      <w:pPr>
        <w:pStyle w:val="FootnoteText"/>
      </w:pPr>
      <w:r w:rsidRPr="004669B6">
        <w:rPr>
          <w:rStyle w:val="FootnoteReference"/>
          <w:sz w:val="18"/>
        </w:rPr>
        <w:footnoteRef/>
      </w:r>
      <w:r w:rsidRPr="004669B6">
        <w:rPr>
          <w:sz w:val="18"/>
        </w:rPr>
        <w:t xml:space="preserve"> </w:t>
      </w:r>
      <w:r>
        <w:rPr>
          <w:sz w:val="18"/>
        </w:rPr>
        <w:t>T</w:t>
      </w:r>
      <w:r w:rsidRPr="004669B6">
        <w:rPr>
          <w:sz w:val="18"/>
        </w:rPr>
        <w:t>he whole amount of GGR deployed</w:t>
      </w:r>
      <w:r>
        <w:rPr>
          <w:sz w:val="18"/>
        </w:rPr>
        <w:t xml:space="preserve"> </w:t>
      </w:r>
      <w:proofErr w:type="gramStart"/>
      <w:r>
        <w:rPr>
          <w:sz w:val="18"/>
        </w:rPr>
        <w:t>is used</w:t>
      </w:r>
      <w:proofErr w:type="gramEnd"/>
      <w:r w:rsidRPr="004669B6">
        <w:rPr>
          <w:sz w:val="18"/>
        </w:rPr>
        <w:t xml:space="preserve"> here, as the total in RCP6.0 includes recalcitrant emissions.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D88"/>
    <w:rsid w:val="00B92E5C"/>
    <w:rsid w:val="00B96D88"/>
    <w:rsid w:val="00F10335"/>
    <w:rsid w:val="00FE5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B711"/>
  <w15:chartTrackingRefBased/>
  <w15:docId w15:val="{6C607B8A-65F1-41E0-AEF0-D013E27DC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D88"/>
    <w:pPr>
      <w:widowControl w:val="0"/>
      <w:suppressAutoHyphens/>
      <w:autoSpaceDN w:val="0"/>
      <w:spacing w:after="0" w:line="240" w:lineRule="auto"/>
      <w:textAlignment w:val="baseline"/>
    </w:pPr>
    <w:rPr>
      <w:rFonts w:eastAsia="SimSun" w:cstheme="minorHAnsi"/>
      <w:kern w:val="3"/>
      <w:lang w:eastAsia="zh-CN" w:bidi="hi-IN"/>
    </w:rPr>
  </w:style>
  <w:style w:type="paragraph" w:styleId="Heading1">
    <w:name w:val="heading 1"/>
    <w:basedOn w:val="Normal"/>
    <w:next w:val="Normal"/>
    <w:link w:val="Heading1Char"/>
    <w:uiPriority w:val="9"/>
    <w:qFormat/>
    <w:rsid w:val="00B96D88"/>
    <w:pPr>
      <w:keepNext/>
      <w:keepLines/>
      <w:spacing w:before="240"/>
      <w:outlineLvl w:val="0"/>
    </w:pPr>
    <w:rPr>
      <w:rFonts w:asciiTheme="majorHAnsi" w:eastAsiaTheme="majorEastAsia" w:hAnsiTheme="majorHAnsi" w:cs="Mangal"/>
      <w:color w:val="2E74B5" w:themeColor="accent1" w:themeShade="BF"/>
      <w:sz w:val="32"/>
      <w:szCs w:val="29"/>
    </w:rPr>
  </w:style>
  <w:style w:type="paragraph" w:styleId="Heading3">
    <w:name w:val="heading 3"/>
    <w:basedOn w:val="Normal"/>
    <w:next w:val="Normal"/>
    <w:link w:val="Heading3Char"/>
    <w:uiPriority w:val="9"/>
    <w:unhideWhenUsed/>
    <w:qFormat/>
    <w:rsid w:val="00B96D88"/>
    <w:pPr>
      <w:keepNext/>
      <w:keepLines/>
      <w:spacing w:before="40"/>
      <w:outlineLvl w:val="2"/>
    </w:pPr>
    <w:rPr>
      <w:rFonts w:asciiTheme="majorHAnsi" w:eastAsiaTheme="majorEastAsia" w:hAnsiTheme="majorHAnsi" w:cs="Mangal"/>
      <w:b/>
      <w:color w:val="1F4D78" w:themeColor="accent1" w:themeShade="7F"/>
      <w:sz w:val="28"/>
      <w:szCs w:val="28"/>
    </w:rPr>
  </w:style>
  <w:style w:type="paragraph" w:styleId="Heading4">
    <w:name w:val="heading 4"/>
    <w:basedOn w:val="Normal"/>
    <w:next w:val="Normal"/>
    <w:link w:val="Heading4Char"/>
    <w:uiPriority w:val="9"/>
    <w:unhideWhenUsed/>
    <w:qFormat/>
    <w:rsid w:val="00B96D88"/>
    <w:pPr>
      <w:keepNext/>
      <w:keepLines/>
      <w:spacing w:before="40"/>
      <w:outlineLvl w:val="3"/>
    </w:pPr>
    <w:rPr>
      <w:rFonts w:asciiTheme="majorHAnsi" w:eastAsiaTheme="majorEastAsia" w:hAnsiTheme="majorHAnsi" w:cs="Mangal"/>
      <w:i/>
      <w:iCs/>
      <w:color w:val="2E74B5" w:themeColor="accent1"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D88"/>
    <w:rPr>
      <w:rFonts w:asciiTheme="majorHAnsi" w:eastAsiaTheme="majorEastAsia" w:hAnsiTheme="majorHAnsi" w:cs="Mangal"/>
      <w:color w:val="2E74B5" w:themeColor="accent1" w:themeShade="BF"/>
      <w:kern w:val="3"/>
      <w:sz w:val="32"/>
      <w:szCs w:val="29"/>
      <w:lang w:eastAsia="zh-CN" w:bidi="hi-IN"/>
    </w:rPr>
  </w:style>
  <w:style w:type="character" w:customStyle="1" w:styleId="Heading3Char">
    <w:name w:val="Heading 3 Char"/>
    <w:basedOn w:val="DefaultParagraphFont"/>
    <w:link w:val="Heading3"/>
    <w:uiPriority w:val="9"/>
    <w:rsid w:val="00B96D88"/>
    <w:rPr>
      <w:rFonts w:asciiTheme="majorHAnsi" w:eastAsiaTheme="majorEastAsia" w:hAnsiTheme="majorHAnsi" w:cs="Mangal"/>
      <w:b/>
      <w:color w:val="1F4D78" w:themeColor="accent1" w:themeShade="7F"/>
      <w:kern w:val="3"/>
      <w:sz w:val="28"/>
      <w:szCs w:val="28"/>
      <w:lang w:eastAsia="zh-CN" w:bidi="hi-IN"/>
    </w:rPr>
  </w:style>
  <w:style w:type="character" w:customStyle="1" w:styleId="Heading4Char">
    <w:name w:val="Heading 4 Char"/>
    <w:basedOn w:val="DefaultParagraphFont"/>
    <w:link w:val="Heading4"/>
    <w:uiPriority w:val="9"/>
    <w:rsid w:val="00B96D88"/>
    <w:rPr>
      <w:rFonts w:asciiTheme="majorHAnsi" w:eastAsiaTheme="majorEastAsia" w:hAnsiTheme="majorHAnsi" w:cs="Mangal"/>
      <w:i/>
      <w:iCs/>
      <w:color w:val="2E74B5" w:themeColor="accent1" w:themeShade="BF"/>
      <w:kern w:val="3"/>
      <w:szCs w:val="20"/>
      <w:lang w:eastAsia="zh-CN" w:bidi="hi-IN"/>
    </w:rPr>
  </w:style>
  <w:style w:type="paragraph" w:customStyle="1" w:styleId="Standard">
    <w:name w:val="Standard"/>
    <w:link w:val="StandardChar"/>
    <w:rsid w:val="00B96D88"/>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table" w:styleId="TableGrid">
    <w:name w:val="Table Grid"/>
    <w:basedOn w:val="TableNormal"/>
    <w:uiPriority w:val="39"/>
    <w:rsid w:val="00B96D88"/>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6D88"/>
    <w:rPr>
      <w:color w:val="0563C1" w:themeColor="hyperlink"/>
      <w:u w:val="single"/>
    </w:rPr>
  </w:style>
  <w:style w:type="paragraph" w:styleId="FootnoteText">
    <w:name w:val="footnote text"/>
    <w:basedOn w:val="Normal"/>
    <w:link w:val="FootnoteTextChar"/>
    <w:uiPriority w:val="99"/>
    <w:unhideWhenUsed/>
    <w:rsid w:val="00B96D88"/>
    <w:rPr>
      <w:rFonts w:cs="Mangal"/>
      <w:sz w:val="20"/>
      <w:szCs w:val="18"/>
    </w:rPr>
  </w:style>
  <w:style w:type="character" w:customStyle="1" w:styleId="FootnoteTextChar">
    <w:name w:val="Footnote Text Char"/>
    <w:basedOn w:val="DefaultParagraphFont"/>
    <w:link w:val="FootnoteText"/>
    <w:uiPriority w:val="99"/>
    <w:rsid w:val="00B96D88"/>
    <w:rPr>
      <w:rFonts w:eastAsia="SimSun" w:cs="Mangal"/>
      <w:kern w:val="3"/>
      <w:sz w:val="20"/>
      <w:szCs w:val="18"/>
      <w:lang w:eastAsia="zh-CN" w:bidi="hi-IN"/>
    </w:rPr>
  </w:style>
  <w:style w:type="character" w:styleId="FootnoteReference">
    <w:name w:val="footnote reference"/>
    <w:basedOn w:val="DefaultParagraphFont"/>
    <w:uiPriority w:val="99"/>
    <w:semiHidden/>
    <w:unhideWhenUsed/>
    <w:rsid w:val="00B96D88"/>
    <w:rPr>
      <w:vertAlign w:val="superscript"/>
    </w:rPr>
  </w:style>
  <w:style w:type="character" w:customStyle="1" w:styleId="StandardChar">
    <w:name w:val="Standard Char"/>
    <w:basedOn w:val="DefaultParagraphFont"/>
    <w:link w:val="Standard"/>
    <w:rsid w:val="00B96D88"/>
    <w:rPr>
      <w:rFonts w:ascii="Times New Roman" w:eastAsia="SimSun" w:hAnsi="Times New Roman" w:cs="Lucida Sans"/>
      <w:kern w:val="3"/>
      <w:sz w:val="24"/>
      <w:szCs w:val="24"/>
      <w:lang w:eastAsia="zh-CN" w:bidi="hi-IN"/>
    </w:rPr>
  </w:style>
  <w:style w:type="paragraph" w:customStyle="1" w:styleId="EndNoteBibliography">
    <w:name w:val="EndNote Bibliography"/>
    <w:basedOn w:val="Normal"/>
    <w:link w:val="EndNoteBibliographyChar"/>
    <w:rsid w:val="00B96D88"/>
    <w:rPr>
      <w:rFonts w:ascii="Times New Roman" w:hAnsi="Times New Roman" w:cs="Times New Roman"/>
      <w:noProof/>
      <w:sz w:val="24"/>
      <w:szCs w:val="24"/>
    </w:rPr>
  </w:style>
  <w:style w:type="character" w:customStyle="1" w:styleId="EndNoteBibliographyChar">
    <w:name w:val="EndNote Bibliography Char"/>
    <w:basedOn w:val="StandardChar"/>
    <w:link w:val="EndNoteBibliography"/>
    <w:rsid w:val="00B96D88"/>
    <w:rPr>
      <w:rFonts w:ascii="Times New Roman" w:eastAsia="SimSun" w:hAnsi="Times New Roman" w:cs="Times New Roman"/>
      <w:noProof/>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pa.gov/energy/greenhouse-gases-equivalencies-calculator-calculations-and-referen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pcc.ch/site/assets/uploads/2018/03/ar4_wg3_full_repo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4414</Words>
  <Characters>25161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Lancaster University</Company>
  <LinksUpToDate>false</LinksUpToDate>
  <CharactersWithSpaces>29516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McLaren, Duncan</dc:creator>
  <cp:keywords/>
  <dc:description/>
  <cp:lastModifiedBy>McLaren, Duncan</cp:lastModifiedBy>
  <cp:revision>1</cp:revision>
  <dcterms:created xsi:type="dcterms:W3CDTF">2020-05-19T08:18:00Z</dcterms:created>
  <dcterms:modified xsi:type="dcterms:W3CDTF">2020-05-19T08:24:00Z</dcterms:modified>
</cp:coreProperties>
</file>