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50D" w:rsidRPr="002E3027" w:rsidRDefault="00B3550D" w:rsidP="00B3550D">
      <w:pPr>
        <w:pStyle w:val="Heading2"/>
        <w:rPr>
          <w:noProof/>
          <w:lang w:val="en-US"/>
        </w:rPr>
      </w:pPr>
      <w:r w:rsidRPr="002E3027">
        <w:rPr>
          <w:noProof/>
          <w:lang w:val="en-US"/>
        </w:rPr>
        <w:t>Supplementary Information</w:t>
      </w:r>
    </w:p>
    <w:p w:rsidR="00B3550D" w:rsidRDefault="00B3550D" w:rsidP="00B3550D">
      <w:pPr>
        <w:rPr>
          <w:noProof/>
          <w:lang w:val="en-US"/>
        </w:rPr>
      </w:pPr>
    </w:p>
    <w:p w:rsidR="00B3550D" w:rsidRDefault="00B3550D" w:rsidP="00B3550D">
      <w:pPr>
        <w:pStyle w:val="Heading3"/>
        <w:rPr>
          <w:noProof/>
          <w:lang w:val="en-US"/>
        </w:rPr>
      </w:pPr>
      <w:r w:rsidRPr="002E3027">
        <w:rPr>
          <w:noProof/>
          <w:lang w:val="en-US"/>
        </w:rPr>
        <w:t xml:space="preserve">S1. </w:t>
      </w:r>
      <w:r>
        <w:rPr>
          <w:noProof/>
          <w:lang w:val="en-US"/>
        </w:rPr>
        <w:t>Models (IMAGE / GAINS)</w:t>
      </w:r>
    </w:p>
    <w:p w:rsidR="00B3550D" w:rsidRPr="00501387" w:rsidRDefault="00B3550D" w:rsidP="00B3550D">
      <w:pPr>
        <w:rPr>
          <w:lang w:val="en-US"/>
        </w:rPr>
      </w:pPr>
    </w:p>
    <w:p w:rsidR="00B3550D" w:rsidRPr="00501387" w:rsidRDefault="00B3550D" w:rsidP="00B3550D">
      <w:pPr>
        <w:pStyle w:val="Heading4"/>
        <w:rPr>
          <w:noProof/>
          <w:sz w:val="24"/>
          <w:szCs w:val="24"/>
          <w:lang w:val="en-US"/>
        </w:rPr>
      </w:pPr>
      <w:r w:rsidRPr="00501387">
        <w:rPr>
          <w:noProof/>
          <w:sz w:val="24"/>
          <w:szCs w:val="24"/>
          <w:lang w:val="en-US"/>
        </w:rPr>
        <w:t>IMAGE 3.0 modelling framework</w:t>
      </w:r>
    </w:p>
    <w:p w:rsidR="00B3550D" w:rsidRDefault="00B3550D" w:rsidP="00B3550D">
      <w:pPr>
        <w:pStyle w:val="Body"/>
        <w:rPr>
          <w:rFonts w:asciiTheme="minorHAnsi" w:hAnsiTheme="minorHAnsi"/>
          <w:sz w:val="22"/>
          <w:szCs w:val="22"/>
        </w:rPr>
      </w:pPr>
    </w:p>
    <w:p w:rsidR="00B3550D" w:rsidRPr="002E3027" w:rsidRDefault="00B3550D" w:rsidP="00B3550D">
      <w:pPr>
        <w:pStyle w:val="Body"/>
        <w:rPr>
          <w:rFonts w:asciiTheme="minorHAnsi" w:hAnsiTheme="minorHAnsi"/>
          <w:sz w:val="22"/>
          <w:szCs w:val="22"/>
        </w:rPr>
      </w:pPr>
      <w:r w:rsidRPr="002E3027">
        <w:rPr>
          <w:rFonts w:asciiTheme="minorHAnsi" w:hAnsiTheme="minorHAnsi"/>
          <w:sz w:val="22"/>
          <w:szCs w:val="22"/>
        </w:rPr>
        <w:t>The description of the IMAGE 3.0 model below</w:t>
      </w:r>
      <w:r>
        <w:rPr>
          <w:rFonts w:asciiTheme="minorHAnsi" w:hAnsiTheme="minorHAnsi"/>
          <w:sz w:val="22"/>
          <w:szCs w:val="22"/>
        </w:rPr>
        <w:t xml:space="preserve"> has been used in other EMF30 studies in the Climatic Change Special Issue </w:t>
      </w:r>
      <w:r>
        <w:rPr>
          <w:rFonts w:asciiTheme="minorHAnsi" w:hAnsiTheme="minorHAnsi"/>
          <w:sz w:val="22"/>
          <w:szCs w:val="22"/>
        </w:rPr>
        <w:fldChar w:fldCharType="begin"/>
      </w:r>
      <w:r>
        <w:rPr>
          <w:rFonts w:asciiTheme="minorHAnsi" w:hAnsiTheme="minorHAnsi"/>
          <w:sz w:val="22"/>
          <w:szCs w:val="22"/>
        </w:rPr>
        <w:instrText xml:space="preserve"> ADDIN EN.CITE &lt;EndNote&gt;&lt;Cite&gt;&lt;Author&gt;Harmsen&lt;/Author&gt;&lt;Year&gt;2019&lt;/Year&gt;&lt;RecNum&gt;500&lt;/RecNum&gt;&lt;DisplayText&gt;(Harmsen et al., 2019)&lt;/DisplayText&gt;&lt;record&gt;&lt;rec-number&gt;500&lt;/rec-number&gt;&lt;foreign-keys&gt;&lt;key app="EN" db-id="ewxvdw52e55r2gefrsovdxwk0xrz0v2zfp2s" timestamp="1538494665"&gt;500&lt;/key&gt;&lt;/foreign-keys&gt;&lt;ref-type name="Journal Article"&gt;17&lt;/ref-type&gt;&lt;contributors&gt;&lt;authors&gt;&lt;author&gt;Mathijs Harmsen&lt;/author&gt;&lt;author&gt;Oliver Fricko&lt;/author&gt;&lt;author&gt;Jérôme Hilaire&lt;/author&gt;&lt;author&gt;Detlef P. van Vuuren&lt;/author&gt;&lt;author&gt;Laurent Drouet&lt;/author&gt;&lt;author&gt;Olivier Durand-Lasserve&lt;/author&gt;&lt;author&gt;Shinichiro Fujimori&lt;/author&gt;&lt;author&gt;Kimon Keramidas&lt;/author&gt;&lt;author&gt;Gunnar Luderer&lt;/author&gt;&lt;author&gt;Lara Aleluia Reis&lt;/author&gt;&lt;author&gt;Keywan Riahi&lt;/author&gt;&lt;author&gt;Fuminori Sano&lt;/author&gt;&lt;author&gt;Steven J. Smith&lt;/author&gt;&lt;/authors&gt;&lt;/contributors&gt;&lt;titles&gt;&lt;title&gt;Taking some heat off the NDCs? The limited potential of additional short-lived climate forcers’ mitigation&lt;/title&gt;&lt;secondary-title&gt;Climatic Change (in press)&lt;/secondary-title&gt;&lt;/titles&gt;&lt;periodical&gt;&lt;full-title&gt;Climatic Change (in press)&lt;/full-title&gt;&lt;/periodical&gt;&lt;dates&gt;&lt;year&gt;2019&lt;/year&gt;&lt;/dates&gt;&lt;urls&gt;&lt;/urls&gt;&lt;/record&gt;&lt;/Cite&gt;&lt;/EndNote&gt;</w:instrText>
      </w:r>
      <w:r>
        <w:rPr>
          <w:rFonts w:asciiTheme="minorHAnsi" w:hAnsiTheme="minorHAnsi"/>
          <w:sz w:val="22"/>
          <w:szCs w:val="22"/>
        </w:rPr>
        <w:fldChar w:fldCharType="separate"/>
      </w:r>
      <w:r>
        <w:rPr>
          <w:rFonts w:asciiTheme="minorHAnsi" w:hAnsiTheme="minorHAnsi"/>
          <w:noProof/>
          <w:sz w:val="22"/>
          <w:szCs w:val="22"/>
        </w:rPr>
        <w:t>(Harmsen et al., 2019)</w:t>
      </w:r>
      <w:r>
        <w:rPr>
          <w:rFonts w:asciiTheme="minorHAnsi" w:hAnsiTheme="minorHAnsi"/>
          <w:sz w:val="22"/>
          <w:szCs w:val="22"/>
        </w:rPr>
        <w:fldChar w:fldCharType="end"/>
      </w:r>
      <w:r>
        <w:rPr>
          <w:rFonts w:asciiTheme="minorHAnsi" w:hAnsiTheme="minorHAnsi"/>
          <w:sz w:val="22"/>
          <w:szCs w:val="22"/>
        </w:rPr>
        <w:t xml:space="preserve">. It </w:t>
      </w:r>
      <w:r w:rsidRPr="002E3027">
        <w:rPr>
          <w:rFonts w:asciiTheme="minorHAnsi" w:hAnsiTheme="minorHAnsi"/>
          <w:sz w:val="22"/>
          <w:szCs w:val="22"/>
        </w:rPr>
        <w:t xml:space="preserve">relies heavily on and uses text from the online IMAGE 3.0 model documentation, which in turn is fully based on the IMAGE 3.0 book </w:t>
      </w:r>
      <w:r w:rsidRPr="002E3027">
        <w:rPr>
          <w:rFonts w:asciiTheme="minorHAnsi" w:hAnsiTheme="minorHAnsi"/>
          <w:sz w:val="22"/>
          <w:szCs w:val="22"/>
        </w:rPr>
        <w:fldChar w:fldCharType="begin"/>
      </w:r>
      <w:r w:rsidRPr="002E3027">
        <w:rPr>
          <w:rFonts w:asciiTheme="minorHAnsi" w:hAnsiTheme="minorHAnsi"/>
          <w:sz w:val="22"/>
          <w:szCs w:val="22"/>
        </w:rPr>
        <w:instrText xml:space="preserve"> ADDIN EN.CITE &lt;EndNote&gt;&lt;Cite&gt;&lt;Author&gt;Stehfest&lt;/Author&gt;&lt;Year&gt;2014&lt;/Year&gt;&lt;RecNum&gt;274&lt;/RecNum&gt;&lt;DisplayText&gt;(Stehfest et al., 2014)&lt;/DisplayText&gt;&lt;record&gt;&lt;rec-number&gt;274&lt;/rec-number&gt;&lt;foreign-keys&gt;&lt;key app="EN" db-id="ewxvdw52e55r2gefrsovdxwk0xrz0v2zfp2s" timestamp="1449496398"&gt;274&lt;/key&gt;&lt;/foreign-keys&gt;&lt;ref-type name="Journal Article"&gt;17&lt;/ref-type&gt;&lt;contributors&gt;&lt;authors&gt;&lt;author&gt;Stehfest, E.&lt;/author&gt;&lt;author&gt;van Vuuren, D.P. &lt;/author&gt;&lt;author&gt;Kram, T.&lt;/author&gt;&lt;author&gt;Bouwman , A.F.&lt;/author&gt;&lt;author&gt;(eds.)&lt;/author&gt;&lt;/authors&gt;&lt;/contributors&gt;&lt;titles&gt;&lt;title&gt;&lt;style face="italic" font="default" size="100%"&gt;Integrated Assessment of Global Environmental Change with IMAGE 3.0. Model description and policy applications&lt;/style&gt;&lt;/title&gt;&lt;secondary-title&gt;The Hague: PBL Netherlands Environmental Assessment Agency&lt;/secondary-title&gt;&lt;/titles&gt;&lt;periodical&gt;&lt;full-title&gt;The Hague: PBL Netherlands Environmental Assessment Agency&lt;/full-title&gt;&lt;/periodical&gt;&lt;dates&gt;&lt;year&gt;2014&lt;/year&gt;&lt;/dates&gt;&lt;urls&gt;&lt;/urls&gt;&lt;/record&gt;&lt;/Cite&gt;&lt;/EndNote&gt;</w:instrText>
      </w:r>
      <w:r w:rsidRPr="002E3027">
        <w:rPr>
          <w:rFonts w:asciiTheme="minorHAnsi" w:hAnsiTheme="minorHAnsi"/>
          <w:sz w:val="22"/>
          <w:szCs w:val="22"/>
        </w:rPr>
        <w:fldChar w:fldCharType="separate"/>
      </w:r>
      <w:r w:rsidRPr="002E3027">
        <w:rPr>
          <w:rFonts w:asciiTheme="minorHAnsi" w:hAnsiTheme="minorHAnsi"/>
          <w:sz w:val="22"/>
          <w:szCs w:val="22"/>
        </w:rPr>
        <w:t>(Stehfest et al., 2014)</w:t>
      </w:r>
      <w:r w:rsidRPr="002E3027">
        <w:rPr>
          <w:rFonts w:asciiTheme="minorHAnsi" w:hAnsiTheme="minorHAnsi"/>
          <w:sz w:val="22"/>
          <w:szCs w:val="22"/>
        </w:rPr>
        <w:fldChar w:fldCharType="end"/>
      </w:r>
      <w:r w:rsidRPr="002E3027">
        <w:rPr>
          <w:rFonts w:asciiTheme="minorHAnsi" w:hAnsiTheme="minorHAnsi"/>
          <w:sz w:val="22"/>
          <w:szCs w:val="22"/>
        </w:rPr>
        <w:t>. The online documentation can be found here:</w:t>
      </w:r>
    </w:p>
    <w:p w:rsidR="00B3550D" w:rsidRPr="002E3027" w:rsidRDefault="00B3550D" w:rsidP="00B3550D">
      <w:pPr>
        <w:pStyle w:val="Body"/>
        <w:rPr>
          <w:rFonts w:asciiTheme="minorHAnsi" w:hAnsiTheme="minorHAnsi"/>
          <w:sz w:val="22"/>
          <w:szCs w:val="22"/>
        </w:rPr>
      </w:pPr>
      <w:hyperlink r:id="rId7" w:history="1">
        <w:r w:rsidRPr="002E3027">
          <w:rPr>
            <w:rStyle w:val="Hyperlink"/>
            <w:rFonts w:asciiTheme="minorHAnsi" w:eastAsiaTheme="majorEastAsia" w:hAnsiTheme="minorHAnsi"/>
            <w:sz w:val="22"/>
            <w:szCs w:val="22"/>
          </w:rPr>
          <w:t>http://themasites.pbl.nl/models/image/index.php/Welcome_to_IMAGE_3.0_Documentation</w:t>
        </w:r>
      </w:hyperlink>
    </w:p>
    <w:p w:rsidR="00B3550D" w:rsidRPr="002E3027" w:rsidRDefault="00B3550D" w:rsidP="00B3550D">
      <w:pPr>
        <w:pStyle w:val="Body"/>
        <w:rPr>
          <w:rFonts w:asciiTheme="minorHAnsi" w:hAnsiTheme="minorHAnsi"/>
          <w:sz w:val="22"/>
          <w:szCs w:val="22"/>
        </w:rPr>
      </w:pPr>
      <w:r w:rsidRPr="002E3027">
        <w:rPr>
          <w:rFonts w:asciiTheme="minorHAnsi" w:hAnsiTheme="minorHAnsi"/>
          <w:sz w:val="22"/>
          <w:szCs w:val="22"/>
        </w:rPr>
        <w:t>A stepwise introduction to the modeling framework can be found at the following link:</w:t>
      </w:r>
    </w:p>
    <w:p w:rsidR="00B3550D" w:rsidRPr="002E3027" w:rsidRDefault="00B3550D" w:rsidP="00B3550D">
      <w:pPr>
        <w:pStyle w:val="Body"/>
        <w:rPr>
          <w:rFonts w:asciiTheme="minorHAnsi" w:hAnsiTheme="minorHAnsi"/>
          <w:sz w:val="22"/>
          <w:szCs w:val="22"/>
        </w:rPr>
      </w:pPr>
      <w:hyperlink r:id="rId8" w:history="1">
        <w:r w:rsidRPr="002E3027">
          <w:rPr>
            <w:rStyle w:val="Hyperlink"/>
            <w:rFonts w:asciiTheme="minorHAnsi" w:eastAsiaTheme="majorEastAsia" w:hAnsiTheme="minorHAnsi"/>
            <w:sz w:val="22"/>
            <w:szCs w:val="22"/>
          </w:rPr>
          <w:t>http://themasites.pbl.nl/models/image/index.php/IMAGE_framework</w:t>
        </w:r>
      </w:hyperlink>
    </w:p>
    <w:p w:rsidR="00B3550D" w:rsidRPr="002E3027" w:rsidRDefault="00B3550D" w:rsidP="00B3550D">
      <w:pPr>
        <w:pStyle w:val="Body"/>
        <w:rPr>
          <w:rFonts w:asciiTheme="minorHAnsi" w:hAnsiTheme="minorHAnsi"/>
          <w:sz w:val="22"/>
          <w:szCs w:val="22"/>
        </w:rPr>
      </w:pPr>
      <w:r w:rsidRPr="002E3027">
        <w:rPr>
          <w:rFonts w:asciiTheme="minorHAnsi" w:hAnsiTheme="minorHAnsi"/>
          <w:sz w:val="22"/>
          <w:szCs w:val="22"/>
        </w:rPr>
        <w:t xml:space="preserve">IMAGE 3.0 is an integrated assessment modeling framework that simulates global and regional environmental consequences of changes in human activities </w:t>
      </w:r>
      <w:r w:rsidRPr="002E3027">
        <w:rPr>
          <w:rFonts w:asciiTheme="minorHAnsi" w:hAnsiTheme="minorHAnsi"/>
          <w:sz w:val="22"/>
          <w:szCs w:val="22"/>
        </w:rPr>
        <w:fldChar w:fldCharType="begin"/>
      </w:r>
      <w:r w:rsidRPr="002E3027">
        <w:rPr>
          <w:rFonts w:asciiTheme="minorHAnsi" w:hAnsiTheme="minorHAnsi"/>
          <w:sz w:val="22"/>
          <w:szCs w:val="22"/>
        </w:rPr>
        <w:instrText xml:space="preserve"> ADDIN EN.CITE &lt;EndNote&gt;&lt;Cite&gt;&lt;Author&gt;Stehfest&lt;/Author&gt;&lt;Year&gt;2014&lt;/Year&gt;&lt;RecNum&gt;274&lt;/RecNum&gt;&lt;DisplayText&gt;(Stehfest et al., 2014)&lt;/DisplayText&gt;&lt;record&gt;&lt;rec-number&gt;274&lt;/rec-number&gt;&lt;foreign-keys&gt;&lt;key app="EN" db-id="ewxvdw52e55r2gefrsovdxwk0xrz0v2zfp2s" timestamp="1449496398"&gt;274&lt;/key&gt;&lt;/foreign-keys&gt;&lt;ref-type name="Journal Article"&gt;17&lt;/ref-type&gt;&lt;contributors&gt;&lt;authors&gt;&lt;author&gt;Stehfest, E.&lt;/author&gt;&lt;author&gt;van Vuuren, D.P. &lt;/author&gt;&lt;author&gt;Kram, T.&lt;/author&gt;&lt;author&gt;Bouwman , A.F.&lt;/author&gt;&lt;author&gt;(eds.)&lt;/author&gt;&lt;/authors&gt;&lt;/contributors&gt;&lt;titles&gt;&lt;title&gt;&lt;style face="italic" font="default" size="100%"&gt;Integrated Assessment of Global Environmental Change with IMAGE 3.0. Model description and policy applications&lt;/style&gt;&lt;/title&gt;&lt;secondary-title&gt;The Hague: PBL Netherlands Environmental Assessment Agency&lt;/secondary-title&gt;&lt;/titles&gt;&lt;periodical&gt;&lt;full-title&gt;The Hague: PBL Netherlands Environmental Assessment Agency&lt;/full-title&gt;&lt;/periodical&gt;&lt;dates&gt;&lt;year&gt;2014&lt;/year&gt;&lt;/dates&gt;&lt;urls&gt;&lt;/urls&gt;&lt;/record&gt;&lt;/Cite&gt;&lt;/EndNote&gt;</w:instrText>
      </w:r>
      <w:r w:rsidRPr="002E3027">
        <w:rPr>
          <w:rFonts w:asciiTheme="minorHAnsi" w:hAnsiTheme="minorHAnsi"/>
          <w:sz w:val="22"/>
          <w:szCs w:val="22"/>
        </w:rPr>
        <w:fldChar w:fldCharType="separate"/>
      </w:r>
      <w:r w:rsidRPr="002E3027">
        <w:rPr>
          <w:rFonts w:asciiTheme="minorHAnsi" w:hAnsiTheme="minorHAnsi"/>
          <w:sz w:val="22"/>
          <w:szCs w:val="22"/>
        </w:rPr>
        <w:t>(Stehfest et al., 2014)</w:t>
      </w:r>
      <w:r w:rsidRPr="002E3027">
        <w:rPr>
          <w:rFonts w:asciiTheme="minorHAnsi" w:hAnsiTheme="minorHAnsi"/>
          <w:sz w:val="22"/>
          <w:szCs w:val="22"/>
        </w:rPr>
        <w:fldChar w:fldCharType="end"/>
      </w:r>
      <w:r w:rsidRPr="002E3027">
        <w:rPr>
          <w:rFonts w:asciiTheme="minorHAnsi" w:hAnsiTheme="minorHAnsi"/>
          <w:sz w:val="22"/>
          <w:szCs w:val="22"/>
        </w:rPr>
        <w:t xml:space="preserve">. The model is a simulation model, i.e. changes in model parameters are calculated on the basis of the information from the previous time-step. The model includes a detailed description of the energy and land-use system and simulates most of the socio-economic parameters for 26 regions and most of the environmental parameters on the basis of a geographical grid of 30 by 30 minutes or 5 by 5 minutes (depending on the variable). The IMAGE framework is comprises two main systems: 1) the human or socio-economic system that describes the long-term development of human activities relevant for sustainable development; and 2) the earth system that describes changes in natural systems, such as the carbon and hydrological cycle and climate. </w:t>
      </w:r>
    </w:p>
    <w:p w:rsidR="00B3550D" w:rsidRPr="002E3027" w:rsidRDefault="00B3550D" w:rsidP="00B3550D">
      <w:pPr>
        <w:pStyle w:val="Body"/>
        <w:rPr>
          <w:rFonts w:asciiTheme="minorHAnsi" w:hAnsiTheme="minorHAnsi"/>
          <w:sz w:val="22"/>
          <w:szCs w:val="22"/>
          <w:lang w:val="nl-NL"/>
        </w:rPr>
      </w:pPr>
      <w:r w:rsidRPr="002E3027">
        <w:rPr>
          <w:rFonts w:asciiTheme="minorHAnsi" w:hAnsiTheme="minorHAnsi"/>
          <w:sz w:val="22"/>
          <w:szCs w:val="22"/>
        </w:rPr>
        <w:t xml:space="preserve">Exogenous assumptions on population, economic development, lifestyle, policies and technology change form a key input into the energy system model TIMER </w:t>
      </w:r>
      <w:r w:rsidRPr="002E3027">
        <w:rPr>
          <w:rFonts w:asciiTheme="minorHAnsi" w:hAnsiTheme="minorHAnsi"/>
          <w:sz w:val="22"/>
          <w:szCs w:val="22"/>
        </w:rPr>
        <w:fldChar w:fldCharType="begin"/>
      </w:r>
      <w:r w:rsidRPr="002E3027">
        <w:rPr>
          <w:rFonts w:asciiTheme="minorHAnsi" w:hAnsiTheme="minorHAnsi"/>
          <w:sz w:val="22"/>
          <w:szCs w:val="22"/>
        </w:rPr>
        <w:instrText xml:space="preserve"> ADDIN EN.CITE &lt;EndNote&gt;&lt;Cite&gt;&lt;Author&gt;De Vries&lt;/Author&gt;&lt;Year&gt;2001&lt;/Year&gt;&lt;RecNum&gt;370&lt;/RecNum&gt;&lt;DisplayText&gt;(De Vries et al., 2001; Van Vuuren et al., 2007)&lt;/DisplayText&gt;&lt;record&gt;&lt;rec-number&gt;370&lt;/rec-number&gt;&lt;foreign-keys&gt;&lt;key app="EN" db-id="ewxvdw52e55r2gefrsovdxwk0xrz0v2zfp2s" timestamp="1516801683"&gt;370&lt;/key&gt;&lt;/foreign-keys&gt;&lt;ref-type name="Journal Article"&gt;17&lt;/ref-type&gt;&lt;contributors&gt;&lt;authors&gt;&lt;author&gt;De Vries, H.J.M.&lt;/author&gt;&lt;author&gt;Van Vuuren D.P&lt;/author&gt;&lt;author&gt;Den Elzen, M. G. J.&lt;/author&gt;&lt;author&gt;Janssen, M. A. &lt;/author&gt;&lt;/authors&gt;&lt;/contributors&gt;&lt;titles&gt;&lt;title&gt;&lt;style face="normal" font="default" size="100%"&gt;The targets image energy model regional (TIMER) -Technical documentation. PBL Netherlands Environmental Assessment Agency (formerly MNP), Bilthoven/The Hague &lt;/style&gt;&lt;style face="underline" font="default" size="100%"&gt;www.pbl.nl/en&lt;/style&gt;&lt;style face="normal" font="default" size="100%"&gt;.&lt;/style&gt;&lt;/title&gt;&lt;/titles&gt;&lt;dates&gt;&lt;year&gt;2001&lt;/year&gt;&lt;/dates&gt;&lt;urls&gt;&lt;/urls&gt;&lt;/record&gt;&lt;/Cite&gt;&lt;Cite&gt;&lt;Author&gt;Van Vuuren&lt;/Author&gt;&lt;Year&gt;2007&lt;/Year&gt;&lt;RecNum&gt;371&lt;/RecNum&gt;&lt;record&gt;&lt;rec-number&gt;371&lt;/rec-number&gt;&lt;foreign-keys&gt;&lt;key app="EN" db-id="ewxvdw52e55r2gefrsovdxwk0xrz0v2zfp2s" timestamp="1516801911"&gt;371&lt;/key&gt;&lt;/foreign-keys&gt;&lt;ref-type name="Journal Article"&gt;17&lt;/ref-type&gt;&lt;contributors&gt;&lt;authors&gt;&lt;author&gt;Van Vuuren, D. P. &lt;/author&gt;&lt;author&gt;Michel G. J. den Elzen, &lt;/author&gt;&lt;author&gt;Paul </w:instrText>
      </w:r>
      <w:r w:rsidRPr="00B3550D">
        <w:rPr>
          <w:rFonts w:asciiTheme="minorHAnsi" w:hAnsiTheme="minorHAnsi"/>
          <w:sz w:val="22"/>
          <w:szCs w:val="22"/>
          <w:lang w:val="nl-NL"/>
        </w:rPr>
        <w:instrText>L. Lucas, &lt;/author&gt;&lt;author&gt;Bas Eickhout, &lt;/author&gt;&lt;author&gt;Bart J. Strengers, &lt;/author&gt;&lt;author&gt;Bas van Ruijven, &lt;/author&gt;&lt;author&gt;Steven Wonink, &lt;/author&gt;&lt;author&gt;Roy van Houdt&lt;/author&gt;&lt;/authors&gt;&lt;/contributors&gt;&lt;titles&gt;&lt;title&gt;Stabilizing greenhouse gas concentrations at low levels: an assessment of reduction strategies and costs&lt;/title&gt;&lt;secondary-title&gt;Climatic Change&lt;/secondary-title&gt;&lt;/titles&gt;&lt;periodical&gt;&lt;full-title&gt;Climatic Change&lt;/full-title&gt;&lt;/periodical&gt;&lt;volume&gt;81&lt;/volume&gt;&lt;dates&gt;&lt;year&gt;2007&lt;/year&gt;&lt;/dates&gt;&lt;urls&gt;&lt;/urls&gt;&lt;/record&gt;&lt;/Cite&gt;&lt;/EndNote&gt;</w:instrText>
      </w:r>
      <w:r w:rsidRPr="002E3027">
        <w:rPr>
          <w:rFonts w:asciiTheme="minorHAnsi" w:hAnsiTheme="minorHAnsi"/>
          <w:sz w:val="22"/>
          <w:szCs w:val="22"/>
        </w:rPr>
        <w:fldChar w:fldCharType="separate"/>
      </w:r>
      <w:r w:rsidRPr="00B3550D">
        <w:rPr>
          <w:rFonts w:asciiTheme="minorHAnsi" w:hAnsiTheme="minorHAnsi"/>
          <w:sz w:val="22"/>
          <w:szCs w:val="22"/>
          <w:lang w:val="nl-NL"/>
        </w:rPr>
        <w:t>(De Vries et al., 2001; Van Vuuren et al., 2007)</w:t>
      </w:r>
      <w:r w:rsidRPr="002E3027">
        <w:rPr>
          <w:rFonts w:asciiTheme="minorHAnsi" w:hAnsiTheme="minorHAnsi"/>
          <w:sz w:val="22"/>
          <w:szCs w:val="22"/>
        </w:rPr>
        <w:fldChar w:fldCharType="end"/>
      </w:r>
      <w:r w:rsidRPr="00B3550D">
        <w:rPr>
          <w:rFonts w:asciiTheme="minorHAnsi" w:hAnsiTheme="minorHAnsi"/>
          <w:sz w:val="22"/>
          <w:szCs w:val="22"/>
          <w:lang w:val="nl-NL"/>
        </w:rPr>
        <w:t xml:space="preserve"> and the food and agriculture system model MAGNET </w:t>
      </w:r>
      <w:r w:rsidRPr="002E3027">
        <w:rPr>
          <w:rFonts w:asciiTheme="minorHAnsi" w:hAnsiTheme="minorHAnsi"/>
          <w:sz w:val="22"/>
          <w:szCs w:val="22"/>
        </w:rPr>
        <w:fldChar w:fldCharType="begin"/>
      </w:r>
      <w:r w:rsidRPr="00B3550D">
        <w:rPr>
          <w:rFonts w:asciiTheme="minorHAnsi" w:hAnsiTheme="minorHAnsi"/>
          <w:sz w:val="22"/>
          <w:szCs w:val="22"/>
          <w:lang w:val="nl-NL"/>
        </w:rPr>
        <w:instrText xml:space="preserve"> ADDIN EN.CITE &lt;EndNote&gt;&lt;Cite&gt;&lt;Author&gt;Woltjer&lt;/Author&gt;&lt;Year&gt;2014&lt;/Year&gt;&lt;RecNum&gt;10237&lt;/RecNum&gt;&lt;DisplayText&gt;(Woltjer et al., 2014)&lt;/DisplayText&gt;&lt;record&gt;&lt;rec-number&gt;10237&lt;/rec-number&gt;&lt;foreign-keys&gt;&lt;key app="EN" db-id="5e5tz05su559xyep9ahv2pfmzd020ftae9zs"&gt;10237&lt;/key&gt;&lt;/foreign-keys&gt;&lt;ref-type name="Report"&gt;27&lt;/ref-type&gt;&lt;contributors&gt;&lt;authors&gt;&lt;author&gt;Woltjer, G.B.&lt;/author&gt;&lt;author&gt;Kuiper, M. &lt;/author&gt;&lt;author&gt;Kavallari, A. &lt;/author&gt;&lt;author&gt;van Meijl, H. &lt;/author&gt;&lt;author&gt;Powell, J. &lt;/author&gt;&lt;author&gt;Rutten, M. &lt;/author&gt;&lt;author&gt;Shutes, L.&lt;/author&gt;&lt;author&gt;Tabeau, A.&lt;/author&gt;&lt;/authors&gt;&lt;/contributors&gt;&lt;titles&gt;&lt;title&gt;The Magnet Model - Module description&lt;/title&gt;&lt;/titles&gt;&lt;dates&gt;&lt;year&gt;2014&lt;/year&gt;&lt;/dates&gt;&lt;pub-location&gt;The Hague&lt;/pub-location&gt;&lt;publisher&gt;LEI - part of Wageningen University and Research Centre&lt;/publisher&gt;&lt;urls&gt;&lt;/urls&gt;&lt;/re</w:instrText>
      </w:r>
      <w:r w:rsidRPr="002E3027">
        <w:rPr>
          <w:rFonts w:asciiTheme="minorHAnsi" w:hAnsiTheme="minorHAnsi"/>
          <w:sz w:val="22"/>
          <w:szCs w:val="22"/>
          <w:lang w:val="nl-NL"/>
        </w:rPr>
        <w:instrText>cord&gt;&lt;/Cite&gt;&lt;/EndNote&gt;</w:instrText>
      </w:r>
      <w:r w:rsidRPr="002E3027">
        <w:rPr>
          <w:rFonts w:asciiTheme="minorHAnsi" w:hAnsiTheme="minorHAnsi"/>
          <w:sz w:val="22"/>
          <w:szCs w:val="22"/>
        </w:rPr>
        <w:fldChar w:fldCharType="separate"/>
      </w:r>
      <w:r w:rsidRPr="002E3027">
        <w:rPr>
          <w:rFonts w:asciiTheme="minorHAnsi" w:hAnsiTheme="minorHAnsi"/>
          <w:sz w:val="22"/>
          <w:szCs w:val="22"/>
          <w:lang w:val="nl-NL"/>
        </w:rPr>
        <w:t>(Woltjer et al., 2014)</w:t>
      </w:r>
      <w:r w:rsidRPr="002E3027">
        <w:rPr>
          <w:rFonts w:asciiTheme="minorHAnsi" w:hAnsiTheme="minorHAnsi"/>
          <w:sz w:val="22"/>
          <w:szCs w:val="22"/>
        </w:rPr>
        <w:fldChar w:fldCharType="end"/>
      </w:r>
      <w:r w:rsidRPr="002E3027">
        <w:rPr>
          <w:rFonts w:asciiTheme="minorHAnsi" w:hAnsiTheme="minorHAnsi"/>
          <w:sz w:val="22"/>
          <w:szCs w:val="22"/>
          <w:lang w:val="nl-NL"/>
        </w:rPr>
        <w:t xml:space="preserve">. </w:t>
      </w:r>
    </w:p>
    <w:p w:rsidR="00B3550D" w:rsidRPr="002E3027" w:rsidRDefault="00B3550D" w:rsidP="00B3550D">
      <w:pPr>
        <w:pStyle w:val="Body"/>
        <w:rPr>
          <w:rFonts w:asciiTheme="minorHAnsi" w:hAnsiTheme="minorHAnsi"/>
          <w:sz w:val="22"/>
          <w:szCs w:val="22"/>
          <w:lang w:val="en"/>
        </w:rPr>
      </w:pPr>
      <w:r w:rsidRPr="002E3027">
        <w:rPr>
          <w:rFonts w:asciiTheme="minorHAnsi" w:hAnsiTheme="minorHAnsi"/>
          <w:sz w:val="22"/>
          <w:szCs w:val="22"/>
          <w:lang w:val="en"/>
        </w:rPr>
        <w:t xml:space="preserve">TIMER simulates long-term trends in energy use, issues related to depletion, energy-related greenhouse gas and other air polluting emissions, together with land-use demand for energy crops. The focus is on dynamic relationships in the energy system, such as inertia and learning-by-doing in capital stocks, depletion of the resource base and trade between regions. As a simulation model, TIMER differs from most macroeconomic models, which let the system evolve on the basis of minimizing cost or maximizing utility under boundary conditions. As such, TIMER can be compared to energy simulation models, such as POLES and GCAM. </w:t>
      </w:r>
    </w:p>
    <w:p w:rsidR="00B3550D" w:rsidRPr="002E3027" w:rsidRDefault="00B3550D" w:rsidP="00B3550D">
      <w:pPr>
        <w:pStyle w:val="Body"/>
        <w:rPr>
          <w:rFonts w:asciiTheme="minorHAnsi" w:hAnsiTheme="minorHAnsi"/>
          <w:sz w:val="22"/>
          <w:szCs w:val="22"/>
          <w:lang w:val="en"/>
        </w:rPr>
      </w:pPr>
      <w:r w:rsidRPr="002E3027">
        <w:rPr>
          <w:rFonts w:asciiTheme="minorHAnsi" w:hAnsiTheme="minorHAnsi"/>
          <w:sz w:val="22"/>
          <w:szCs w:val="22"/>
        </w:rPr>
        <w:t xml:space="preserve">MAGNET describes, in interaction with the main IMAGE framework, changes in food production and trade for a broad set of crops and animal products. </w:t>
      </w:r>
      <w:r w:rsidRPr="002E3027">
        <w:rPr>
          <w:rFonts w:asciiTheme="minorHAnsi" w:hAnsiTheme="minorHAnsi"/>
          <w:sz w:val="22"/>
          <w:szCs w:val="22"/>
          <w:lang w:val="en"/>
        </w:rPr>
        <w:t>The model is is a multi-regional, static, applied CGE model based on neoclassical microeconomic theory.</w:t>
      </w:r>
    </w:p>
    <w:p w:rsidR="00B3550D" w:rsidRPr="002E3027" w:rsidRDefault="00B3550D" w:rsidP="00B3550D">
      <w:pPr>
        <w:pStyle w:val="Body"/>
        <w:rPr>
          <w:rFonts w:asciiTheme="minorHAnsi" w:hAnsiTheme="minorHAnsi"/>
          <w:sz w:val="22"/>
          <w:szCs w:val="22"/>
        </w:rPr>
      </w:pPr>
      <w:r w:rsidRPr="002E3027">
        <w:rPr>
          <w:rFonts w:asciiTheme="minorHAnsi" w:hAnsiTheme="minorHAnsi"/>
          <w:sz w:val="22"/>
          <w:szCs w:val="22"/>
        </w:rPr>
        <w:t xml:space="preserve">A key component of the earth system is the LPJmL model that is included in IMAGE 3.0, and that covers the terrestrial carbon cycle and vegetation dynamics. This model is used to determine productivity at grid cell level for natural and cultivated ecosystems. Climatic change is calculated as global mean temperature change using a slightly adapted version of the MAGICC 6.3 climate model. </w:t>
      </w:r>
    </w:p>
    <w:p w:rsidR="00B3550D" w:rsidRPr="002E3027" w:rsidRDefault="00B3550D" w:rsidP="00B3550D">
      <w:pPr>
        <w:pStyle w:val="Body"/>
        <w:rPr>
          <w:rFonts w:asciiTheme="minorHAnsi" w:hAnsiTheme="minorHAnsi"/>
          <w:b/>
          <w:sz w:val="22"/>
          <w:szCs w:val="22"/>
        </w:rPr>
      </w:pPr>
    </w:p>
    <w:p w:rsidR="00B3550D" w:rsidRDefault="00B3550D" w:rsidP="00B3550D">
      <w:pPr>
        <w:pStyle w:val="Body"/>
        <w:rPr>
          <w:rFonts w:asciiTheme="minorHAnsi" w:hAnsiTheme="minorHAnsi"/>
          <w:b/>
          <w:sz w:val="22"/>
          <w:szCs w:val="22"/>
        </w:rPr>
      </w:pPr>
    </w:p>
    <w:p w:rsidR="00B3550D" w:rsidRPr="002E3027" w:rsidRDefault="00B3550D" w:rsidP="00B3550D">
      <w:pPr>
        <w:pStyle w:val="Body"/>
        <w:rPr>
          <w:rFonts w:asciiTheme="minorHAnsi" w:hAnsiTheme="minorHAnsi"/>
          <w:b/>
          <w:sz w:val="22"/>
          <w:szCs w:val="22"/>
        </w:rPr>
      </w:pPr>
      <w:r w:rsidRPr="002E3027">
        <w:rPr>
          <w:rFonts w:asciiTheme="minorHAnsi" w:hAnsiTheme="minorHAnsi"/>
          <w:b/>
          <w:sz w:val="22"/>
          <w:szCs w:val="22"/>
        </w:rPr>
        <w:lastRenderedPageBreak/>
        <w:t>IMAGE version for EMF-30</w:t>
      </w:r>
    </w:p>
    <w:p w:rsidR="00B3550D" w:rsidRDefault="00B3550D" w:rsidP="00B3550D">
      <w:pPr>
        <w:pStyle w:val="Body"/>
        <w:rPr>
          <w:rFonts w:asciiTheme="minorHAnsi" w:hAnsiTheme="minorHAnsi"/>
          <w:sz w:val="22"/>
          <w:szCs w:val="22"/>
        </w:rPr>
      </w:pPr>
      <w:r w:rsidRPr="002E3027">
        <w:rPr>
          <w:rFonts w:asciiTheme="minorHAnsi" w:hAnsiTheme="minorHAnsi"/>
          <w:sz w:val="22"/>
          <w:szCs w:val="22"/>
        </w:rPr>
        <w:t xml:space="preserve">The IMAGE version used in EMF30 is based on the version used in the development of the shared socio-economic pathways (SSPs) </w:t>
      </w:r>
      <w:r w:rsidRPr="002E3027">
        <w:rPr>
          <w:rFonts w:asciiTheme="minorHAnsi" w:hAnsiTheme="minorHAnsi"/>
          <w:sz w:val="22"/>
          <w:szCs w:val="22"/>
        </w:rPr>
        <w:fldChar w:fldCharType="begin">
          <w:fldData xml:space="preserve">PEVuZE5vdGU+PENpdGU+PEF1dGhvcj5WYW4gVnV1cmVuPC9BdXRob3I+PFllYXI+MjAxNzwvWWVh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</w:fldData>
        </w:fldChar>
      </w:r>
      <w:r w:rsidRPr="002E3027">
        <w:rPr>
          <w:rFonts w:asciiTheme="minorHAnsi" w:hAnsiTheme="minorHAnsi"/>
          <w:sz w:val="22"/>
          <w:szCs w:val="22"/>
        </w:rPr>
        <w:instrText xml:space="preserve"> ADDIN EN.CITE </w:instrText>
      </w:r>
      <w:r w:rsidRPr="002E3027">
        <w:rPr>
          <w:rFonts w:asciiTheme="minorHAnsi" w:hAnsiTheme="minorHAnsi"/>
          <w:sz w:val="22"/>
          <w:szCs w:val="22"/>
        </w:rPr>
        <w:fldChar w:fldCharType="begin">
          <w:fldData xml:space="preserve">PEVuZE5vdGU+PENpdGU+PEF1dGhvcj5WYW4gVnV1cmVuPC9BdXRob3I+PFllYXI+MjAxNzwvWWVh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</w:fldData>
        </w:fldChar>
      </w:r>
      <w:r w:rsidRPr="002E3027">
        <w:rPr>
          <w:rFonts w:asciiTheme="minorHAnsi" w:hAnsiTheme="minorHAnsi"/>
          <w:sz w:val="22"/>
          <w:szCs w:val="22"/>
        </w:rPr>
        <w:instrText xml:space="preserve"> ADDIN EN.CITE.DATA </w:instrText>
      </w:r>
      <w:r w:rsidRPr="002E3027">
        <w:rPr>
          <w:rFonts w:asciiTheme="minorHAnsi" w:hAnsiTheme="minorHAnsi"/>
          <w:sz w:val="22"/>
          <w:szCs w:val="22"/>
        </w:rPr>
      </w:r>
      <w:r w:rsidRPr="002E3027">
        <w:rPr>
          <w:rFonts w:asciiTheme="minorHAnsi" w:hAnsiTheme="minorHAnsi"/>
          <w:sz w:val="22"/>
          <w:szCs w:val="22"/>
        </w:rPr>
        <w:fldChar w:fldCharType="end"/>
      </w:r>
      <w:r w:rsidRPr="002E3027">
        <w:rPr>
          <w:rFonts w:asciiTheme="minorHAnsi" w:hAnsiTheme="minorHAnsi"/>
          <w:sz w:val="22"/>
          <w:szCs w:val="22"/>
        </w:rPr>
      </w:r>
      <w:r w:rsidRPr="002E3027">
        <w:rPr>
          <w:rFonts w:asciiTheme="minorHAnsi" w:hAnsiTheme="minorHAnsi"/>
          <w:sz w:val="22"/>
          <w:szCs w:val="22"/>
        </w:rPr>
        <w:fldChar w:fldCharType="separate"/>
      </w:r>
      <w:r w:rsidRPr="002E3027">
        <w:rPr>
          <w:rFonts w:asciiTheme="minorHAnsi" w:hAnsiTheme="minorHAnsi"/>
          <w:noProof/>
          <w:sz w:val="22"/>
          <w:szCs w:val="22"/>
        </w:rPr>
        <w:t>(Riahi et al., 2017; Van Vuuren et al., 2017)</w:t>
      </w:r>
      <w:r w:rsidRPr="002E3027">
        <w:rPr>
          <w:rFonts w:asciiTheme="minorHAnsi" w:hAnsiTheme="minorHAnsi"/>
          <w:sz w:val="22"/>
          <w:szCs w:val="22"/>
        </w:rPr>
        <w:fldChar w:fldCharType="end"/>
      </w:r>
      <w:r w:rsidRPr="002E3027">
        <w:rPr>
          <w:rFonts w:asciiTheme="minorHAnsi" w:hAnsiTheme="minorHAnsi"/>
          <w:sz w:val="22"/>
          <w:szCs w:val="22"/>
        </w:rPr>
        <w:t>. The</w:t>
      </w:r>
      <w:r>
        <w:rPr>
          <w:rFonts w:asciiTheme="minorHAnsi" w:hAnsiTheme="minorHAnsi"/>
          <w:sz w:val="22"/>
          <w:szCs w:val="22"/>
        </w:rPr>
        <w:t xml:space="preserve"> multi-model</w:t>
      </w:r>
      <w:r w:rsidRPr="002E3027">
        <w:rPr>
          <w:rFonts w:asciiTheme="minorHAnsi" w:hAnsiTheme="minorHAnsi"/>
          <w:sz w:val="22"/>
          <w:szCs w:val="22"/>
        </w:rPr>
        <w:t xml:space="preserve"> EMF30 scenarios follow assumptions as defined for the middle-of-the-road trajectory of SSP2. </w:t>
      </w:r>
      <w:r>
        <w:rPr>
          <w:rFonts w:asciiTheme="minorHAnsi" w:hAnsiTheme="minorHAnsi"/>
          <w:sz w:val="22"/>
          <w:szCs w:val="22"/>
        </w:rPr>
        <w:t xml:space="preserve">The future development of pollutant emissions is projected based on a combination of activity changes in IMAGE and exogenous emission factor input from the GAINS model </w:t>
      </w:r>
      <w:r>
        <w:rPr>
          <w:rFonts w:asciiTheme="minorHAnsi" w:hAnsiTheme="minorHAnsi"/>
          <w:sz w:val="22"/>
          <w:szCs w:val="22"/>
        </w:rPr>
        <w:fldChar w:fldCharType="begin"/>
      </w:r>
      <w:r>
        <w:rPr>
          <w:rFonts w:asciiTheme="minorHAnsi" w:hAnsiTheme="minorHAnsi"/>
          <w:sz w:val="22"/>
          <w:szCs w:val="22"/>
        </w:rPr>
        <w:instrText xml:space="preserve"> ADDIN EN.CITE &lt;EndNote&gt;&lt;Cite&gt;&lt;Author&gt;Amann&lt;/Author&gt;&lt;Year&gt;2011&lt;/Year&gt;&lt;RecNum&gt;503&lt;/RecNum&gt;&lt;DisplayText&gt;(Amann et al., 2011)&lt;/DisplayText&gt;&lt;record&gt;&lt;rec-number&gt;503&lt;/rec-number&gt;&lt;foreign-keys&gt;&lt;key app="EN" db-id="ewxvdw52e55r2gefrsovdxwk0xrz0v2zfp2s" timestamp="1540293436"&gt;503&lt;/key&gt;&lt;/foreign-keys&gt;&lt;ref-type name="Journal Article"&gt;17&lt;/ref-type&gt;&lt;contributors&gt;&lt;authors&gt;&lt;author&gt;Amann, Markus&lt;/author&gt;&lt;author&gt;Bertok, Imrich&lt;/author&gt;&lt;author&gt;Borken-Kleefeld, Jens&lt;/author&gt;&lt;author&gt;Cofala, Janusz&lt;/author&gt;&lt;author&gt;Heyes, Chris&lt;/author&gt;&lt;author&gt;Höglund-Isaksson, Lena&lt;/author&gt;&lt;author&gt;Klimont, Zbigniew&lt;/author&gt;&lt;author&gt;Nguyen, Binh&lt;/author&gt;&lt;author&gt;Posch, Maximilian&lt;/author&gt;&lt;author&gt;Rafaj, Peter&lt;/author&gt;&lt;author&gt;Sandler, Robert&lt;/author&gt;&lt;author&gt;Schöpp, Wolfgang&lt;/author&gt;&lt;author&gt;Wagner, Fabian&lt;/author&gt;&lt;author&gt;Winiwarter, Wilfried&lt;/author&gt;&lt;/authors&gt;&lt;/contributors&gt;&lt;titles&gt;&lt;title&gt;Cost-effective control of air quality and greenhouse gases in Europe: Modeling and policy applications&lt;/title&gt;&lt;secondary-title&gt;Environmental Modelling &amp;amp; Software&lt;/secondary-title&gt;&lt;/titles&gt;&lt;periodical&gt;&lt;full-title&gt;Environmental Modelling &amp;amp; Software&lt;/full-title&gt;&lt;/periodical&gt;&lt;pages&gt;1489-1501&lt;/pages&gt;&lt;volume&gt;26&lt;/volume&gt;&lt;number&gt;12&lt;/number&gt;&lt;section&gt;1489&lt;/section&gt;&lt;dates&gt;&lt;year&gt;2011&lt;/year&gt;&lt;/dates&gt;&lt;isbn&gt;13648152&lt;/isbn&gt;&lt;urls&gt;&lt;/urls&gt;&lt;electronic-resource-num&gt;10.1016/j.envsoft.2011.07.012&lt;/electronic-resource-num&gt;&lt;/record&gt;&lt;/Cite&gt;&lt;/EndNote&gt;</w:instrText>
      </w:r>
      <w:r>
        <w:rPr>
          <w:rFonts w:asciiTheme="minorHAnsi" w:hAnsiTheme="minorHAnsi"/>
          <w:sz w:val="22"/>
          <w:szCs w:val="22"/>
        </w:rPr>
        <w:fldChar w:fldCharType="separate"/>
      </w:r>
      <w:r>
        <w:rPr>
          <w:rFonts w:asciiTheme="minorHAnsi" w:hAnsiTheme="minorHAnsi"/>
          <w:noProof/>
          <w:sz w:val="22"/>
          <w:szCs w:val="22"/>
        </w:rPr>
        <w:t>(Amann et al., 2011)</w:t>
      </w:r>
      <w:r>
        <w:rPr>
          <w:rFonts w:asciiTheme="minorHAnsi" w:hAnsiTheme="minorHAnsi"/>
          <w:sz w:val="22"/>
          <w:szCs w:val="22"/>
        </w:rPr>
        <w:fldChar w:fldCharType="end"/>
      </w:r>
      <w:r>
        <w:rPr>
          <w:rFonts w:asciiTheme="minorHAnsi" w:hAnsiTheme="minorHAnsi"/>
          <w:sz w:val="22"/>
          <w:szCs w:val="22"/>
        </w:rPr>
        <w:t xml:space="preserve">. As a default, emission factor assumptions are based on the SSP storylines, as described and analyzed by </w:t>
      </w:r>
      <w:r>
        <w:rPr>
          <w:rFonts w:asciiTheme="minorHAnsi" w:hAnsiTheme="minorHAnsi"/>
          <w:sz w:val="22"/>
          <w:szCs w:val="22"/>
        </w:rPr>
        <w:fldChar w:fldCharType="begin"/>
      </w:r>
      <w:r>
        <w:rPr>
          <w:rFonts w:asciiTheme="minorHAnsi" w:hAnsiTheme="minorHAnsi"/>
          <w:sz w:val="22"/>
          <w:szCs w:val="22"/>
        </w:rPr>
        <w:instrText xml:space="preserve"> ADDIN EN.CITE &lt;EndNote&gt;&lt;Cite AuthorYear="1"&gt;&lt;Author&gt;Rao&lt;/Author&gt;&lt;Year&gt;2017&lt;/Year&gt;&lt;RecNum&gt;295&lt;/RecNum&gt;&lt;DisplayText&gt;Rao et al. (2017)&lt;/DisplayText&gt;&lt;record&gt;&lt;rec-number&gt;295&lt;/rec-number&gt;&lt;foreign-keys&gt;&lt;key app="EN" db-id="ewxvdw52e55r2gefrsovdxwk0xrz0v2zfp2s" timestamp="1478791695"&gt;295&lt;/key&gt;&lt;/foreign-keys&gt;&lt;ref-type name="Journal Article"&gt;17&lt;/ref-type&gt;&lt;contributors&gt;&lt;authors&gt;&lt;author&gt;Rao, Shilpa&lt;/author&gt;&lt;author&gt;Klimont, Zbigniew &lt;/author&gt;&lt;author&gt;Smith, Steven J. &lt;/author&gt;&lt;author&gt;Dingenen, Rita van &lt;/author&gt;&lt;author&gt;Dentener, Frank &lt;/author&gt;&lt;author&gt;Bouw, man, Lex&lt;/author&gt;&lt;author&gt;Riahi, Keywan&lt;/author&gt;&lt;author&gt;Amann, Markus &lt;/author&gt;&lt;author&gt;Bodirsky, Benjamin Leon &lt;/author&gt;&lt;author&gt;van Vuuren, Detlef P. &lt;/author&gt;&lt;author&gt;Aleluia Reis, Lara &lt;/author&gt;&lt;author&gt;Calvin, Katherine &lt;/author&gt;&lt;author&gt;Drouet, Laurent &lt;/author&gt;&lt;author&gt;Fricko, Oliver &lt;/author&gt;&lt;author&gt;Fujimori, Shinichiro &lt;/author&gt;&lt;author&gt;Gernaat, David &lt;/author&gt;&lt;author&gt;Havlik, Petr &lt;/author&gt;&lt;author&gt;Harmsen, Mathijs &lt;/author&gt;&lt;author&gt;Hasegawa, Tomoko &lt;/author&gt;&lt;author&gt;Heyes, Chris &lt;/author&gt;&lt;author&gt;Hilaire, Jérôme&lt;/author&gt;&lt;author&gt;Luderer, Gunnar&lt;/author&gt;&lt;author&gt;Masui, Toshihiko &lt;/author&gt;&lt;author&gt;Stehfest, Elke &lt;/author&gt;&lt;author&gt;Strefler, Jessica &lt;/author&gt;&lt;author&gt;van der Sluis, Sietske &lt;/author&gt;&lt;author&gt;Tavoni, Massimo &lt;/author&gt;&lt;/authors&gt;&lt;/contributors&gt;&lt;titles&gt;&lt;title&gt;Future air pollution in the Shared Socio-economic Pathways&lt;/title&gt;&lt;secondary-title&gt;Global Environmental Change&lt;/secondary-title&gt;&lt;/titles&gt;&lt;periodical&gt;&lt;full-title&gt;Global Environmental Change&lt;/full-title&gt;&lt;/periodical&gt;&lt;dates&gt;&lt;year&gt;2017&lt;/year&gt;&lt;/dates&gt;&lt;urls&gt;&lt;/urls&gt;&lt;/record&gt;&lt;/Cite&gt;&lt;/EndNote&gt;</w:instrText>
      </w:r>
      <w:r>
        <w:rPr>
          <w:rFonts w:asciiTheme="minorHAnsi" w:hAnsiTheme="minorHAnsi"/>
          <w:sz w:val="22"/>
          <w:szCs w:val="22"/>
        </w:rPr>
        <w:fldChar w:fldCharType="separate"/>
      </w:r>
      <w:r>
        <w:rPr>
          <w:rFonts w:asciiTheme="minorHAnsi" w:hAnsiTheme="minorHAnsi"/>
          <w:noProof/>
          <w:sz w:val="22"/>
          <w:szCs w:val="22"/>
        </w:rPr>
        <w:t>Rao et al. (2017)</w:t>
      </w:r>
      <w:r>
        <w:rPr>
          <w:rFonts w:asciiTheme="minorHAnsi" w:hAnsiTheme="minorHAnsi"/>
          <w:sz w:val="22"/>
          <w:szCs w:val="22"/>
        </w:rPr>
        <w:fldChar w:fldCharType="end"/>
      </w:r>
      <w:r>
        <w:rPr>
          <w:rFonts w:asciiTheme="minorHAnsi" w:hAnsiTheme="minorHAnsi"/>
          <w:sz w:val="22"/>
          <w:szCs w:val="22"/>
        </w:rPr>
        <w:t xml:space="preserve">. The scenarios in the EMF30 studies include assumptions on pollutant control measures beyond the SSP assumptions, based on assessments from the ECLIPSE project </w:t>
      </w:r>
      <w:r>
        <w:rPr>
          <w:rFonts w:asciiTheme="minorHAnsi" w:hAnsiTheme="minorHAnsi"/>
          <w:sz w:val="22"/>
          <w:szCs w:val="22"/>
        </w:rPr>
        <w:fldChar w:fldCharType="begin">
          <w:fldData xml:space="preserve">PEVuZE5vdGU+PENpdGU+PEF1dGhvcj5TdG9obDwvQXV0aG9yPjxZZWFyPjIwMTU8L1llYXI+PFJl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</w:fldData>
        </w:fldChar>
      </w:r>
      <w:r>
        <w:rPr>
          <w:rFonts w:asciiTheme="minorHAnsi" w:hAnsiTheme="minorHAnsi"/>
          <w:sz w:val="22"/>
          <w:szCs w:val="22"/>
        </w:rPr>
        <w:instrText xml:space="preserve"> ADDIN EN.CITE </w:instrText>
      </w:r>
      <w:r>
        <w:rPr>
          <w:rFonts w:asciiTheme="minorHAnsi" w:hAnsiTheme="minorHAnsi"/>
          <w:sz w:val="22"/>
          <w:szCs w:val="22"/>
        </w:rPr>
        <w:fldChar w:fldCharType="begin">
          <w:fldData xml:space="preserve">PEVuZE5vdGU+PENpdGU+PEF1dGhvcj5TdG9obDwvQXV0aG9yPjxZZWFyPjIwMTU8L1llYXI+PFJl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</w:fldData>
        </w:fldChar>
      </w:r>
      <w:r>
        <w:rPr>
          <w:rFonts w:asciiTheme="minorHAnsi" w:hAnsiTheme="minorHAnsi"/>
          <w:sz w:val="22"/>
          <w:szCs w:val="22"/>
        </w:rPr>
        <w:instrText xml:space="preserve"> ADDIN EN.CITE.DATA </w:instrText>
      </w:r>
      <w:r>
        <w:rPr>
          <w:rFonts w:asciiTheme="minorHAnsi" w:hAnsiTheme="minorHAnsi"/>
          <w:sz w:val="22"/>
          <w:szCs w:val="22"/>
        </w:rPr>
      </w:r>
      <w:r>
        <w:rPr>
          <w:rFonts w:asciiTheme="minorHAnsi" w:hAnsiTheme="minorHAnsi"/>
          <w:sz w:val="22"/>
          <w:szCs w:val="22"/>
        </w:rPr>
        <w:fldChar w:fldCharType="end"/>
      </w:r>
      <w:r>
        <w:rPr>
          <w:rFonts w:asciiTheme="minorHAnsi" w:hAnsiTheme="minorHAnsi"/>
          <w:sz w:val="22"/>
          <w:szCs w:val="22"/>
        </w:rPr>
        <w:fldChar w:fldCharType="separate"/>
      </w:r>
      <w:r>
        <w:rPr>
          <w:rFonts w:asciiTheme="minorHAnsi" w:hAnsiTheme="minorHAnsi"/>
          <w:noProof/>
          <w:sz w:val="22"/>
          <w:szCs w:val="22"/>
        </w:rPr>
        <w:t>(Klimont et al., 2017; Stohl et al., 2015)</w:t>
      </w:r>
      <w:r>
        <w:rPr>
          <w:rFonts w:asciiTheme="minorHAnsi" w:hAnsiTheme="minorHAnsi"/>
          <w:sz w:val="22"/>
          <w:szCs w:val="22"/>
        </w:rPr>
        <w:fldChar w:fldCharType="end"/>
      </w:r>
      <w:r>
        <w:rPr>
          <w:rFonts w:asciiTheme="minorHAnsi" w:hAnsiTheme="minorHAnsi"/>
          <w:sz w:val="22"/>
          <w:szCs w:val="22"/>
        </w:rPr>
        <w:t>.</w:t>
      </w:r>
    </w:p>
    <w:p w:rsidR="00B3550D" w:rsidRPr="00442DBA" w:rsidRDefault="00B3550D" w:rsidP="00B3550D">
      <w:pPr>
        <w:pStyle w:val="Body"/>
        <w:rPr>
          <w:rFonts w:asciiTheme="minorHAnsi" w:hAnsiTheme="minorHAnsi"/>
        </w:rPr>
      </w:pPr>
      <w:r>
        <w:rPr>
          <w:rFonts w:asciiTheme="minorHAnsi" w:hAnsiTheme="minorHAnsi"/>
          <w:sz w:val="22"/>
          <w:szCs w:val="22"/>
        </w:rPr>
        <w:t>In this study on black carbon, several scenarios have the same setup as in the multi-model exercise (</w:t>
      </w:r>
      <w:r w:rsidRPr="00324F03">
        <w:rPr>
          <w:rFonts w:asciiTheme="minorHAnsi" w:hAnsiTheme="minorHAnsi"/>
          <w:sz w:val="22"/>
          <w:szCs w:val="22"/>
        </w:rPr>
        <w:t>SSP2 = NoPolicy, SSP2_26 = ClimPolicy, SSP2</w:t>
      </w:r>
      <w:r>
        <w:rPr>
          <w:rFonts w:asciiTheme="minorHAnsi" w:hAnsiTheme="minorHAnsi"/>
          <w:sz w:val="22"/>
          <w:szCs w:val="22"/>
        </w:rPr>
        <w:t>_</w:t>
      </w:r>
      <w:r w:rsidRPr="00324F03">
        <w:rPr>
          <w:rFonts w:asciiTheme="minorHAnsi" w:hAnsiTheme="minorHAnsi"/>
          <w:sz w:val="22"/>
          <w:szCs w:val="22"/>
        </w:rPr>
        <w:t>Climate = BCOCEndUse</w:t>
      </w:r>
      <w:r>
        <w:rPr>
          <w:rFonts w:asciiTheme="minorHAnsi" w:hAnsiTheme="minorHAnsi"/>
          <w:sz w:val="22"/>
          <w:szCs w:val="22"/>
        </w:rPr>
        <w:t>)</w:t>
      </w:r>
      <w:r w:rsidRPr="00324F03">
        <w:rPr>
          <w:rFonts w:asciiTheme="minorHAnsi" w:hAnsiTheme="minorHAnsi"/>
          <w:sz w:val="22"/>
          <w:szCs w:val="22"/>
        </w:rPr>
        <w:t xml:space="preserve">. </w:t>
      </w:r>
      <w:r>
        <w:rPr>
          <w:rFonts w:asciiTheme="minorHAnsi" w:hAnsiTheme="minorHAnsi"/>
          <w:sz w:val="22"/>
          <w:szCs w:val="22"/>
        </w:rPr>
        <w:t xml:space="preserve">The respective </w:t>
      </w:r>
      <w:r w:rsidRPr="00324F03">
        <w:rPr>
          <w:rFonts w:asciiTheme="minorHAnsi" w:hAnsiTheme="minorHAnsi"/>
          <w:sz w:val="22"/>
          <w:szCs w:val="22"/>
        </w:rPr>
        <w:t>SSP3</w:t>
      </w:r>
      <w:r>
        <w:rPr>
          <w:rFonts w:asciiTheme="minorHAnsi" w:hAnsiTheme="minorHAnsi"/>
          <w:sz w:val="22"/>
          <w:szCs w:val="22"/>
        </w:rPr>
        <w:t xml:space="preserve"> scenarios</w:t>
      </w:r>
      <w:r w:rsidRPr="00324F03">
        <w:rPr>
          <w:rFonts w:asciiTheme="minorHAnsi" w:hAnsiTheme="minorHAnsi"/>
          <w:sz w:val="22"/>
          <w:szCs w:val="22"/>
        </w:rPr>
        <w:t xml:space="preserve"> </w:t>
      </w:r>
      <w:r>
        <w:rPr>
          <w:rFonts w:asciiTheme="minorHAnsi" w:hAnsiTheme="minorHAnsi"/>
          <w:sz w:val="22"/>
          <w:szCs w:val="22"/>
        </w:rPr>
        <w:t>(SSP3, SSP3_34, SSP3_Climate) are based on the same assumptions</w:t>
      </w:r>
      <w:r w:rsidRPr="00324F03">
        <w:rPr>
          <w:rFonts w:asciiTheme="minorHAnsi" w:hAnsiTheme="minorHAnsi"/>
          <w:sz w:val="22"/>
          <w:szCs w:val="22"/>
        </w:rPr>
        <w:t xml:space="preserve">, but </w:t>
      </w:r>
      <w:r>
        <w:rPr>
          <w:rFonts w:asciiTheme="minorHAnsi" w:hAnsiTheme="minorHAnsi"/>
          <w:sz w:val="22"/>
          <w:szCs w:val="22"/>
        </w:rPr>
        <w:t>applied to the</w:t>
      </w:r>
      <w:r w:rsidRPr="00324F03">
        <w:rPr>
          <w:rFonts w:asciiTheme="minorHAnsi" w:hAnsiTheme="minorHAnsi"/>
          <w:sz w:val="22"/>
          <w:szCs w:val="22"/>
        </w:rPr>
        <w:t xml:space="preserve"> SSP3 </w:t>
      </w:r>
      <w:r>
        <w:rPr>
          <w:rFonts w:asciiTheme="minorHAnsi" w:hAnsiTheme="minorHAnsi"/>
          <w:sz w:val="22"/>
          <w:szCs w:val="22"/>
        </w:rPr>
        <w:t>storyline and with a less stringent climate target in the mitigation case (3.4 W/m</w:t>
      </w:r>
      <w:r>
        <w:rPr>
          <w:rFonts w:asciiTheme="minorHAnsi" w:hAnsiTheme="minorHAnsi"/>
          <w:sz w:val="22"/>
          <w:szCs w:val="22"/>
          <w:vertAlign w:val="superscript"/>
        </w:rPr>
        <w:t>2</w:t>
      </w:r>
      <w:r>
        <w:rPr>
          <w:rFonts w:asciiTheme="minorHAnsi" w:hAnsiTheme="minorHAnsi"/>
          <w:sz w:val="22"/>
          <w:szCs w:val="22"/>
        </w:rPr>
        <w:t>). The health scenarios are additional to the multi-model setup</w:t>
      </w:r>
      <w:r w:rsidRPr="00324F03">
        <w:rPr>
          <w:rFonts w:asciiTheme="minorHAnsi" w:hAnsiTheme="minorHAnsi"/>
          <w:sz w:val="22"/>
          <w:szCs w:val="22"/>
        </w:rPr>
        <w:t xml:space="preserve"> and cover more sectors.</w:t>
      </w:r>
    </w:p>
    <w:p w:rsidR="00B3550D" w:rsidRDefault="00B3550D" w:rsidP="00B3550D">
      <w:pPr>
        <w:pStyle w:val="ReferenceHeader"/>
        <w:keepNext/>
        <w:rPr>
          <w:rFonts w:asciiTheme="minorHAnsi" w:hAnsiTheme="minorHAnsi"/>
        </w:rPr>
      </w:pPr>
    </w:p>
    <w:p w:rsidR="00B3550D" w:rsidRPr="00A4579C" w:rsidRDefault="00B3550D" w:rsidP="00B3550D">
      <w:pPr>
        <w:pStyle w:val="ReferenceHeader"/>
        <w:keepNext/>
        <w:rPr>
          <w:rFonts w:asciiTheme="minorHAnsi" w:hAnsiTheme="minorHAnsi"/>
          <w:lang w:val="nl-NL"/>
        </w:rPr>
      </w:pPr>
      <w:r w:rsidRPr="00A4579C">
        <w:rPr>
          <w:rFonts w:asciiTheme="minorHAnsi" w:hAnsiTheme="minorHAnsi"/>
          <w:lang w:val="nl-NL"/>
        </w:rPr>
        <w:t>References</w:t>
      </w:r>
    </w:p>
    <w:p w:rsidR="00B3550D" w:rsidRPr="00442DBA" w:rsidRDefault="00B3550D" w:rsidP="00B3550D">
      <w:pPr>
        <w:pStyle w:val="References"/>
        <w:rPr>
          <w:rFonts w:asciiTheme="minorHAnsi" w:hAnsiTheme="minorHAnsi"/>
        </w:rPr>
      </w:pPr>
      <w:r w:rsidRPr="00442DBA">
        <w:rPr>
          <w:rFonts w:asciiTheme="minorHAnsi" w:hAnsiTheme="minorHAnsi"/>
        </w:rPr>
        <w:fldChar w:fldCharType="begin"/>
      </w:r>
      <w:r w:rsidRPr="00442DBA">
        <w:rPr>
          <w:rFonts w:asciiTheme="minorHAnsi" w:hAnsiTheme="minorHAnsi"/>
          <w:lang w:val="nl-NL"/>
        </w:rPr>
        <w:instrText xml:space="preserve"> ADDIN EN.REFLIST </w:instrText>
      </w:r>
      <w:r w:rsidRPr="00442DBA">
        <w:rPr>
          <w:rFonts w:asciiTheme="minorHAnsi" w:hAnsiTheme="minorHAnsi"/>
        </w:rPr>
        <w:fldChar w:fldCharType="separate"/>
      </w:r>
      <w:r w:rsidRPr="00442DBA">
        <w:rPr>
          <w:rFonts w:asciiTheme="minorHAnsi" w:hAnsiTheme="minorHAnsi"/>
          <w:lang w:val="nl-NL"/>
        </w:rPr>
        <w:t xml:space="preserve">De Vries HJM, et al. </w:t>
      </w:r>
      <w:r w:rsidRPr="00442DBA">
        <w:rPr>
          <w:rFonts w:asciiTheme="minorHAnsi" w:hAnsiTheme="minorHAnsi"/>
        </w:rPr>
        <w:t xml:space="preserve">(2001) The targets image energy model regional (TIMER) -Technical documentation. PBL Netherlands Environmental Assessment Agency (formerly MNP), Bilthoven/The Hague </w:t>
      </w:r>
      <w:hyperlink r:id="rId9" w:history="1">
        <w:r w:rsidRPr="00442DBA">
          <w:rPr>
            <w:rStyle w:val="Hyperlink"/>
            <w:rFonts w:asciiTheme="minorHAnsi" w:eastAsiaTheme="majorEastAsia" w:hAnsiTheme="minorHAnsi"/>
          </w:rPr>
          <w:t>www.pbl.nl/en</w:t>
        </w:r>
      </w:hyperlink>
      <w:r w:rsidRPr="00442DBA">
        <w:rPr>
          <w:rFonts w:asciiTheme="minorHAnsi" w:hAnsiTheme="minorHAnsi"/>
        </w:rPr>
        <w:t>.</w:t>
      </w:r>
    </w:p>
    <w:p w:rsidR="00B3550D" w:rsidRPr="00442DBA" w:rsidRDefault="00B3550D" w:rsidP="00B3550D">
      <w:pPr>
        <w:pStyle w:val="References"/>
        <w:rPr>
          <w:rFonts w:asciiTheme="minorHAnsi" w:hAnsiTheme="minorHAnsi"/>
        </w:rPr>
      </w:pPr>
      <w:r w:rsidRPr="00442DBA">
        <w:rPr>
          <w:rFonts w:asciiTheme="minorHAnsi" w:hAnsiTheme="minorHAnsi"/>
        </w:rPr>
        <w:t>Riahi K, et al. (2017) The Shared Socioeconomic Pathways and their energy, land use, and greenhouse gas emissions implications: An overview. Global Environmental Change.</w:t>
      </w:r>
    </w:p>
    <w:p w:rsidR="00B3550D" w:rsidRPr="00442DBA" w:rsidRDefault="00B3550D" w:rsidP="00B3550D">
      <w:pPr>
        <w:pStyle w:val="References"/>
        <w:rPr>
          <w:rFonts w:asciiTheme="minorHAnsi" w:hAnsiTheme="minorHAnsi"/>
        </w:rPr>
      </w:pPr>
      <w:r w:rsidRPr="00442DBA">
        <w:rPr>
          <w:rFonts w:asciiTheme="minorHAnsi" w:hAnsiTheme="minorHAnsi"/>
        </w:rPr>
        <w:t xml:space="preserve">Stehfest E, et al. (2014) </w:t>
      </w:r>
      <w:r w:rsidRPr="00442DBA">
        <w:rPr>
          <w:rFonts w:asciiTheme="minorHAnsi" w:hAnsiTheme="minorHAnsi"/>
          <w:i/>
        </w:rPr>
        <w:t>Integrated Assessment of Global Environmental Change with IMAGE 3.0. Model description and policy applications</w:t>
      </w:r>
      <w:r w:rsidRPr="00442DBA">
        <w:rPr>
          <w:rFonts w:asciiTheme="minorHAnsi" w:hAnsiTheme="minorHAnsi"/>
        </w:rPr>
        <w:t>. The Hague: PBL Netherlands Environmental Assessment Agency.</w:t>
      </w:r>
    </w:p>
    <w:p w:rsidR="00B3550D" w:rsidRPr="00442DBA" w:rsidRDefault="00B3550D" w:rsidP="00B3550D">
      <w:pPr>
        <w:pStyle w:val="References"/>
        <w:rPr>
          <w:rFonts w:asciiTheme="minorHAnsi" w:hAnsiTheme="minorHAnsi"/>
        </w:rPr>
      </w:pPr>
      <w:r w:rsidRPr="00442DBA">
        <w:rPr>
          <w:rFonts w:asciiTheme="minorHAnsi" w:hAnsiTheme="minorHAnsi"/>
          <w:lang w:val="nl-NL"/>
        </w:rPr>
        <w:t xml:space="preserve">Van Vuuren DP, et al. </w:t>
      </w:r>
      <w:r w:rsidRPr="00442DBA">
        <w:rPr>
          <w:rFonts w:asciiTheme="minorHAnsi" w:hAnsiTheme="minorHAnsi"/>
        </w:rPr>
        <w:t>(2007) Stabilizing greenhouse gas concentrations at low levels: an assessment of reduction strategies and costs. Climatic Change 81.</w:t>
      </w:r>
    </w:p>
    <w:p w:rsidR="00B3550D" w:rsidRPr="00442DBA" w:rsidRDefault="00B3550D" w:rsidP="00B3550D">
      <w:pPr>
        <w:pStyle w:val="References"/>
        <w:rPr>
          <w:rFonts w:asciiTheme="minorHAnsi" w:hAnsiTheme="minorHAnsi"/>
        </w:rPr>
      </w:pPr>
      <w:r w:rsidRPr="00442DBA">
        <w:rPr>
          <w:rFonts w:asciiTheme="minorHAnsi" w:hAnsiTheme="minorHAnsi"/>
        </w:rPr>
        <w:t>Van Vuuren DP, et al. (2017) Energy, land-use and greenhouse gas emissions trajectories under a green growth paradigm. Global Environmental Change 42:237-250.</w:t>
      </w:r>
    </w:p>
    <w:p w:rsidR="00B3550D" w:rsidRPr="00442DBA" w:rsidRDefault="00B3550D" w:rsidP="00B3550D">
      <w:pPr>
        <w:pStyle w:val="References"/>
        <w:rPr>
          <w:rFonts w:asciiTheme="minorHAnsi" w:hAnsiTheme="minorHAnsi"/>
        </w:rPr>
      </w:pPr>
      <w:r w:rsidRPr="00442DBA">
        <w:rPr>
          <w:rFonts w:asciiTheme="minorHAnsi" w:hAnsiTheme="minorHAnsi"/>
        </w:rPr>
        <w:t>Woltjer GB, et al. (2014) The Magnet Model - Module description. LEI - part of Wageningen University and Research Centre, The Hague.</w:t>
      </w:r>
    </w:p>
    <w:p w:rsidR="00B3550D" w:rsidRPr="002E3027" w:rsidRDefault="00B3550D" w:rsidP="00B3550D">
      <w:pPr>
        <w:rPr>
          <w:highlight w:val="yellow"/>
          <w:lang w:val="en-US"/>
        </w:rPr>
      </w:pPr>
      <w:r w:rsidRPr="00442DBA">
        <w:fldChar w:fldCharType="end"/>
      </w:r>
    </w:p>
    <w:p w:rsidR="00B3550D" w:rsidRDefault="00B3550D" w:rsidP="00B3550D">
      <w:pPr>
        <w:rPr>
          <w:rFonts w:asciiTheme="majorHAnsi" w:eastAsiaTheme="majorEastAsia" w:hAnsiTheme="majorHAnsi" w:cstheme="majorBidi"/>
          <w:i/>
          <w:iCs/>
          <w:noProof/>
          <w:color w:val="2F5496" w:themeColor="accent1" w:themeShade="BF"/>
          <w:sz w:val="24"/>
          <w:szCs w:val="24"/>
          <w:lang w:val="en-US"/>
        </w:rPr>
      </w:pPr>
      <w:r>
        <w:rPr>
          <w:noProof/>
          <w:sz w:val="24"/>
          <w:szCs w:val="24"/>
          <w:lang w:val="en-US"/>
        </w:rPr>
        <w:br w:type="page"/>
      </w:r>
    </w:p>
    <w:p w:rsidR="00B3550D" w:rsidRPr="00501387" w:rsidRDefault="00B3550D" w:rsidP="00B3550D">
      <w:pPr>
        <w:pStyle w:val="Heading4"/>
        <w:rPr>
          <w:noProof/>
          <w:sz w:val="24"/>
          <w:szCs w:val="24"/>
          <w:lang w:val="en-US"/>
        </w:rPr>
      </w:pPr>
      <w:r w:rsidRPr="00501387">
        <w:rPr>
          <w:noProof/>
          <w:sz w:val="24"/>
          <w:szCs w:val="24"/>
          <w:lang w:val="en-US"/>
        </w:rPr>
        <w:lastRenderedPageBreak/>
        <w:t>GAINS</w:t>
      </w:r>
    </w:p>
    <w:p w:rsidR="00B3550D" w:rsidRDefault="00B3550D" w:rsidP="00B3550D">
      <w:pPr>
        <w:rPr>
          <w:rFonts w:ascii="Calibri" w:hAnsi="Calibri"/>
          <w:noProof/>
          <w:highlight w:val="yellow"/>
          <w:lang w:val="en-US"/>
        </w:rPr>
      </w:pPr>
    </w:p>
    <w:p w:rsidR="00B3550D" w:rsidRPr="00501387" w:rsidRDefault="00B3550D" w:rsidP="00B3550D">
      <w:pPr>
        <w:rPr>
          <w:rFonts w:ascii="Calibri" w:hAnsi="Calibri"/>
          <w:i/>
          <w:iCs/>
          <w:noProof/>
          <w:lang w:val="en-US"/>
        </w:rPr>
      </w:pPr>
      <w:r>
        <w:rPr>
          <w:rFonts w:ascii="Calibri" w:hAnsi="Calibri"/>
          <w:i/>
          <w:iCs/>
          <w:noProof/>
          <w:lang w:val="en-US"/>
        </w:rPr>
        <w:t xml:space="preserve">The text below is an extended version of section 2.2 in the main text, with a more detailed description </w:t>
      </w:r>
      <w:r w:rsidRPr="00501387">
        <w:rPr>
          <w:rFonts w:ascii="Calibri" w:hAnsi="Calibri"/>
          <w:i/>
          <w:iCs/>
          <w:noProof/>
          <w:lang w:val="en-US"/>
        </w:rPr>
        <w:t>of the underlying methodology of the GAINS model version applied in this study.</w:t>
      </w:r>
    </w:p>
    <w:p w:rsidR="00B3550D" w:rsidRPr="00501387" w:rsidRDefault="00B3550D" w:rsidP="00B3550D">
      <w:pPr>
        <w:pStyle w:val="NoSpacing"/>
        <w:spacing w:line="276" w:lineRule="auto"/>
        <w:jc w:val="both"/>
        <w:rPr>
          <w:rFonts w:ascii="Calibri" w:hAnsi="Calibri"/>
          <w:lang w:val="en-US"/>
        </w:rPr>
      </w:pPr>
      <w:r w:rsidRPr="00501387">
        <w:rPr>
          <w:rFonts w:ascii="Calibri" w:hAnsi="Calibri"/>
          <w:lang w:val="en-US"/>
        </w:rPr>
        <w:t xml:space="preserve">The potential for further application of the air pollution control technologies in the scenarios has been based on emission factor data from the GAINS model </w:t>
      </w:r>
      <w:r w:rsidRPr="00501387">
        <w:rPr>
          <w:rFonts w:ascii="Calibri" w:hAnsi="Calibri"/>
          <w:lang w:val="en-US"/>
        </w:rPr>
        <w:fldChar w:fldCharType="begin"/>
      </w:r>
      <w:r>
        <w:rPr>
          <w:rFonts w:ascii="Calibri" w:hAnsi="Calibri"/>
          <w:lang w:val="en-US"/>
        </w:rPr>
        <w:instrText xml:space="preserve"> ADDIN EN.CITE &lt;EndNote&gt;&lt;Cite&gt;&lt;Author&gt;Amann&lt;/Author&gt;&lt;Year&gt;2011&lt;/Year&gt;&lt;RecNum&gt;503&lt;/RecNum&gt;&lt;DisplayText&gt;(Amann et al., 2011)&lt;/DisplayText&gt;&lt;record&gt;&lt;rec-number&gt;503&lt;/rec-number&gt;&lt;foreign-keys&gt;&lt;key app="EN" db-id="ewxvdw52e55r2gefrsovdxwk0xrz0v2zfp2s" timestamp="1540293436"&gt;503&lt;/key&gt;&lt;/foreign-keys&gt;&lt;ref-type name="Journal Article"&gt;17&lt;/ref-type&gt;&lt;contributors&gt;&lt;authors&gt;&lt;author&gt;Amann, Markus&lt;/author&gt;&lt;author&gt;Bertok, Imrich&lt;/author&gt;&lt;author&gt;Borken-Kleefeld, Jens&lt;/author&gt;&lt;author&gt;Cofala, Janusz&lt;/author&gt;&lt;author&gt;Heyes, Chris&lt;/author&gt;&lt;author&gt;Höglund-Isaksson, Lena&lt;/author&gt;&lt;author&gt;Klimont, Zbigniew&lt;/author&gt;&lt;author&gt;Nguyen, Binh&lt;/author&gt;&lt;author&gt;Posch, Maximilian&lt;/author&gt;&lt;author&gt;Rafaj, Peter&lt;/author&gt;&lt;author&gt;Sandler, Robert&lt;/author&gt;&lt;author&gt;Schöpp, Wolfgang&lt;/author&gt;&lt;author&gt;Wagner, Fabian&lt;/author&gt;&lt;author&gt;Winiwarter, Wilfried&lt;/author&gt;&lt;/authors&gt;&lt;/contributors&gt;&lt;titles&gt;&lt;title&gt;Cost-effective control of air quality and greenhouse gases in Europe: Modeling and policy applications&lt;/title&gt;&lt;secondary-title&gt;Environmental Modelling &amp;amp; Software&lt;/secondary-title&gt;&lt;/titles&gt;&lt;periodical&gt;&lt;full-title&gt;Environmental Modelling &amp;amp; Software&lt;/full-title&gt;&lt;/periodical&gt;&lt;pages&gt;1489-1501&lt;/pages&gt;&lt;volume&gt;26&lt;/volume&gt;&lt;number&gt;12&lt;/number&gt;&lt;section&gt;1489&lt;/section&gt;&lt;dates&gt;&lt;year&gt;2011&lt;/year&gt;&lt;/dates&gt;&lt;isbn&gt;13648152&lt;/isbn&gt;&lt;urls&gt;&lt;/urls&gt;&lt;electronic-resource-num&gt;10.1016/j.envsoft.2011.07.012&lt;/electronic-resource-num&gt;&lt;/record&gt;&lt;/Cite&gt;&lt;/EndNote&gt;</w:instrText>
      </w:r>
      <w:r w:rsidRPr="00501387">
        <w:rPr>
          <w:rFonts w:ascii="Calibri" w:hAnsi="Calibri"/>
          <w:lang w:val="en-US"/>
        </w:rPr>
        <w:fldChar w:fldCharType="separate"/>
      </w:r>
      <w:r w:rsidRPr="00501387">
        <w:rPr>
          <w:rFonts w:ascii="Calibri" w:hAnsi="Calibri"/>
          <w:noProof/>
          <w:lang w:val="en-US"/>
        </w:rPr>
        <w:t>(Amann et al., 2011)</w:t>
      </w:r>
      <w:r w:rsidRPr="00501387">
        <w:rPr>
          <w:rFonts w:ascii="Calibri" w:hAnsi="Calibri"/>
          <w:lang w:val="en-US"/>
        </w:rPr>
        <w:fldChar w:fldCharType="end"/>
      </w:r>
      <w:r w:rsidRPr="00501387">
        <w:rPr>
          <w:rFonts w:ascii="Calibri" w:hAnsi="Calibri"/>
          <w:lang w:val="en-US"/>
        </w:rPr>
        <w:t xml:space="preserve">. GAINS has been a widely used source for such projections </w:t>
      </w:r>
      <w:r w:rsidRPr="00501387">
        <w:rPr>
          <w:rFonts w:ascii="Calibri" w:hAnsi="Calibri"/>
          <w:lang w:val="en-US"/>
        </w:rPr>
        <w:fldChar w:fldCharType="begin">
          <w:fldData xml:space="preserve">PEVuZE5vdGU+PENpdGU+PEF1dGhvcj5TaGluZGVsbDwvQXV0aG9yPjxZZWFyPjIwMTI8L1llYXI+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=
</w:fldData>
        </w:fldChar>
      </w:r>
      <w:r>
        <w:rPr>
          <w:rFonts w:ascii="Calibri" w:hAnsi="Calibri"/>
          <w:lang w:val="en-US"/>
        </w:rPr>
        <w:instrText xml:space="preserve"> ADDIN EN.CITE </w:instrText>
      </w:r>
      <w:r>
        <w:rPr>
          <w:rFonts w:ascii="Calibri" w:hAnsi="Calibri"/>
          <w:lang w:val="en-US"/>
        </w:rPr>
        <w:fldChar w:fldCharType="begin">
          <w:fldData xml:space="preserve">PEVuZE5vdGU+PENpdGU+PEF1dGhvcj5TaGluZGVsbDwvQXV0aG9yPjxZZWFyPjIwMTI8L1llYXI+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=
</w:fldData>
        </w:fldChar>
      </w:r>
      <w:r>
        <w:rPr>
          <w:rFonts w:ascii="Calibri" w:hAnsi="Calibri"/>
          <w:lang w:val="en-US"/>
        </w:rPr>
        <w:instrText xml:space="preserve"> ADDIN EN.CITE.DATA </w:instrText>
      </w:r>
      <w:r>
        <w:rPr>
          <w:rFonts w:ascii="Calibri" w:hAnsi="Calibri"/>
          <w:lang w:val="en-US"/>
        </w:rPr>
      </w:r>
      <w:r>
        <w:rPr>
          <w:rFonts w:ascii="Calibri" w:hAnsi="Calibri"/>
          <w:lang w:val="en-US"/>
        </w:rPr>
        <w:fldChar w:fldCharType="end"/>
      </w:r>
      <w:r w:rsidRPr="00501387">
        <w:rPr>
          <w:rFonts w:ascii="Calibri" w:hAnsi="Calibri"/>
          <w:lang w:val="en-US"/>
        </w:rPr>
        <w:fldChar w:fldCharType="separate"/>
      </w:r>
      <w:r w:rsidRPr="00501387">
        <w:rPr>
          <w:rFonts w:ascii="Calibri" w:hAnsi="Calibri"/>
          <w:noProof/>
          <w:lang w:val="en-US"/>
        </w:rPr>
        <w:t>(Braspenning Radu et al., 2016; Rao et al., 2016; Rao et al., 2017; Shindell et al., 2012; Stohl et al., 2015)</w:t>
      </w:r>
      <w:r w:rsidRPr="00501387">
        <w:rPr>
          <w:rFonts w:ascii="Calibri" w:hAnsi="Calibri"/>
          <w:lang w:val="en-US"/>
        </w:rPr>
        <w:fldChar w:fldCharType="end"/>
      </w:r>
      <w:r w:rsidRPr="00501387">
        <w:rPr>
          <w:rFonts w:ascii="Calibri" w:hAnsi="Calibri"/>
          <w:lang w:val="en-US"/>
        </w:rPr>
        <w:t>. Pollution control measures are expressed as region-/sector-/technology-/fuel-specific emission factors and include several hundreds of measures. These represent the reduction of BC emissions and co-emitted pollutants (included here are OC, SO</w:t>
      </w:r>
      <w:r w:rsidRPr="00501387">
        <w:rPr>
          <w:rFonts w:ascii="Calibri" w:hAnsi="Calibri"/>
          <w:vertAlign w:val="subscript"/>
          <w:lang w:val="en-US"/>
        </w:rPr>
        <w:t>2</w:t>
      </w:r>
      <w:r w:rsidRPr="00501387">
        <w:rPr>
          <w:rFonts w:ascii="Calibri" w:hAnsi="Calibri"/>
          <w:lang w:val="en-US"/>
        </w:rPr>
        <w:t xml:space="preserve"> and NOx, as these are most relevant in terms of climate and health impact). For BC sources in transport, the technologies include several EURO stages, including installation of diesel particulate filter (DPF). In the residential sector, various types of heating and cooking stoves and heating boilers are included; ranging from inefficient and highly polluting installations (or simple three stone stoves) to advanced modern solid fuel stoves and boilers including pellets. Detailed information about the included types of fuels, installations and control technologies can be found in </w:t>
      </w:r>
      <w:r w:rsidRPr="00501387">
        <w:rPr>
          <w:rFonts w:ascii="Calibri" w:hAnsi="Calibri"/>
          <w:lang w:val="en-US"/>
        </w:rPr>
        <w:fldChar w:fldCharType="begin"/>
      </w:r>
      <w:r>
        <w:rPr>
          <w:rFonts w:ascii="Calibri" w:hAnsi="Calibri"/>
          <w:lang w:val="en-US"/>
        </w:rPr>
        <w:instrText xml:space="preserve"> ADDIN EN.CITE &lt;EndNote&gt;&lt;Cite AuthorYear="1"&gt;&lt;Author&gt;Klimont&lt;/Author&gt;&lt;Year&gt;2017&lt;/Year&gt;&lt;RecNum&gt;543&lt;/RecNum&gt;&lt;DisplayText&gt;Klimont et al. (2017)&lt;/DisplayText&gt;&lt;record&gt;&lt;rec-number&gt;543&lt;/rec-number&gt;&lt;foreign-keys&gt;&lt;key app="EN" db-id="ewxvdw52e55r2gefrsovdxwk0xrz0v2zfp2s" timestamp="1542640291"&gt;543&lt;/key&gt;&lt;/foreign-keys&gt;&lt;ref-type name="Journal Article"&gt;17&lt;/ref-type&gt;&lt;contributors&gt;&lt;authors&gt;&lt;author&gt;Klimont, Zbigniew&lt;/author&gt;&lt;author&gt;Kupiainen, Kaarle&lt;/author&gt;&lt;author&gt;Heyes, Chris&lt;/author&gt;&lt;author&gt;Purohit, Pallav&lt;/author&gt;&lt;author&gt;Cofala, Janusz&lt;/author&gt;&lt;author&gt;Rafaj, Peter&lt;/author&gt;&lt;author&gt;Borken-Kleefeld, Jens&lt;/author&gt;&lt;author&gt;Schöpp, Wolfgang&lt;/author&gt;&lt;/authors&gt;&lt;/contributors&gt;&lt;titles&gt;&lt;title&gt;Global anthropogenic emissions of particulate matter including black carbon&lt;/title&gt;&lt;secondary-title&gt;Atmospheric Chemistry and Physics&lt;/secondary-title&gt;&lt;/titles&gt;&lt;periodical&gt;&lt;full-title&gt;Atmospheric Chemistry and Physics&lt;/full-title&gt;&lt;/periodical&gt;&lt;pages&gt;8681-8723&lt;/pages&gt;&lt;volume&gt;17&lt;/volume&gt;&lt;number&gt;14&lt;/number&gt;&lt;section&gt;8681&lt;/section&gt;&lt;dates&gt;&lt;year&gt;2017&lt;/year&gt;&lt;/dates&gt;&lt;isbn&gt;1680-7324&lt;/isbn&gt;&lt;urls&gt;&lt;/urls&gt;&lt;electronic-resource-num&gt;10.5194/acp-17-8681-2017&lt;/electronic-resource-num&gt;&lt;/record&gt;&lt;/Cite&gt;&lt;/EndNote&gt;</w:instrText>
      </w:r>
      <w:r w:rsidRPr="00501387">
        <w:rPr>
          <w:rFonts w:ascii="Calibri" w:hAnsi="Calibri"/>
          <w:lang w:val="en-US"/>
        </w:rPr>
        <w:fldChar w:fldCharType="separate"/>
      </w:r>
      <w:r w:rsidRPr="00501387">
        <w:rPr>
          <w:rFonts w:ascii="Calibri" w:hAnsi="Calibri"/>
          <w:noProof/>
          <w:lang w:val="en-US"/>
        </w:rPr>
        <w:t>Klimont et al. (2017)</w:t>
      </w:r>
      <w:r w:rsidRPr="00501387">
        <w:rPr>
          <w:rFonts w:ascii="Calibri" w:hAnsi="Calibri"/>
          <w:lang w:val="en-US"/>
        </w:rPr>
        <w:fldChar w:fldCharType="end"/>
      </w:r>
      <w:r w:rsidRPr="00501387">
        <w:rPr>
          <w:rFonts w:ascii="Calibri" w:hAnsi="Calibri"/>
          <w:lang w:val="en-US"/>
        </w:rPr>
        <w:t xml:space="preserve">. The development of air pollutant emission factors in the baseline emission scenario relies on the current legislation (CLE) dataset in GAINS that reflects the status of air quality legislation as of 2014 (for more detailed discussion see </w:t>
      </w:r>
      <w:r w:rsidRPr="00501387">
        <w:rPr>
          <w:rFonts w:ascii="Calibri" w:hAnsi="Calibri"/>
          <w:lang w:val="en-US"/>
        </w:rPr>
        <w:fldChar w:fldCharType="begin"/>
      </w:r>
      <w:r w:rsidRPr="00501387">
        <w:rPr>
          <w:rFonts w:ascii="Calibri" w:hAnsi="Calibri"/>
          <w:lang w:val="en-US"/>
        </w:rPr>
        <w:instrText xml:space="preserve"> ADDIN EN.CITE &lt;EndNote&gt;&lt;Cite AuthorYear="1"&gt;&lt;Author&gt;Stohl&lt;/Author&gt;&lt;Year&gt;2015&lt;/Year&gt;&lt;RecNum&gt;297&lt;/RecNum&gt;&lt;DisplayText&gt;Stohl et al. (2015)&lt;/DisplayText&gt;&lt;record&gt;&lt;rec-number&gt;297&lt;/rec-number&gt;&lt;foreign-keys&gt;&lt;key app="EN" db-id="ewxvdw52e55r2gefrsovdxwk0xrz0v2zfp2s" timestamp="1479216351"&gt;297&lt;/key&gt;&lt;/foreign-keys&gt;&lt;ref-type name="Journal Article"&gt;17&lt;/ref-type&gt;&lt;contributors&gt;&lt;authors&gt;&lt;author&gt;Stohl, A&lt;/author&gt;&lt;author&gt;B. Aamaas,&lt;/author&gt;&lt;author&gt;M. Amann, &lt;/author&gt;&lt;author&gt;L. H. Baker, &lt;/author&gt;&lt;author&gt;N. Bellouin, &lt;/author&gt;&lt;author&gt;T. K. Berntsen, &lt;/author&gt;&lt;author&gt;O. Boucher, &lt;/author&gt;&lt;author&gt;R. Cherian,&lt;/author&gt;&lt;author&gt;W. Collins, &lt;/author&gt;&lt;author&gt;N. Daskalakis,&lt;/author&gt;&lt;author&gt;M. Dusinska, &lt;/author&gt;&lt;author&gt;S. Eckhardt, &lt;/author&gt;&lt;author&gt;J. S. Fuglestvedt, &lt;/author&gt;&lt;author&gt;M. Harju, &lt;/author&gt;&lt;author&gt;C. Heyes, &lt;/author&gt;&lt;author&gt;Ø. Hodnebrog,&lt;/author&gt;&lt;author&gt;J. Hao, &lt;/author&gt;&lt;author&gt;U. Im,&lt;/author&gt;&lt;author&gt;a, M. Kanakidou&lt;/author&gt;&lt;author&gt;Z. Klimont, &lt;/author&gt;&lt;author&gt;K. Kupiainen, &lt;/author&gt;&lt;author&gt;K. S. Law, &lt;/author&gt;&lt;author&gt;M. T. Lund, &lt;/author&gt;&lt;author&gt;R. Maas,&lt;/author&gt;&lt;author&gt;C. R. MacIntosh, &lt;/author&gt;&lt;author&gt;G. Myhre, &lt;/author&gt;&lt;author&gt;S. Myriokefalitakis, &lt;/author&gt;&lt;author&gt;D. Olivié, &lt;/author&gt;&lt;author&gt;J. Quaas, &lt;/author&gt;&lt;author&gt;B. Quennehen, &lt;/author&gt;&lt;author&gt;J.-C. Raut,&lt;/author&gt;&lt;author&gt;S. T. Rumbold, &lt;/author&gt;&lt;author&gt;B. H. Samset, &lt;/author&gt;&lt;author&gt;M. Schulz, &lt;/author&gt;&lt;author&gt;Ø. Seland, &lt;/author&gt;&lt;author&gt;K. P. Shine, &lt;/author&gt;&lt;author&gt;R. B. Skeie, &lt;/author&gt;&lt;author&gt;S. Wang, &lt;/author&gt;&lt;author&gt;K. E. Yttri,&lt;/author&gt;&lt;author&gt;T. Zhu&lt;/author&gt;&lt;/authors&gt;&lt;/contributors&gt;&lt;titles&gt;&lt;title&gt;Evaluating the climate and air quality impacts of short-lived pollutants&lt;/title&gt;&lt;secondary-title&gt;Atmos. Chem. Phys.&lt;/secondary-title&gt;&lt;/titles&gt;&lt;periodical&gt;&lt;full-title&gt;Atmos. Chem. Phys.&lt;/full-title&gt;&lt;/periodical&gt;&lt;pages&gt;10529–10566&lt;/pages&gt;&lt;volume&gt;15&lt;/volume&gt;&lt;dates&gt;&lt;year&gt;2015&lt;/year&gt;&lt;/dates&gt;&lt;urls&gt;&lt;/urls&gt;&lt;/record&gt;&lt;/Cite&gt;&lt;/EndNote&gt;</w:instrText>
      </w:r>
      <w:r w:rsidRPr="00501387">
        <w:rPr>
          <w:rFonts w:ascii="Calibri" w:hAnsi="Calibri"/>
          <w:lang w:val="en-US"/>
        </w:rPr>
        <w:fldChar w:fldCharType="separate"/>
      </w:r>
      <w:r w:rsidRPr="00501387">
        <w:rPr>
          <w:rFonts w:ascii="Calibri" w:hAnsi="Calibri"/>
          <w:noProof/>
          <w:lang w:val="en-US"/>
        </w:rPr>
        <w:t>Stohl et al. (2015)</w:t>
      </w:r>
      <w:r w:rsidRPr="00501387">
        <w:rPr>
          <w:rFonts w:ascii="Calibri" w:hAnsi="Calibri"/>
          <w:lang w:val="en-US"/>
        </w:rPr>
        <w:fldChar w:fldCharType="end"/>
      </w:r>
      <w:r w:rsidRPr="00501387">
        <w:rPr>
          <w:rFonts w:ascii="Calibri" w:hAnsi="Calibri"/>
          <w:lang w:val="en-US"/>
        </w:rPr>
        <w:t xml:space="preserve"> and </w:t>
      </w:r>
      <w:r w:rsidRPr="00501387">
        <w:rPr>
          <w:rFonts w:ascii="Calibri" w:hAnsi="Calibri"/>
          <w:lang w:val="en-US"/>
        </w:rPr>
        <w:fldChar w:fldCharType="begin"/>
      </w:r>
      <w:r w:rsidRPr="00501387">
        <w:rPr>
          <w:rFonts w:ascii="Calibri" w:hAnsi="Calibri"/>
          <w:lang w:val="en-US"/>
        </w:rPr>
        <w:instrText xml:space="preserve"> ADDIN EN.CITE &lt;EndNote&gt;&lt;Cite AuthorYear="1"&gt;&lt;Author&gt;Rao&lt;/Author&gt;&lt;Year&gt;2016&lt;/Year&gt;&lt;RecNum&gt;305&lt;/RecNum&gt;&lt;DisplayText&gt;Rao et al. (2016)&lt;/DisplayText&gt;&lt;record&gt;&lt;rec-number&gt;305&lt;/rec-number&gt;&lt;foreign-keys&gt;&lt;key app="EN" db-id="ewxvdw52e55r2gefrsovdxwk0xrz0v2zfp2s" timestamp="1496060785"&gt;305&lt;/key&gt;&lt;/foreign-keys&gt;&lt;ref-type name="Journal Article"&gt;17&lt;/ref-type&gt;&lt;contributors&gt;&lt;authors&gt;&lt;author&gt;Shilpa Rao&lt;/author&gt;&lt;author&gt;Zbigniew Klimont&lt;/author&gt;&lt;author&gt;Joana Leitao&lt;/author&gt;&lt;author&gt;Keywan Riahi&lt;/author&gt;&lt;author&gt;Rita van Dingenen&lt;/author&gt;&lt;author&gt;Lara Aleluia Reis&lt;/author&gt;&lt;author&gt;Katherine Calvin&lt;/author&gt;&lt;author&gt;Frank Dentener&lt;/author&gt;&lt;author&gt;Laurent Drouet&lt;/author&gt;&lt;author&gt;Shinichiro Fujimori&lt;/author&gt;&lt;author&gt;Mathijs Harmsen&lt;/author&gt;&lt;author&gt;Gunnar Luderer&lt;/author&gt;&lt;author&gt;Chris Heyes&lt;/author&gt;&lt;author&gt;Jessica Strefler&lt;/author&gt;&lt;author&gt;Massimo Tavoni&lt;/author&gt;&lt;author&gt;Detlef P van Vuuren&lt;/author&gt;&lt;/authors&gt;&lt;/contributors&gt;&lt;titles&gt;&lt;title&gt;A multi-model assessment of the co-benefits of climate mitigation for global air quality&lt;/title&gt;&lt;secondary-title&gt;Environmental Research Letters&lt;/secondary-title&gt;&lt;/titles&gt;&lt;periodical&gt;&lt;full-title&gt;Environmental Research Letters&lt;/full-title&gt;&lt;/periodical&gt;&lt;volume&gt;11 &lt;/volume&gt;&lt;number&gt;12&lt;/number&gt;&lt;dates&gt;&lt;year&gt;2016&lt;/year&gt;&lt;/dates&gt;&lt;urls&gt;&lt;/urls&gt;&lt;/record&gt;&lt;/Cite&gt;&lt;/EndNote&gt;</w:instrText>
      </w:r>
      <w:r w:rsidRPr="00501387">
        <w:rPr>
          <w:rFonts w:ascii="Calibri" w:hAnsi="Calibri"/>
          <w:lang w:val="en-US"/>
        </w:rPr>
        <w:fldChar w:fldCharType="separate"/>
      </w:r>
      <w:r w:rsidRPr="00501387">
        <w:rPr>
          <w:rFonts w:ascii="Calibri" w:hAnsi="Calibri"/>
          <w:noProof/>
          <w:lang w:val="en-US"/>
        </w:rPr>
        <w:t>Rao et al. (2016)</w:t>
      </w:r>
      <w:r w:rsidRPr="00501387">
        <w:rPr>
          <w:rFonts w:ascii="Calibri" w:hAnsi="Calibri"/>
          <w:lang w:val="en-US"/>
        </w:rPr>
        <w:fldChar w:fldCharType="end"/>
      </w:r>
      <w:r w:rsidRPr="00501387">
        <w:rPr>
          <w:rFonts w:ascii="Calibri" w:hAnsi="Calibri"/>
          <w:lang w:val="en-US"/>
        </w:rPr>
        <w:t xml:space="preserve">. From 2020, the CLE data also includes lower pollutant emissions from international shipping </w:t>
      </w:r>
      <w:r w:rsidRPr="00501387">
        <w:rPr>
          <w:rFonts w:ascii="Calibri" w:hAnsi="Calibri"/>
          <w:lang w:val="en-US"/>
        </w:rPr>
        <w:fldChar w:fldCharType="begin"/>
      </w:r>
      <w:r w:rsidRPr="00501387">
        <w:rPr>
          <w:rFonts w:ascii="Calibri" w:hAnsi="Calibri"/>
          <w:lang w:val="en-US"/>
        </w:rPr>
        <w:instrText xml:space="preserve"> ADDIN EN.CITE &lt;EndNote&gt;&lt;Cite&gt;&lt;Author&gt;IMO&lt;/Author&gt;&lt;Year&gt;2018&lt;/Year&gt;&lt;RecNum&gt;560&lt;/RecNum&gt;&lt;DisplayText&gt;(IMO, 2018)&lt;/DisplayText&gt;&lt;record&gt;&lt;rec-number&gt;560&lt;/rec-number&gt;&lt;foreign-keys&gt;&lt;key app="EN" db-id="ewxvdw52e55r2gefrsovdxwk0xrz0v2zfp2s" timestamp="1543508452"&gt;560&lt;/key&gt;&lt;/foreign-keys&gt;&lt;ref-type name="Report"&gt;27&lt;/ref-type&gt;&lt;contributors&gt;&lt;authors&gt;&lt;author&gt;IMO&lt;/author&gt;&lt;/authors&gt;&lt;/contributors&gt;&lt;titles&gt;&lt;title&gt;International Maritime Organization: Amendments to the annex of the protocla of 1997 to amend the international convention for the prevention of pollution from ships (2016)(start date: 1 March 2018)&lt;/title&gt;&lt;/titles&gt;&lt;dates&gt;&lt;year&gt;2018&lt;/year&gt;&lt;/dates&gt;&lt;urls&gt;&lt;/urls&gt;&lt;/record&gt;&lt;/Cite&gt;&lt;/EndNote&gt;</w:instrText>
      </w:r>
      <w:r w:rsidRPr="00501387">
        <w:rPr>
          <w:rFonts w:ascii="Calibri" w:hAnsi="Calibri"/>
          <w:lang w:val="en-US"/>
        </w:rPr>
        <w:fldChar w:fldCharType="separate"/>
      </w:r>
      <w:r w:rsidRPr="00501387">
        <w:rPr>
          <w:rFonts w:ascii="Calibri" w:hAnsi="Calibri"/>
          <w:noProof/>
          <w:lang w:val="en-US"/>
        </w:rPr>
        <w:t>(IMO, 2018)</w:t>
      </w:r>
      <w:r w:rsidRPr="00501387">
        <w:rPr>
          <w:rFonts w:ascii="Calibri" w:hAnsi="Calibri"/>
          <w:lang w:val="en-US"/>
        </w:rPr>
        <w:fldChar w:fldCharType="end"/>
      </w:r>
      <w:r w:rsidRPr="00501387">
        <w:rPr>
          <w:rFonts w:ascii="Calibri" w:hAnsi="Calibri"/>
          <w:lang w:val="en-US"/>
        </w:rPr>
        <w:t>.</w:t>
      </w:r>
    </w:p>
    <w:p w:rsidR="00B3550D" w:rsidRPr="00501387" w:rsidRDefault="00B3550D" w:rsidP="00B3550D">
      <w:pPr>
        <w:pStyle w:val="NoSpacing"/>
        <w:spacing w:line="276" w:lineRule="auto"/>
        <w:jc w:val="both"/>
        <w:rPr>
          <w:rFonts w:ascii="Calibri" w:hAnsi="Calibri"/>
          <w:lang w:val="en-US"/>
        </w:rPr>
      </w:pPr>
    </w:p>
    <w:p w:rsidR="00B3550D" w:rsidRPr="00501387" w:rsidRDefault="00B3550D" w:rsidP="00B3550D">
      <w:pPr>
        <w:pStyle w:val="NoSpacing"/>
        <w:spacing w:line="276" w:lineRule="auto"/>
        <w:jc w:val="both"/>
        <w:rPr>
          <w:rFonts w:ascii="Calibri" w:hAnsi="Calibri"/>
          <w:lang w:val="en-US"/>
        </w:rPr>
      </w:pPr>
      <w:r w:rsidRPr="00501387">
        <w:rPr>
          <w:rFonts w:ascii="Calibri" w:hAnsi="Calibri"/>
          <w:lang w:val="en-US"/>
        </w:rPr>
        <w:t xml:space="preserve">The main sectoral mitigation measures included in the Health and Climate scenarios are based on the ECLIPSE project database (V5a) </w:t>
      </w:r>
      <w:r w:rsidRPr="00501387">
        <w:rPr>
          <w:rFonts w:ascii="Calibri" w:hAnsi="Calibri"/>
          <w:lang w:val="en-US"/>
        </w:rPr>
        <w:fldChar w:fldCharType="begin">
          <w:fldData xml:space="preserve">PEVuZE5vdGU+PENpdGU+PEF1dGhvcj5LbGltb250PC9BdXRob3I+PFllYXI+MjAxNzwvWWVhcj48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</w:fldData>
        </w:fldChar>
      </w:r>
      <w:r>
        <w:rPr>
          <w:rFonts w:ascii="Calibri" w:hAnsi="Calibri"/>
          <w:lang w:val="en-US"/>
        </w:rPr>
        <w:instrText xml:space="preserve"> ADDIN EN.CITE </w:instrText>
      </w:r>
      <w:r>
        <w:rPr>
          <w:rFonts w:ascii="Calibri" w:hAnsi="Calibri"/>
          <w:lang w:val="en-US"/>
        </w:rPr>
        <w:fldChar w:fldCharType="begin">
          <w:fldData xml:space="preserve">PEVuZE5vdGU+PENpdGU+PEF1dGhvcj5LbGltb250PC9BdXRob3I+PFllYXI+MjAxNzwvWWVhcj48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</w:fldData>
        </w:fldChar>
      </w:r>
      <w:r>
        <w:rPr>
          <w:rFonts w:ascii="Calibri" w:hAnsi="Calibri"/>
          <w:lang w:val="en-US"/>
        </w:rPr>
        <w:instrText xml:space="preserve"> ADDIN EN.CITE.DATA </w:instrText>
      </w:r>
      <w:r>
        <w:rPr>
          <w:rFonts w:ascii="Calibri" w:hAnsi="Calibri"/>
          <w:lang w:val="en-US"/>
        </w:rPr>
      </w:r>
      <w:r>
        <w:rPr>
          <w:rFonts w:ascii="Calibri" w:hAnsi="Calibri"/>
          <w:lang w:val="en-US"/>
        </w:rPr>
        <w:fldChar w:fldCharType="end"/>
      </w:r>
      <w:r w:rsidRPr="00501387">
        <w:rPr>
          <w:rFonts w:ascii="Calibri" w:hAnsi="Calibri"/>
          <w:lang w:val="en-US"/>
        </w:rPr>
        <w:fldChar w:fldCharType="separate"/>
      </w:r>
      <w:r w:rsidRPr="00501387">
        <w:rPr>
          <w:rFonts w:ascii="Calibri" w:hAnsi="Calibri"/>
          <w:noProof/>
          <w:lang w:val="en-US"/>
        </w:rPr>
        <w:t>(Klimont et al., 2017; Stohl et al., 2015)</w:t>
      </w:r>
      <w:r w:rsidRPr="00501387">
        <w:rPr>
          <w:rFonts w:ascii="Calibri" w:hAnsi="Calibri"/>
          <w:lang w:val="en-US"/>
        </w:rPr>
        <w:fldChar w:fldCharType="end"/>
      </w:r>
      <w:r w:rsidRPr="00501387">
        <w:rPr>
          <w:rFonts w:ascii="Calibri" w:hAnsi="Calibri"/>
          <w:lang w:val="en-US"/>
        </w:rPr>
        <w:t xml:space="preserve">. The reduction potential is regionally specific, depending on the source structure and already committed controls, since they might limit rapid introduction of best available technology, and has no cost constraints, i.e., the most efficient measures (independent of their costs) are introduced as quickly as possible (see also </w:t>
      </w:r>
      <w:r w:rsidRPr="00501387">
        <w:rPr>
          <w:rFonts w:ascii="Calibri" w:hAnsi="Calibri"/>
          <w:lang w:val="en-US"/>
        </w:rPr>
        <w:fldChar w:fldCharType="begin"/>
      </w:r>
      <w:r>
        <w:rPr>
          <w:rFonts w:ascii="Calibri" w:hAnsi="Calibri"/>
          <w:lang w:val="en-US"/>
        </w:rPr>
        <w:instrText xml:space="preserve"> ADDIN EN.CITE &lt;EndNote&gt;&lt;Cite AuthorYear="1"&gt;&lt;Author&gt;Amann&lt;/Author&gt;&lt;Year&gt;2013&lt;/Year&gt;&lt;RecNum&gt;378&lt;/RecNum&gt;&lt;DisplayText&gt;Amann et al. (2013)&lt;/DisplayText&gt;&lt;record&gt;&lt;rec-number&gt;378&lt;/rec-number&gt;&lt;foreign-keys&gt;&lt;key app="EN" db-id="ewxvdw52e55r2gefrsovdxwk0xrz0v2zfp2s" timestamp="1520960917"&gt;378&lt;/key&gt;&lt;/foreign-keys&gt;&lt;ref-type name="Journal Article"&gt;17&lt;/ref-type&gt;&lt;contributors&gt;&lt;authors&gt;&lt;author&gt;Amann, Markus&lt;/author&gt;&lt;author&gt;Klimont, Zbigniew&lt;/author&gt;&lt;author&gt;Wagner, Fabian&lt;/author&gt;&lt;/authors&gt;&lt;/contributors&gt;&lt;titles&gt;&lt;title&gt;Regional and Global Emissions of Air Pollutants: Recent Trends and Future Scenarios&lt;/title&gt;&lt;secondary-title&gt;Annual Review of Environment and Resources&lt;/secondary-title&gt;&lt;/titles&gt;&lt;periodical&gt;&lt;full-title&gt;Annual Review of Environment and Resources&lt;/full-title&gt;&lt;/periodical&gt;&lt;pages&gt;31-55&lt;/pages&gt;&lt;volume&gt;38&lt;/volume&gt;&lt;number&gt;1&lt;/number&gt;&lt;dates&gt;&lt;year&gt;2013&lt;/year&gt;&lt;/dates&gt;&lt;isbn&gt;1543-5938&amp;#xD;1545-2050&lt;/isbn&gt;&lt;urls&gt;&lt;/urls&gt;&lt;electronic-resource-num&gt;10.1146/annurev-environ-052912-173303&lt;/electronic-resource-num&gt;&lt;/record&gt;&lt;/Cite&gt;&lt;/EndNote&gt;</w:instrText>
      </w:r>
      <w:r w:rsidRPr="00501387">
        <w:rPr>
          <w:rFonts w:ascii="Calibri" w:hAnsi="Calibri"/>
          <w:lang w:val="en-US"/>
        </w:rPr>
        <w:fldChar w:fldCharType="separate"/>
      </w:r>
      <w:r w:rsidRPr="00501387">
        <w:rPr>
          <w:rFonts w:ascii="Calibri" w:hAnsi="Calibri"/>
          <w:noProof/>
          <w:lang w:val="en-US"/>
        </w:rPr>
        <w:t>Amann et al. (2013)</w:t>
      </w:r>
      <w:r w:rsidRPr="00501387">
        <w:rPr>
          <w:rFonts w:ascii="Calibri" w:hAnsi="Calibri"/>
          <w:lang w:val="en-US"/>
        </w:rPr>
        <w:fldChar w:fldCharType="end"/>
      </w:r>
      <w:r w:rsidRPr="00501387">
        <w:rPr>
          <w:rFonts w:ascii="Calibri" w:hAnsi="Calibri"/>
          <w:lang w:val="en-US"/>
        </w:rPr>
        <w:t xml:space="preserve">). In GAINS, emissions of all air pollutants were computed for 174 regions/countries, based on international energy and industrial statistics, emission inventories and national emission reporting. For this study, these have been aggregated to the 26 world regions in IMAGE. The activity, emission, and emission factor trajectories using the EMF30 sectors and IMAGE regions as calculated in the GAINS model are also available from the dedicated online application of the model </w:t>
      </w:r>
      <w:r w:rsidRPr="00501387">
        <w:rPr>
          <w:rStyle w:val="FootnoteReference"/>
          <w:rFonts w:ascii="Calibri" w:hAnsi="Calibri"/>
          <w:lang w:val="en-US"/>
        </w:rPr>
        <w:footnoteReference w:id="1"/>
      </w:r>
      <w:r w:rsidRPr="00501387">
        <w:rPr>
          <w:rFonts w:ascii="Calibri" w:hAnsi="Calibri"/>
          <w:lang w:val="en-US"/>
        </w:rPr>
        <w:t xml:space="preserve">. Final emissions are calculated by applying future GAINS emission factors (for 2030 and 2100) to IMAGE activities. Base year (2015) emission factors in IMAGE are calibrated with </w:t>
      </w:r>
      <w:r w:rsidRPr="00E864CA">
        <w:rPr>
          <w:lang w:val="en-US"/>
        </w:rPr>
        <w:t>historical estimates for anthropogenic</w:t>
      </w:r>
      <w:r>
        <w:rPr>
          <w:lang w:val="en-US"/>
        </w:rPr>
        <w:t xml:space="preserve"> emissions from</w:t>
      </w:r>
      <w:r w:rsidRPr="00E864CA">
        <w:rPr>
          <w:lang w:val="en-US"/>
        </w:rPr>
        <w:t xml:space="preserve"> </w:t>
      </w:r>
      <w:r w:rsidRPr="00501387">
        <w:rPr>
          <w:rFonts w:ascii="Calibri" w:hAnsi="Calibri"/>
          <w:lang w:val="en-US"/>
        </w:rPr>
        <w:t xml:space="preserve">the Community Emissions Data System for historical emissions (CEDS) </w:t>
      </w:r>
      <w:r w:rsidRPr="00501387">
        <w:rPr>
          <w:rFonts w:ascii="Calibri" w:hAnsi="Calibri"/>
          <w:lang w:val="en-US"/>
        </w:rPr>
        <w:fldChar w:fldCharType="begin"/>
      </w:r>
      <w:r>
        <w:rPr>
          <w:rFonts w:ascii="Calibri" w:hAnsi="Calibri"/>
          <w:lang w:val="en-US"/>
        </w:rPr>
        <w:instrText xml:space="preserve"> ADDIN EN.CITE &lt;EndNote&gt;&lt;Cite&gt;&lt;Author&gt;Hoesly&lt;/Author&gt;&lt;Year&gt;2018&lt;/Year&gt;&lt;RecNum&gt;542&lt;/RecNum&gt;&lt;DisplayText&gt;(Hoesly et al., 2018)&lt;/DisplayText&gt;&lt;record&gt;&lt;rec-number&gt;542&lt;/rec-number&gt;&lt;foreign-keys&gt;&lt;key app="EN" db-id="ewxvdw52e55r2gefrsovdxwk0xrz0v2zfp2s" timestamp="1542640147"&gt;542&lt;/key&gt;&lt;/foreign-keys&gt;&lt;ref-type name="Journal Article"&gt;17&lt;/ref-type&gt;&lt;contributors&gt;&lt;authors&gt;&lt;author&gt;Hoesly, Rachel M.&lt;/author&gt;&lt;author&gt;Smith, Steven J.&lt;/author&gt;&lt;author&gt;Feng, Leyang&lt;/author&gt;&lt;author&gt;Klimont, Zbigniew&lt;/author&gt;&lt;author&gt;Janssens-Maenhout, Greet&lt;/author&gt;&lt;author&gt;Pitkanen, Tyler&lt;/author&gt;&lt;author&gt;Seibert, Jonathan J.&lt;/author&gt;&lt;author&gt;Vu, Linh&lt;/author&gt;&lt;author&gt;Andres, Robert J.&lt;/author&gt;&lt;author&gt;Bolt, Ryan M.&lt;/author&gt;&lt;author&gt;Bond, Tami C.&lt;/author&gt;&lt;author&gt;Dawidowski, Laura&lt;/author&gt;&lt;author&gt;Kholod, Nazar&lt;/author&gt;&lt;author&gt;Kurokawa, June-ichi&lt;/author&gt;&lt;author&gt;Li, Meng&lt;/author&gt;&lt;author&gt;Liu, Liang&lt;/author&gt;&lt;author&gt;Lu, Zifeng&lt;/author&gt;&lt;author&gt;Moura, Maria Cecilia P.&lt;/author&gt;&lt;author&gt;amp,&lt;/author&gt;&lt;author&gt;apos,&lt;/author&gt;&lt;author&gt;Rourke, Patrick R.&lt;/author&gt;&lt;author&gt;Zhang, Qiang&lt;/author&gt;&lt;/authors&gt;&lt;/contributors&gt;&lt;titles&gt;&lt;title&gt;Historical (1750–2014) anthropogenic emissions of reactive gases and aerosols from the Community Emissions Data System (CEDS)&lt;/title&gt;&lt;secondary-title&gt;Geoscientific Model Development&lt;/secondary-title&gt;&lt;/titles&gt;&lt;periodical&gt;&lt;full-title&gt;Geoscientific Model Development&lt;/full-title&gt;&lt;/periodical&gt;&lt;pages&gt;369-408&lt;/pages&gt;&lt;volume&gt;11&lt;/volume&gt;&lt;number&gt;1&lt;/number&gt;&lt;section&gt;369&lt;/section&gt;&lt;dates&gt;&lt;year&gt;2018&lt;/year&gt;&lt;/dates&gt;&lt;isbn&gt;1991-9603&lt;/isbn&gt;&lt;urls&gt;&lt;/urls&gt;&lt;electronic-resource-num&gt;10.5194/gmd-11-369-2018&lt;/electronic-resource-num&gt;&lt;/record&gt;&lt;/Cite&gt;&lt;/EndNote&gt;</w:instrText>
      </w:r>
      <w:r w:rsidRPr="00501387">
        <w:rPr>
          <w:rFonts w:ascii="Calibri" w:hAnsi="Calibri"/>
          <w:lang w:val="en-US"/>
        </w:rPr>
        <w:fldChar w:fldCharType="separate"/>
      </w:r>
      <w:r w:rsidRPr="00501387">
        <w:rPr>
          <w:rFonts w:ascii="Calibri" w:hAnsi="Calibri"/>
          <w:noProof/>
          <w:lang w:val="en-US"/>
        </w:rPr>
        <w:t>(Hoesly et al., 2018)</w:t>
      </w:r>
      <w:r w:rsidRPr="00501387">
        <w:rPr>
          <w:rFonts w:ascii="Calibri" w:hAnsi="Calibri"/>
          <w:lang w:val="en-US"/>
        </w:rPr>
        <w:fldChar w:fldCharType="end"/>
      </w:r>
      <w:r w:rsidRPr="00DC3183">
        <w:rPr>
          <w:lang w:val="en-US"/>
        </w:rPr>
        <w:t xml:space="preserve"> </w:t>
      </w:r>
      <w:r w:rsidRPr="00E864CA">
        <w:rPr>
          <w:lang w:val="en-US"/>
        </w:rPr>
        <w:t>and open burning</w:t>
      </w:r>
      <w:r>
        <w:rPr>
          <w:lang w:val="en-US"/>
        </w:rPr>
        <w:t xml:space="preserve"> emissions </w:t>
      </w:r>
      <w:r>
        <w:rPr>
          <w:lang w:val="en-US"/>
        </w:rPr>
        <w:fldChar w:fldCharType="begin"/>
      </w:r>
      <w:r>
        <w:rPr>
          <w:lang w:val="en-US"/>
        </w:rPr>
        <w:instrText xml:space="preserve"> ADDIN EN.CITE &lt;EndNote&gt;&lt;Cite&gt;&lt;Author&gt;van Marle&lt;/Author&gt;&lt;Year&gt;2017&lt;/Year&gt;&lt;RecNum&gt;599&lt;/RecNum&gt;&lt;DisplayText&gt;(van Marle et al., 2017)&lt;/DisplayText&gt;&lt;record&gt;&lt;rec-number&gt;599&lt;/rec-number&gt;&lt;foreign-keys&gt;&lt;key app="EN" db-id="ewxvdw52e55r2gefrsovdxwk0xrz0v2zfp2s" timestamp="1578417650"&gt;599&lt;/key&gt;&lt;/foreign-keys&gt;&lt;ref-type name="Journal Article"&gt;17&lt;/ref-type&gt;&lt;contributors&gt;&lt;authors&gt;&lt;author&gt;van Marle, Margreet J. E.&lt;/author&gt;&lt;author&gt;Kloster, Silvia&lt;/author&gt;&lt;author&gt;Magi, Brian I.&lt;/author&gt;&lt;author&gt;Marlon, Jennifer R.&lt;/author&gt;&lt;author&gt;Daniau, Anne-Laure&lt;/author&gt;&lt;author&gt;Field, Robert D.&lt;/author&gt;&lt;author&gt;Arneth, Almut&lt;/author&gt;&lt;author&gt;Forrest, Matthew&lt;/author&gt;&lt;author&gt;Hantson, Stijn&lt;/author&gt;&lt;author&gt;Kehrwald, Natalie M.&lt;/author&gt;&lt;author&gt;Knorr, Wolfgang&lt;/author&gt;&lt;author&gt;Lasslop, Gitta&lt;/author&gt;&lt;author&gt;Li, Fang&lt;/author&gt;&lt;author&gt;Mangeon, Stéphane&lt;/author&gt;&lt;author&gt;Yue, Chao&lt;/author&gt;&lt;author&gt;Kaiser, Johannes W.&lt;/author&gt;&lt;author&gt;van der Werf, Guido R.&lt;/author&gt;&lt;/authors&gt;&lt;/contributors&gt;&lt;titles&gt;&lt;title&gt;Historic global biomass burning emissions for CMIP6 (BB4CMIP) based on merging satellite observations with proxies and fire models (1750–2015)&lt;/title&gt;&lt;secondary-title&gt;Geoscientific Model Development&lt;/secondary-title&gt;&lt;/titles&gt;&lt;periodical&gt;&lt;full-title&gt;Geoscientific Model Development&lt;/full-title&gt;&lt;/periodical&gt;&lt;pages&gt;3329-3357&lt;/pages&gt;&lt;volume&gt;10&lt;/volume&gt;&lt;number&gt;9&lt;/number&gt;&lt;section&gt;3329&lt;/section&gt;&lt;dates&gt;&lt;year&gt;2017&lt;/year&gt;&lt;/dates&gt;&lt;isbn&gt;1991-9603&lt;/isbn&gt;&lt;urls&gt;&lt;/urls&gt;&lt;electronic-resource-num&gt;10.5194/gmd-10-3329-2017&lt;/electronic-resource-num&gt;&lt;/record&gt;&lt;/Cite&gt;&lt;/EndNote&gt;</w:instrText>
      </w:r>
      <w:r>
        <w:rPr>
          <w:lang w:val="en-US"/>
        </w:rPr>
        <w:fldChar w:fldCharType="separate"/>
      </w:r>
      <w:r>
        <w:rPr>
          <w:noProof/>
          <w:lang w:val="en-US"/>
        </w:rPr>
        <w:t>(van Marle et al., 2017)</w:t>
      </w:r>
      <w:r>
        <w:rPr>
          <w:lang w:val="en-US"/>
        </w:rPr>
        <w:fldChar w:fldCharType="end"/>
      </w:r>
      <w:r>
        <w:rPr>
          <w:lang w:val="en-US"/>
        </w:rPr>
        <w:t xml:space="preserve">. These are </w:t>
      </w:r>
      <w:r w:rsidRPr="00501387">
        <w:rPr>
          <w:rFonts w:ascii="Calibri" w:hAnsi="Calibri"/>
          <w:lang w:val="en-US"/>
        </w:rPr>
        <w:t xml:space="preserve">linearly interpolated to 2030 (see </w:t>
      </w:r>
      <w:r w:rsidRPr="00501387">
        <w:rPr>
          <w:rFonts w:ascii="Calibri" w:hAnsi="Calibri"/>
          <w:color w:val="0070C0"/>
          <w:lang w:val="en-US"/>
        </w:rPr>
        <w:t>supplement</w:t>
      </w:r>
      <w:r w:rsidRPr="00501387">
        <w:rPr>
          <w:rFonts w:ascii="Calibri" w:hAnsi="Calibri"/>
          <w:lang w:val="en-US"/>
        </w:rPr>
        <w:t xml:space="preserve"> S3 for a literature comparison for global sectoral BC emissions in 2015).</w:t>
      </w:r>
    </w:p>
    <w:p w:rsidR="00B3550D" w:rsidRPr="00501387" w:rsidRDefault="00B3550D" w:rsidP="00B3550D">
      <w:pPr>
        <w:pStyle w:val="NoSpacing"/>
        <w:spacing w:line="276" w:lineRule="auto"/>
        <w:jc w:val="both"/>
        <w:rPr>
          <w:rFonts w:ascii="Calibri" w:hAnsi="Calibri"/>
          <w:lang w:val="en-US"/>
        </w:rPr>
      </w:pPr>
    </w:p>
    <w:p w:rsidR="00B3550D" w:rsidRPr="00501387" w:rsidRDefault="00B3550D" w:rsidP="00B3550D">
      <w:pPr>
        <w:pStyle w:val="NoSpacing"/>
        <w:spacing w:line="276" w:lineRule="auto"/>
        <w:jc w:val="both"/>
        <w:rPr>
          <w:lang w:val="en-US"/>
        </w:rPr>
      </w:pPr>
      <w:r w:rsidRPr="00501387">
        <w:rPr>
          <w:rFonts w:ascii="Calibri" w:hAnsi="Calibri"/>
          <w:lang w:val="en-US"/>
        </w:rPr>
        <w:t xml:space="preserve">The main sectoral mitigation measures (MFR) include: </w:t>
      </w:r>
      <w:r w:rsidRPr="00501387">
        <w:rPr>
          <w:i/>
          <w:u w:val="single"/>
          <w:lang w:val="en-US"/>
        </w:rPr>
        <w:t>Residential and commercial</w:t>
      </w:r>
      <w:r w:rsidRPr="00501387">
        <w:rPr>
          <w:rFonts w:ascii="Calibri" w:hAnsi="Calibri"/>
          <w:lang w:val="en-US"/>
        </w:rPr>
        <w:t xml:space="preserve"> 1) A phase-out of the end-use of coal and biomass consumption for cooking and heating by 2030 (note that this is the only measure not realized via emission factors, in accordance with the EMF30 scenario setup) 2) Replacement of kerosene wick lamps with LED lamps, </w:t>
      </w:r>
      <w:r w:rsidRPr="00501387">
        <w:rPr>
          <w:i/>
          <w:u w:val="single"/>
          <w:lang w:val="en-US"/>
        </w:rPr>
        <w:t>Transport</w:t>
      </w:r>
      <w:r w:rsidRPr="00501387">
        <w:rPr>
          <w:lang w:val="en-US"/>
        </w:rPr>
        <w:t xml:space="preserve"> 1) Eliminating high-emitting vehicles 2) Widespread Euro VI equivalent emission standards (incl. particle filters on diesel engines), </w:t>
      </w:r>
      <w:r w:rsidRPr="00501387">
        <w:rPr>
          <w:i/>
          <w:u w:val="single"/>
          <w:lang w:val="en-US"/>
        </w:rPr>
        <w:lastRenderedPageBreak/>
        <w:t>Transformation</w:t>
      </w:r>
      <w:r w:rsidRPr="00501387">
        <w:rPr>
          <w:lang w:val="en-US"/>
        </w:rPr>
        <w:t xml:space="preserve"> 1) Modernized (mechanized) coke ovens, </w:t>
      </w:r>
      <w:r w:rsidRPr="00501387">
        <w:rPr>
          <w:i/>
          <w:u w:val="single"/>
          <w:lang w:val="en-US"/>
        </w:rPr>
        <w:t>Industry</w:t>
      </w:r>
      <w:r w:rsidRPr="00501387">
        <w:rPr>
          <w:lang w:val="en-US"/>
        </w:rPr>
        <w:t xml:space="preserve"> 1) Replacement of artisanal brick kilns with more efficient and cleaner kilns (e.g., zig-zag, vertical shaft kiln, Marquez kiln), </w:t>
      </w:r>
      <w:r w:rsidRPr="00501387">
        <w:rPr>
          <w:i/>
          <w:u w:val="single"/>
          <w:lang w:val="en-US"/>
        </w:rPr>
        <w:t>Power Sector</w:t>
      </w:r>
      <w:r w:rsidRPr="00501387">
        <w:rPr>
          <w:i/>
          <w:lang w:val="en-US"/>
        </w:rPr>
        <w:t xml:space="preserve"> </w:t>
      </w:r>
      <w:r w:rsidRPr="00501387">
        <w:rPr>
          <w:lang w:val="en-US"/>
        </w:rPr>
        <w:t>1) Coal plants with high efficiency particle filters, desulfurization and deNOx technology. Note that the power sector is a relatively small BC and OC source (1-2% of total emissions), but a large SO</w:t>
      </w:r>
      <w:r w:rsidRPr="00501387">
        <w:rPr>
          <w:vertAlign w:val="subscript"/>
          <w:lang w:val="en-US"/>
        </w:rPr>
        <w:t>2</w:t>
      </w:r>
      <w:r w:rsidRPr="00501387">
        <w:rPr>
          <w:lang w:val="en-US"/>
        </w:rPr>
        <w:t xml:space="preserve"> (</w:t>
      </w:r>
      <w:r w:rsidRPr="00501387">
        <w:rPr>
          <w:rFonts w:ascii="Calibri" w:hAnsi="Calibri" w:cs="Calibri"/>
          <w:lang w:val="en-US"/>
        </w:rPr>
        <w:t>±</w:t>
      </w:r>
      <w:r w:rsidRPr="00501387">
        <w:rPr>
          <w:lang w:val="en-US"/>
        </w:rPr>
        <w:t>50%) and NOx source (</w:t>
      </w:r>
      <w:r w:rsidRPr="00501387">
        <w:rPr>
          <w:rFonts w:ascii="Calibri" w:hAnsi="Calibri" w:cs="Calibri"/>
          <w:lang w:val="en-US"/>
        </w:rPr>
        <w:t>±</w:t>
      </w:r>
      <w:r w:rsidRPr="00501387">
        <w:rPr>
          <w:lang w:val="en-US"/>
        </w:rPr>
        <w:t>25%). These measures are mainly impactful from a health point of view.</w:t>
      </w:r>
    </w:p>
    <w:p w:rsidR="00B3550D" w:rsidRPr="00501387" w:rsidRDefault="00B3550D" w:rsidP="00B3550D">
      <w:pPr>
        <w:spacing w:line="276" w:lineRule="auto"/>
        <w:jc w:val="both"/>
        <w:rPr>
          <w:rFonts w:ascii="Calibri" w:hAnsi="Calibri"/>
          <w:lang w:val="en-US"/>
        </w:rPr>
      </w:pPr>
      <w:r w:rsidRPr="00501387">
        <w:rPr>
          <w:rFonts w:ascii="Calibri" w:hAnsi="Calibri"/>
          <w:lang w:val="en-US"/>
        </w:rPr>
        <w:t>Air pollution policy costs, calculated in GAINS, represent the total annualized costs of mitigation measures, and thus include the mitigation of all included pollutants: BC, OC, SO</w:t>
      </w:r>
      <w:r w:rsidRPr="00501387">
        <w:rPr>
          <w:rFonts w:ascii="Calibri" w:hAnsi="Calibri"/>
          <w:vertAlign w:val="subscript"/>
          <w:lang w:val="en-US"/>
        </w:rPr>
        <w:t>2</w:t>
      </w:r>
      <w:r w:rsidRPr="00501387">
        <w:rPr>
          <w:rFonts w:ascii="Calibri" w:hAnsi="Calibri"/>
          <w:lang w:val="en-US"/>
        </w:rPr>
        <w:t xml:space="preserve">, NOx. For calculating emission control costs, GAINS relies on international investment costs and operating experience of pollution control equipment and extrapolates it to country-specific conditions using respective energy and labour costs. The basis of the methodology is described in Amann et al. (2011) and details available from model documentation reports </w:t>
      </w:r>
      <w:r w:rsidRPr="00501387">
        <w:rPr>
          <w:rFonts w:ascii="Calibri" w:hAnsi="Calibri"/>
          <w:lang w:val="en-US"/>
        </w:rPr>
        <w:fldChar w:fldCharType="begin">
          <w:fldData xml:space="preserve">PEVuZE5vdGU+PENpdGU+PEF1dGhvcj5Db2ZhbGE8L0F1dGhvcj48WWVhcj4xOTk4PC9ZZWFyPjxS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</w:fldData>
        </w:fldChar>
      </w:r>
      <w:r w:rsidRPr="00501387">
        <w:rPr>
          <w:rFonts w:ascii="Calibri" w:hAnsi="Calibri"/>
          <w:lang w:val="en-US"/>
        </w:rPr>
        <w:instrText xml:space="preserve"> ADDIN EN.CITE </w:instrText>
      </w:r>
      <w:r w:rsidRPr="00501387">
        <w:rPr>
          <w:rFonts w:ascii="Calibri" w:hAnsi="Calibri"/>
          <w:lang w:val="en-US"/>
        </w:rPr>
        <w:fldChar w:fldCharType="begin">
          <w:fldData xml:space="preserve">PEVuZE5vdGU+PENpdGU+PEF1dGhvcj5Db2ZhbGE8L0F1dGhvcj48WWVhcj4xOTk4PC9ZZWFyPjxS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</w:fldData>
        </w:fldChar>
      </w:r>
      <w:r w:rsidRPr="00501387">
        <w:rPr>
          <w:rFonts w:ascii="Calibri" w:hAnsi="Calibri"/>
          <w:lang w:val="en-US"/>
        </w:rPr>
        <w:instrText xml:space="preserve"> ADDIN EN.CITE.DATA </w:instrText>
      </w:r>
      <w:r w:rsidRPr="00501387">
        <w:rPr>
          <w:rFonts w:ascii="Calibri" w:hAnsi="Calibri"/>
          <w:lang w:val="en-US"/>
        </w:rPr>
      </w:r>
      <w:r w:rsidRPr="00501387">
        <w:rPr>
          <w:rFonts w:ascii="Calibri" w:hAnsi="Calibri"/>
          <w:lang w:val="en-US"/>
        </w:rPr>
        <w:fldChar w:fldCharType="end"/>
      </w:r>
      <w:r w:rsidRPr="00501387">
        <w:rPr>
          <w:rFonts w:ascii="Calibri" w:hAnsi="Calibri"/>
          <w:lang w:val="en-US"/>
        </w:rPr>
      </w:r>
      <w:r w:rsidRPr="00501387">
        <w:rPr>
          <w:rFonts w:ascii="Calibri" w:hAnsi="Calibri"/>
          <w:lang w:val="en-US"/>
        </w:rPr>
        <w:fldChar w:fldCharType="separate"/>
      </w:r>
      <w:r w:rsidRPr="00501387">
        <w:rPr>
          <w:rFonts w:ascii="Calibri" w:hAnsi="Calibri"/>
          <w:noProof/>
          <w:lang w:val="en-US"/>
        </w:rPr>
        <w:t>(Cofala and Syri, 1998a, b; Klimont et al., 2002; Klimont et al., 2000; Klimont and Winiwarter, 2015)</w:t>
      </w:r>
      <w:r w:rsidRPr="00501387">
        <w:rPr>
          <w:rFonts w:ascii="Calibri" w:hAnsi="Calibri"/>
          <w:lang w:val="en-US"/>
        </w:rPr>
        <w:fldChar w:fldCharType="end"/>
      </w:r>
      <w:r w:rsidRPr="00501387">
        <w:rPr>
          <w:rFonts w:ascii="Calibri" w:hAnsi="Calibri"/>
          <w:lang w:val="en-US"/>
        </w:rPr>
        <w:t>.The costs have been determined for both the current legislation baseline case (CLE)(corresponds with SSP2 and SSP3) and the MFR case. The costs have been broken out separately for the health (mitigation in all sectors) and climate (mitigation in residential and transport) cases. Costs in all scenarios are scaled with sectoral total final energy activities in IMAGE compared to GAINS</w:t>
      </w:r>
    </w:p>
    <w:p w:rsidR="00B3550D" w:rsidRPr="00501387" w:rsidRDefault="00B3550D" w:rsidP="00B3550D">
      <w:pPr>
        <w:spacing w:line="276" w:lineRule="auto"/>
        <w:jc w:val="both"/>
        <w:rPr>
          <w:rFonts w:ascii="Calibri" w:hAnsi="Calibri"/>
          <w:lang w:val="en-US"/>
        </w:rPr>
      </w:pPr>
    </w:p>
    <w:p w:rsidR="00B3550D" w:rsidRPr="00A4579C" w:rsidRDefault="00B3550D" w:rsidP="00B3550D">
      <w:pPr>
        <w:pStyle w:val="ReferenceHeader"/>
        <w:keepNext/>
        <w:rPr>
          <w:rFonts w:asciiTheme="minorHAnsi" w:hAnsiTheme="minorHAnsi"/>
          <w:lang w:val="nl-NL"/>
        </w:rPr>
      </w:pPr>
      <w:r w:rsidRPr="00501387">
        <w:rPr>
          <w:rFonts w:asciiTheme="minorHAnsi" w:hAnsiTheme="minorHAnsi"/>
          <w:lang w:val="nl-NL"/>
        </w:rPr>
        <w:t>References</w:t>
      </w:r>
    </w:p>
    <w:p w:rsidR="00B3550D" w:rsidRDefault="00B3550D" w:rsidP="00B3550D">
      <w:pPr>
        <w:spacing w:line="276" w:lineRule="auto"/>
        <w:jc w:val="both"/>
        <w:rPr>
          <w:rFonts w:ascii="Calibri" w:hAnsi="Calibri"/>
          <w:lang w:val="en-US"/>
        </w:rPr>
      </w:pPr>
    </w:p>
    <w:p w:rsidR="00B3550D" w:rsidRPr="00501387" w:rsidRDefault="00B3550D" w:rsidP="00B3550D">
      <w:pPr>
        <w:pStyle w:val="NoSpacing"/>
        <w:numPr>
          <w:ilvl w:val="0"/>
          <w:numId w:val="45"/>
        </w:numPr>
        <w:rPr>
          <w:sz w:val="20"/>
          <w:szCs w:val="20"/>
        </w:rPr>
      </w:pPr>
      <w:r w:rsidRPr="005A334B">
        <w:rPr>
          <w:sz w:val="20"/>
          <w:szCs w:val="20"/>
          <w:lang w:val="en-US"/>
        </w:rPr>
        <w:t xml:space="preserve">Amann M, et al. (2011) Cost-effective control of air quality and greenhouse gases in Europe: Modeling and policy applications. </w:t>
      </w:r>
      <w:r w:rsidRPr="00501387">
        <w:rPr>
          <w:sz w:val="20"/>
          <w:szCs w:val="20"/>
        </w:rPr>
        <w:t>Environmental Modelling &amp; Software 26:1489-1501.</w:t>
      </w:r>
    </w:p>
    <w:p w:rsidR="00B3550D" w:rsidRPr="00501387" w:rsidRDefault="00B3550D" w:rsidP="00B3550D">
      <w:pPr>
        <w:pStyle w:val="NoSpacing"/>
        <w:numPr>
          <w:ilvl w:val="0"/>
          <w:numId w:val="45"/>
        </w:numPr>
        <w:rPr>
          <w:sz w:val="20"/>
          <w:szCs w:val="20"/>
        </w:rPr>
      </w:pPr>
      <w:r w:rsidRPr="005A334B">
        <w:rPr>
          <w:sz w:val="20"/>
          <w:szCs w:val="20"/>
          <w:lang w:val="en-US"/>
        </w:rPr>
        <w:t xml:space="preserve">Amann M, et al. (2013) Regional and Global Emissions of Air Pollutants: Recent Trends and Future Scenarios. </w:t>
      </w:r>
      <w:r w:rsidRPr="00501387">
        <w:rPr>
          <w:sz w:val="20"/>
          <w:szCs w:val="20"/>
        </w:rPr>
        <w:t>Annual Review of Environment and Resources 38:31-55.</w:t>
      </w:r>
    </w:p>
    <w:p w:rsidR="00B3550D" w:rsidRPr="00501387" w:rsidRDefault="00B3550D" w:rsidP="00B3550D">
      <w:pPr>
        <w:pStyle w:val="NoSpacing"/>
        <w:numPr>
          <w:ilvl w:val="0"/>
          <w:numId w:val="45"/>
        </w:numPr>
        <w:rPr>
          <w:sz w:val="20"/>
          <w:szCs w:val="20"/>
        </w:rPr>
      </w:pPr>
      <w:r w:rsidRPr="005A334B">
        <w:rPr>
          <w:sz w:val="20"/>
          <w:szCs w:val="20"/>
          <w:lang w:val="en-US"/>
        </w:rPr>
        <w:t xml:space="preserve">Braspenning Radu O, et al. (2016) Exploring synergies between climate and air quality policies using long-term global and regional emission scenarios. </w:t>
      </w:r>
      <w:r w:rsidRPr="00501387">
        <w:rPr>
          <w:sz w:val="20"/>
          <w:szCs w:val="20"/>
        </w:rPr>
        <w:t>Atmospheric Environment 140:577-591.</w:t>
      </w:r>
    </w:p>
    <w:p w:rsidR="00B3550D" w:rsidRPr="00501387" w:rsidRDefault="00B3550D" w:rsidP="00B3550D">
      <w:pPr>
        <w:pStyle w:val="NoSpacing"/>
        <w:numPr>
          <w:ilvl w:val="0"/>
          <w:numId w:val="45"/>
        </w:numPr>
        <w:rPr>
          <w:sz w:val="20"/>
          <w:szCs w:val="20"/>
        </w:rPr>
      </w:pPr>
      <w:r w:rsidRPr="005A334B">
        <w:rPr>
          <w:sz w:val="20"/>
          <w:szCs w:val="20"/>
          <w:lang w:val="en-US"/>
        </w:rPr>
        <w:t xml:space="preserve">Hoesly RM, et al. (2018) Historical (1750–2014) anthropogenic emissions of reactive gases and aerosols from the Community Emissions Data System (CEDS). </w:t>
      </w:r>
      <w:r w:rsidRPr="00501387">
        <w:rPr>
          <w:sz w:val="20"/>
          <w:szCs w:val="20"/>
        </w:rPr>
        <w:t>Geoscientific Model Development 11:369-408.</w:t>
      </w:r>
    </w:p>
    <w:p w:rsidR="00B3550D" w:rsidRPr="005A334B" w:rsidRDefault="00B3550D" w:rsidP="00B3550D">
      <w:pPr>
        <w:pStyle w:val="NoSpacing"/>
        <w:numPr>
          <w:ilvl w:val="0"/>
          <w:numId w:val="45"/>
        </w:numPr>
        <w:rPr>
          <w:sz w:val="20"/>
          <w:szCs w:val="20"/>
          <w:lang w:val="en-US"/>
        </w:rPr>
      </w:pPr>
      <w:r w:rsidRPr="005A334B">
        <w:rPr>
          <w:sz w:val="20"/>
          <w:szCs w:val="20"/>
          <w:lang w:val="en-US"/>
        </w:rPr>
        <w:t>IMO (2018) International Maritime Organization: Amendments to the annex of the protocla of 1997 to amend the international convention for the prevention of pollution from ships (2016)(start date: 1 March 2018).</w:t>
      </w:r>
    </w:p>
    <w:p w:rsidR="00B3550D" w:rsidRPr="00501387" w:rsidRDefault="00B3550D" w:rsidP="00B3550D">
      <w:pPr>
        <w:pStyle w:val="NoSpacing"/>
        <w:numPr>
          <w:ilvl w:val="0"/>
          <w:numId w:val="45"/>
        </w:numPr>
        <w:rPr>
          <w:sz w:val="20"/>
          <w:szCs w:val="20"/>
        </w:rPr>
      </w:pPr>
      <w:r w:rsidRPr="005A334B">
        <w:rPr>
          <w:sz w:val="20"/>
          <w:szCs w:val="20"/>
          <w:lang w:val="en-US"/>
        </w:rPr>
        <w:t xml:space="preserve">Klimont Z, et al. (2002) Modelling Particulate Emissions in Europe A Framework to Estimate Reduction Potential and Control Costs. </w:t>
      </w:r>
      <w:r w:rsidRPr="00501387">
        <w:rPr>
          <w:sz w:val="20"/>
          <w:szCs w:val="20"/>
        </w:rPr>
        <w:t>IIASA Interim Report IR-02-076.</w:t>
      </w:r>
    </w:p>
    <w:p w:rsidR="00B3550D" w:rsidRPr="00501387" w:rsidRDefault="00B3550D" w:rsidP="00B3550D">
      <w:pPr>
        <w:pStyle w:val="NoSpacing"/>
        <w:numPr>
          <w:ilvl w:val="0"/>
          <w:numId w:val="45"/>
        </w:numPr>
        <w:rPr>
          <w:sz w:val="20"/>
          <w:szCs w:val="20"/>
        </w:rPr>
      </w:pPr>
      <w:r w:rsidRPr="005A334B">
        <w:rPr>
          <w:sz w:val="20"/>
          <w:szCs w:val="20"/>
          <w:lang w:val="en-US"/>
        </w:rPr>
        <w:t xml:space="preserve">Klimont Z, et al. (2000) Estimating Costs for Controlling Emissions of volatile organic compounds ( VOC) from Stationary Sources in Europe. </w:t>
      </w:r>
      <w:r w:rsidRPr="00501387">
        <w:rPr>
          <w:sz w:val="20"/>
          <w:szCs w:val="20"/>
        </w:rPr>
        <w:t>IIASA Interim Report, IR-00-51.</w:t>
      </w:r>
    </w:p>
    <w:p w:rsidR="00B3550D" w:rsidRPr="00501387" w:rsidRDefault="00B3550D" w:rsidP="00B3550D">
      <w:pPr>
        <w:pStyle w:val="NoSpacing"/>
        <w:numPr>
          <w:ilvl w:val="0"/>
          <w:numId w:val="45"/>
        </w:numPr>
        <w:rPr>
          <w:sz w:val="20"/>
          <w:szCs w:val="20"/>
        </w:rPr>
      </w:pPr>
      <w:r w:rsidRPr="005A334B">
        <w:rPr>
          <w:sz w:val="20"/>
          <w:szCs w:val="20"/>
          <w:lang w:val="en-US"/>
        </w:rPr>
        <w:t xml:space="preserve">Klimont Z, et al. (2017) Global anthropogenic emissions of particulate matter including black carbon. </w:t>
      </w:r>
      <w:r w:rsidRPr="00501387">
        <w:rPr>
          <w:sz w:val="20"/>
          <w:szCs w:val="20"/>
        </w:rPr>
        <w:t>Atmospheric Chemistry and Physics 17:8681-8723.</w:t>
      </w:r>
    </w:p>
    <w:p w:rsidR="00B3550D" w:rsidRPr="00501387" w:rsidRDefault="00B3550D" w:rsidP="00B3550D">
      <w:pPr>
        <w:pStyle w:val="NoSpacing"/>
        <w:numPr>
          <w:ilvl w:val="0"/>
          <w:numId w:val="45"/>
        </w:numPr>
        <w:rPr>
          <w:sz w:val="20"/>
          <w:szCs w:val="20"/>
        </w:rPr>
      </w:pPr>
      <w:r w:rsidRPr="005A334B">
        <w:rPr>
          <w:sz w:val="20"/>
          <w:szCs w:val="20"/>
          <w:lang w:val="en-US"/>
        </w:rPr>
        <w:t xml:space="preserve">Klimont Z, Winiwarter W (2015) Estimating Costs and Potential for Reduction of Ammonia Emissions from Agriculture in the GAINS Model, in: Reis, S., Howard, C., Sutton, M.A. (Eds.), Costs of Ammonia Abatement and the Climate Co-Benefits. </w:t>
      </w:r>
      <w:r w:rsidRPr="00501387">
        <w:rPr>
          <w:sz w:val="20"/>
          <w:szCs w:val="20"/>
        </w:rPr>
        <w:t>Springer Netherlands, p. 284.</w:t>
      </w:r>
    </w:p>
    <w:p w:rsidR="00B3550D" w:rsidRPr="00501387" w:rsidRDefault="00B3550D" w:rsidP="00B3550D">
      <w:pPr>
        <w:pStyle w:val="NoSpacing"/>
        <w:numPr>
          <w:ilvl w:val="0"/>
          <w:numId w:val="45"/>
        </w:numPr>
        <w:rPr>
          <w:sz w:val="20"/>
          <w:szCs w:val="20"/>
        </w:rPr>
      </w:pPr>
      <w:r w:rsidRPr="005A334B">
        <w:rPr>
          <w:sz w:val="20"/>
          <w:szCs w:val="20"/>
          <w:lang w:val="en-US"/>
        </w:rPr>
        <w:t xml:space="preserve">Rao S, et al. (2016) A multi-model assessment of the co-benefits of climate mitigation for global air quality. </w:t>
      </w:r>
      <w:r w:rsidRPr="00501387">
        <w:rPr>
          <w:sz w:val="20"/>
          <w:szCs w:val="20"/>
        </w:rPr>
        <w:t xml:space="preserve">Environmental Research Letters 11 </w:t>
      </w:r>
    </w:p>
    <w:p w:rsidR="00B3550D" w:rsidRPr="00501387" w:rsidRDefault="00B3550D" w:rsidP="00B3550D">
      <w:pPr>
        <w:pStyle w:val="NoSpacing"/>
        <w:numPr>
          <w:ilvl w:val="0"/>
          <w:numId w:val="45"/>
        </w:numPr>
        <w:rPr>
          <w:sz w:val="20"/>
          <w:szCs w:val="20"/>
        </w:rPr>
      </w:pPr>
      <w:r w:rsidRPr="005A334B">
        <w:rPr>
          <w:sz w:val="20"/>
          <w:szCs w:val="20"/>
          <w:lang w:val="en-US"/>
        </w:rPr>
        <w:t xml:space="preserve">Rao S, et al. (2017) Future air pollution in the Shared Socio-economic Pathways. </w:t>
      </w:r>
      <w:r w:rsidRPr="00501387">
        <w:rPr>
          <w:sz w:val="20"/>
          <w:szCs w:val="20"/>
        </w:rPr>
        <w:t>Global Environmental Change.</w:t>
      </w:r>
    </w:p>
    <w:p w:rsidR="00B3550D" w:rsidRPr="00501387" w:rsidRDefault="00B3550D" w:rsidP="00B3550D">
      <w:pPr>
        <w:pStyle w:val="NoSpacing"/>
        <w:numPr>
          <w:ilvl w:val="0"/>
          <w:numId w:val="45"/>
        </w:numPr>
        <w:rPr>
          <w:sz w:val="20"/>
          <w:szCs w:val="20"/>
        </w:rPr>
      </w:pPr>
      <w:r w:rsidRPr="005A334B">
        <w:rPr>
          <w:sz w:val="20"/>
          <w:szCs w:val="20"/>
          <w:lang w:val="en-US"/>
        </w:rPr>
        <w:t xml:space="preserve">Shindell D, et al. (2012) Simultaneously mitigating near-term climate change and improving human health and food security. </w:t>
      </w:r>
      <w:r w:rsidRPr="00501387">
        <w:rPr>
          <w:sz w:val="20"/>
          <w:szCs w:val="20"/>
        </w:rPr>
        <w:t>Science 335:183-189.</w:t>
      </w:r>
    </w:p>
    <w:p w:rsidR="00B3550D" w:rsidRPr="00501387" w:rsidRDefault="00B3550D" w:rsidP="00B3550D">
      <w:pPr>
        <w:pStyle w:val="NoSpacing"/>
        <w:numPr>
          <w:ilvl w:val="0"/>
          <w:numId w:val="45"/>
        </w:numPr>
        <w:rPr>
          <w:sz w:val="20"/>
          <w:szCs w:val="20"/>
        </w:rPr>
      </w:pPr>
      <w:r w:rsidRPr="005A334B">
        <w:rPr>
          <w:sz w:val="20"/>
          <w:szCs w:val="20"/>
          <w:lang w:val="en-US"/>
        </w:rPr>
        <w:t xml:space="preserve">Stohl A, et al. (2015) Evaluating the climate and air quality impacts of short-lived pollutants. </w:t>
      </w:r>
      <w:r w:rsidRPr="00501387">
        <w:rPr>
          <w:sz w:val="20"/>
          <w:szCs w:val="20"/>
        </w:rPr>
        <w:t>Atmos. Chem. Phys. 15:10529–10566.</w:t>
      </w:r>
    </w:p>
    <w:p w:rsidR="00B3550D" w:rsidRDefault="00B3550D" w:rsidP="00B3550D">
      <w:pPr>
        <w:pStyle w:val="EndNoteBibliography"/>
        <w:tabs>
          <w:tab w:val="left" w:pos="2132"/>
        </w:tabs>
      </w:pPr>
    </w:p>
    <w:p w:rsidR="00B3550D" w:rsidRDefault="00B3550D" w:rsidP="00B3550D">
      <w:pPr>
        <w:rPr>
          <w:rFonts w:ascii="Calibri" w:eastAsiaTheme="majorEastAsia" w:hAnsi="Calibri" w:cstheme="majorBidi"/>
          <w:b/>
          <w:bCs/>
          <w:noProof/>
          <w:sz w:val="24"/>
          <w:szCs w:val="26"/>
          <w:highlight w:val="yellow"/>
          <w:lang w:val="en-US"/>
        </w:rPr>
      </w:pPr>
      <w:r>
        <w:rPr>
          <w:rFonts w:ascii="Calibri" w:hAnsi="Calibri"/>
          <w:noProof/>
          <w:highlight w:val="yellow"/>
          <w:lang w:val="en-US"/>
        </w:rPr>
        <w:lastRenderedPageBreak/>
        <w:t xml:space="preserve"> </w:t>
      </w:r>
      <w:r>
        <w:rPr>
          <w:rFonts w:ascii="Calibri" w:hAnsi="Calibri"/>
          <w:noProof/>
          <w:highlight w:val="yellow"/>
          <w:lang w:val="en-US"/>
        </w:rPr>
        <w:br w:type="page"/>
      </w:r>
    </w:p>
    <w:p w:rsidR="00B3550D" w:rsidRPr="002E3027" w:rsidRDefault="00B3550D" w:rsidP="00B3550D">
      <w:pPr>
        <w:pStyle w:val="Heading3"/>
        <w:rPr>
          <w:noProof/>
          <w:lang w:val="en-US"/>
        </w:rPr>
      </w:pPr>
      <w:r w:rsidRPr="00FD4CCC">
        <w:rPr>
          <w:noProof/>
          <w:lang w:val="en-US"/>
        </w:rPr>
        <w:lastRenderedPageBreak/>
        <w:t>S2. Value of statistical life</w:t>
      </w:r>
      <w:r>
        <w:rPr>
          <w:noProof/>
          <w:lang w:val="en-US"/>
        </w:rPr>
        <w:t xml:space="preserve"> and comparison costs and health benefits</w:t>
      </w:r>
    </w:p>
    <w:p w:rsidR="00B3550D" w:rsidRPr="002E3027" w:rsidRDefault="00B3550D" w:rsidP="00B3550D">
      <w:pPr>
        <w:rPr>
          <w:lang w:val="en-US"/>
        </w:rPr>
      </w:pPr>
    </w:p>
    <w:p w:rsidR="00B3550D" w:rsidRPr="002E3027" w:rsidRDefault="00B3550D" w:rsidP="00B3550D">
      <w:pPr>
        <w:pStyle w:val="NoSpacing"/>
        <w:spacing w:line="276" w:lineRule="auto"/>
        <w:rPr>
          <w:sz w:val="20"/>
          <w:szCs w:val="20"/>
          <w:lang w:val="en-US"/>
        </w:rPr>
      </w:pPr>
      <w:r w:rsidRPr="00FD4CCC">
        <w:rPr>
          <w:b/>
          <w:sz w:val="20"/>
          <w:szCs w:val="20"/>
          <w:lang w:val="en-US"/>
        </w:rPr>
        <w:t>Table S2.1: Value</w:t>
      </w:r>
      <w:r w:rsidRPr="002E3027">
        <w:rPr>
          <w:b/>
          <w:sz w:val="20"/>
          <w:szCs w:val="20"/>
          <w:lang w:val="en-US"/>
        </w:rPr>
        <w:t xml:space="preserve"> of Statistical Life (VSL) including morbidity (in Million 2015$). </w:t>
      </w:r>
      <w:r w:rsidRPr="002E3027">
        <w:rPr>
          <w:sz w:val="20"/>
          <w:szCs w:val="20"/>
          <w:lang w:val="en-US"/>
        </w:rPr>
        <w:t>Method used from</w:t>
      </w:r>
      <w:r w:rsidRPr="002E3027">
        <w:rPr>
          <w:b/>
          <w:sz w:val="20"/>
          <w:szCs w:val="20"/>
          <w:lang w:val="en-US"/>
        </w:rPr>
        <w:t xml:space="preserve"> </w:t>
      </w:r>
      <w:r w:rsidRPr="002E3027">
        <w:rPr>
          <w:sz w:val="20"/>
          <w:szCs w:val="20"/>
          <w:lang w:val="en-US"/>
        </w:rPr>
        <w:fldChar w:fldCharType="begin"/>
      </w:r>
      <w:r>
        <w:rPr>
          <w:sz w:val="20"/>
          <w:szCs w:val="20"/>
          <w:lang w:val="en-US"/>
        </w:rPr>
        <w:instrText xml:space="preserve"> ADDIN EN.CITE &lt;EndNote&gt;&lt;Cite&gt;&lt;Author&gt;Markandya&lt;/Author&gt;&lt;Year&gt;2018&lt;/Year&gt;&lt;RecNum&gt;523&lt;/RecNum&gt;&lt;DisplayText&gt;(Markandya et al., 2018)&lt;/DisplayText&gt;&lt;record&gt;&lt;rec-number&gt;523&lt;/rec-number&gt;&lt;foreign-keys&gt;&lt;key app="EN" db-id="ewxvdw52e55r2gefrsovdxwk0xrz0v2zfp2s" timestamp="1540304668"&gt;523&lt;/key&gt;&lt;/foreign-keys&gt;&lt;ref-type name="Journal Article"&gt;17&lt;/ref-type&gt;&lt;contributors&gt;&lt;authors&gt;&lt;author&gt;Markandya, Anil&lt;/author&gt;&lt;author&gt;Sampedro, Jon&lt;/author&gt;&lt;author&gt;Smith, Steven J.&lt;/author&gt;&lt;author&gt;Van Dingenen, Rita&lt;/author&gt;&lt;author&gt;Pizarro-Irizar, Cristina&lt;/author&gt;&lt;author&gt;Arto, Iñaki&lt;/author&gt;&lt;author&gt;González-Eguino, Mikel&lt;/author&gt;&lt;/authors&gt;&lt;/contributors&gt;&lt;titles&gt;&lt;title&gt;Health co-benefits from air pollution and mitigation costs of the Paris Agreement: a modelling study&lt;/title&gt;&lt;secondary-title&gt;The Lancet Planetary Health&lt;/secondary-title&gt;&lt;/titles&gt;&lt;periodical&gt;&lt;full-title&gt;The Lancet Planetary Health&lt;/full-title&gt;&lt;/periodical&gt;&lt;pages&gt;e126-e133&lt;/pages&gt;&lt;volume&gt;2&lt;/volume&gt;&lt;number&gt;3&lt;/number&gt;&lt;section&gt;e126&lt;/section&gt;&lt;dates&gt;&lt;year&gt;2018&lt;/year&gt;&lt;/dates&gt;&lt;isbn&gt;25425196&lt;/isbn&gt;&lt;urls&gt;&lt;/urls&gt;&lt;electronic-resource-num&gt;10.1016/s2542-5196(18)30029-9&lt;/electronic-resource-num&gt;&lt;/record&gt;&lt;/Cite&gt;&lt;/EndNote&gt;</w:instrText>
      </w:r>
      <w:r w:rsidRPr="002E3027">
        <w:rPr>
          <w:sz w:val="20"/>
          <w:szCs w:val="20"/>
          <w:lang w:val="en-US"/>
        </w:rPr>
        <w:fldChar w:fldCharType="separate"/>
      </w:r>
      <w:r w:rsidRPr="002E3027">
        <w:rPr>
          <w:noProof/>
          <w:sz w:val="20"/>
          <w:szCs w:val="20"/>
          <w:lang w:val="en-US"/>
        </w:rPr>
        <w:t>(Markandya et al., 2018)</w:t>
      </w:r>
      <w:r w:rsidRPr="002E3027">
        <w:rPr>
          <w:sz w:val="20"/>
          <w:szCs w:val="20"/>
          <w:lang w:val="en-US"/>
        </w:rPr>
        <w:fldChar w:fldCharType="end"/>
      </w:r>
      <w:r w:rsidRPr="002E3027">
        <w:rPr>
          <w:sz w:val="20"/>
          <w:szCs w:val="20"/>
          <w:lang w:val="en-US"/>
        </w:rPr>
        <w:t xml:space="preserve">, data from IMAGE SSPs </w:t>
      </w:r>
      <w:r w:rsidRPr="002E3027">
        <w:rPr>
          <w:sz w:val="20"/>
          <w:szCs w:val="20"/>
          <w:lang w:val="en-US"/>
        </w:rPr>
        <w:fldChar w:fldCharType="begin"/>
      </w:r>
      <w:r w:rsidRPr="002E3027">
        <w:rPr>
          <w:sz w:val="20"/>
          <w:szCs w:val="20"/>
          <w:lang w:val="en-US"/>
        </w:rPr>
        <w:instrText xml:space="preserve"> ADDIN EN.CITE &lt;EndNote&gt;&lt;Cite&gt;&lt;Author&gt;Van Vuuren&lt;/Author&gt;&lt;Year&gt;2017&lt;/Year&gt;&lt;RecNum&gt;372&lt;/RecNum&gt;&lt;DisplayText&gt;(Van Vuuren et al., 2017)&lt;/DisplayText&gt;&lt;record&gt;&lt;rec-number&gt;372&lt;/rec-number&gt;&lt;foreign-keys&gt;&lt;key app="EN" db-id="ewxvdw52e55r2gefrsovdxwk0xrz0v2zfp2s" timestamp="1516803772"&gt;372&lt;/key&gt;&lt;/foreign-keys&gt;&lt;ref-type name="Journal Article"&gt;17&lt;/ref-type&gt;&lt;contributors&gt;&lt;authors&gt;&lt;author&gt;Van Vuuren, D.P.&lt;/author&gt;&lt;author&gt;Elke Stehfest&lt;/author&gt;&lt;author&gt;David E.H.J. Gernaat&lt;/author&gt;&lt;author&gt;Jonathan C. Doelman&lt;/author&gt;&lt;author&gt;Maarten van den Berg&lt;/author&gt;&lt;author&gt;Mathijs Harmsen&lt;/author&gt;&lt;author&gt;Harmen Sytze de Boer&lt;/author&gt;&lt;author&gt;Lex F. Bouwman&lt;/author&gt;&lt;author&gt;Vassilis Daioglou&lt;/author&gt;&lt;author&gt;Oreane Y. Edelenbosch&lt;/author&gt;&lt;author&gt;Bastien Girod&lt;/author&gt;&lt;author&gt;Tom Kram&lt;/author&gt;&lt;author&gt;Luis Lassaletta&lt;/author&gt;&lt;author&gt;Paul L. Lucas&lt;/author&gt;&lt;author&gt;Hans van Meijl&lt;/author&gt;&lt;author&gt;Christoph Müller&lt;/author&gt;&lt;author&gt;Bas J. van Ruijven&lt;/author&gt;&lt;author&gt;Sietske van der Sluis&lt;/author&gt;&lt;author&gt;Andrzej Tabeau&lt;/author&gt;&lt;/authors&gt;&lt;/contributors&gt;&lt;titles&gt;&lt;title&gt;Energy, land-use and greenhouse gas emissions trajectories under a green growth paradigm&lt;/title&gt;&lt;secondary-title&gt;Global Environmental Change&lt;/secondary-title&gt;&lt;/titles&gt;&lt;periodical&gt;&lt;full-title&gt;Global Environmental Change&lt;/full-title&gt;&lt;/periodical&gt;&lt;pages&gt;237-250&lt;/pages&gt;&lt;volume&gt;42&lt;/volume&gt;&lt;dates&gt;&lt;year&gt;2017&lt;/year&gt;&lt;/dates&gt;&lt;urls&gt;&lt;/urls&gt;&lt;/record&gt;&lt;/Cite&gt;&lt;/EndNote&gt;</w:instrText>
      </w:r>
      <w:r w:rsidRPr="002E3027">
        <w:rPr>
          <w:sz w:val="20"/>
          <w:szCs w:val="20"/>
          <w:lang w:val="en-US"/>
        </w:rPr>
        <w:fldChar w:fldCharType="separate"/>
      </w:r>
      <w:r w:rsidRPr="002E3027">
        <w:rPr>
          <w:noProof/>
          <w:sz w:val="20"/>
          <w:szCs w:val="20"/>
          <w:lang w:val="en-US"/>
        </w:rPr>
        <w:t>(Van Vuuren et al., 2017)</w:t>
      </w:r>
      <w:r w:rsidRPr="002E3027">
        <w:rPr>
          <w:sz w:val="20"/>
          <w:szCs w:val="20"/>
          <w:lang w:val="en-US"/>
        </w:rPr>
        <w:fldChar w:fldCharType="end"/>
      </w:r>
      <w:r w:rsidRPr="002E3027">
        <w:rPr>
          <w:sz w:val="20"/>
          <w:szCs w:val="20"/>
          <w:lang w:val="en-US"/>
        </w:rPr>
        <w:t>.</w:t>
      </w:r>
    </w:p>
    <w:tbl>
      <w:tblPr>
        <w:tblStyle w:val="GridTable5Dark-Accent1"/>
        <w:tblW w:w="9535" w:type="dxa"/>
        <w:tblLook w:val="04A0" w:firstRow="1" w:lastRow="0" w:firstColumn="1" w:lastColumn="0" w:noHBand="0" w:noVBand="1"/>
      </w:tblPr>
      <w:tblGrid>
        <w:gridCol w:w="2358"/>
        <w:gridCol w:w="1129"/>
        <w:gridCol w:w="1130"/>
        <w:gridCol w:w="1318"/>
        <w:gridCol w:w="1130"/>
        <w:gridCol w:w="1130"/>
        <w:gridCol w:w="1340"/>
      </w:tblGrid>
      <w:tr w:rsidR="00B3550D" w:rsidRPr="000B6EF4" w:rsidTr="00CC659F">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jc w:val="right"/>
              <w:rPr>
                <w:lang w:val="en-US"/>
              </w:rPr>
            </w:pPr>
          </w:p>
        </w:tc>
        <w:tc>
          <w:tcPr>
            <w:tcW w:w="1129" w:type="dxa"/>
            <w:vAlign w:val="center"/>
          </w:tcPr>
          <w:p w:rsidR="00B3550D" w:rsidRPr="002E3027" w:rsidRDefault="00B3550D" w:rsidP="00CC659F">
            <w:pPr>
              <w:pStyle w:val="NoSpacing"/>
              <w:jc w:val="right"/>
              <w:cnfStyle w:val="100000000000" w:firstRow="1" w:lastRow="0" w:firstColumn="0" w:lastColumn="0" w:oddVBand="0" w:evenVBand="0" w:oddHBand="0" w:evenHBand="0" w:firstRowFirstColumn="0" w:firstRowLastColumn="0" w:lastRowFirstColumn="0" w:lastRowLastColumn="0"/>
              <w:rPr>
                <w:lang w:val="en-US"/>
              </w:rPr>
            </w:pPr>
            <w:r w:rsidRPr="002E3027">
              <w:rPr>
                <w:lang w:val="en-US"/>
              </w:rPr>
              <w:t>SSP2</w:t>
            </w:r>
          </w:p>
        </w:tc>
        <w:tc>
          <w:tcPr>
            <w:tcW w:w="1130" w:type="dxa"/>
            <w:vAlign w:val="center"/>
          </w:tcPr>
          <w:p w:rsidR="00B3550D" w:rsidRPr="002E3027" w:rsidRDefault="00B3550D" w:rsidP="00CC659F">
            <w:pPr>
              <w:pStyle w:val="NoSpacing"/>
              <w:jc w:val="right"/>
              <w:cnfStyle w:val="100000000000" w:firstRow="1" w:lastRow="0" w:firstColumn="0" w:lastColumn="0" w:oddVBand="0" w:evenVBand="0" w:oddHBand="0" w:evenHBand="0" w:firstRowFirstColumn="0" w:firstRowLastColumn="0" w:lastRowFirstColumn="0" w:lastRowLastColumn="0"/>
              <w:rPr>
                <w:lang w:val="en-US"/>
              </w:rPr>
            </w:pPr>
          </w:p>
        </w:tc>
        <w:tc>
          <w:tcPr>
            <w:tcW w:w="1318" w:type="dxa"/>
            <w:vAlign w:val="center"/>
          </w:tcPr>
          <w:p w:rsidR="00B3550D" w:rsidRPr="002E3027" w:rsidRDefault="00B3550D" w:rsidP="00CC659F">
            <w:pPr>
              <w:pStyle w:val="NoSpacing"/>
              <w:jc w:val="right"/>
              <w:cnfStyle w:val="100000000000" w:firstRow="1" w:lastRow="0" w:firstColumn="0" w:lastColumn="0" w:oddVBand="0" w:evenVBand="0" w:oddHBand="0" w:evenHBand="0" w:firstRowFirstColumn="0" w:firstRowLastColumn="0" w:lastRowFirstColumn="0" w:lastRowLastColumn="0"/>
              <w:rPr>
                <w:lang w:val="en-US"/>
              </w:rPr>
            </w:pPr>
          </w:p>
        </w:tc>
        <w:tc>
          <w:tcPr>
            <w:tcW w:w="1130" w:type="dxa"/>
            <w:vAlign w:val="center"/>
          </w:tcPr>
          <w:p w:rsidR="00B3550D" w:rsidRPr="002E3027" w:rsidRDefault="00B3550D" w:rsidP="00CC659F">
            <w:pPr>
              <w:pStyle w:val="NoSpacing"/>
              <w:jc w:val="right"/>
              <w:cnfStyle w:val="100000000000" w:firstRow="1" w:lastRow="0" w:firstColumn="0" w:lastColumn="0" w:oddVBand="0" w:evenVBand="0" w:oddHBand="0" w:evenHBand="0" w:firstRowFirstColumn="0" w:firstRowLastColumn="0" w:lastRowFirstColumn="0" w:lastRowLastColumn="0"/>
              <w:rPr>
                <w:lang w:val="en-US"/>
              </w:rPr>
            </w:pPr>
            <w:r w:rsidRPr="002E3027">
              <w:rPr>
                <w:lang w:val="en-US"/>
              </w:rPr>
              <w:t>SSP3</w:t>
            </w:r>
          </w:p>
        </w:tc>
        <w:tc>
          <w:tcPr>
            <w:tcW w:w="1130" w:type="dxa"/>
            <w:vAlign w:val="center"/>
          </w:tcPr>
          <w:p w:rsidR="00B3550D" w:rsidRPr="002E3027" w:rsidRDefault="00B3550D" w:rsidP="00CC659F">
            <w:pPr>
              <w:pStyle w:val="NoSpacing"/>
              <w:jc w:val="right"/>
              <w:cnfStyle w:val="100000000000" w:firstRow="1" w:lastRow="0" w:firstColumn="0" w:lastColumn="0" w:oddVBand="0" w:evenVBand="0" w:oddHBand="0" w:evenHBand="0" w:firstRowFirstColumn="0" w:firstRowLastColumn="0" w:lastRowFirstColumn="0" w:lastRowLastColumn="0"/>
              <w:rPr>
                <w:lang w:val="en-US"/>
              </w:rPr>
            </w:pPr>
          </w:p>
        </w:tc>
        <w:tc>
          <w:tcPr>
            <w:tcW w:w="1340" w:type="dxa"/>
            <w:vAlign w:val="center"/>
          </w:tcPr>
          <w:p w:rsidR="00B3550D" w:rsidRPr="002E3027" w:rsidRDefault="00B3550D" w:rsidP="00CC659F">
            <w:pPr>
              <w:pStyle w:val="NoSpacing"/>
              <w:jc w:val="right"/>
              <w:cnfStyle w:val="100000000000" w:firstRow="1" w:lastRow="0" w:firstColumn="0" w:lastColumn="0" w:oddVBand="0" w:evenVBand="0" w:oddHBand="0" w:evenHBand="0" w:firstRowFirstColumn="0" w:firstRowLastColumn="0" w:lastRowFirstColumn="0" w:lastRowLastColumn="0"/>
              <w:rPr>
                <w:lang w:val="en-US"/>
              </w:rPr>
            </w:pPr>
          </w:p>
        </w:tc>
      </w:tr>
      <w:tr w:rsidR="00B3550D" w:rsidRPr="000B6EF4" w:rsidTr="00CC659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p>
        </w:tc>
        <w:tc>
          <w:tcPr>
            <w:tcW w:w="1129" w:type="dxa"/>
            <w:vAlign w:val="center"/>
          </w:tcPr>
          <w:p w:rsidR="00B3550D" w:rsidRPr="002E3027" w:rsidRDefault="00B3550D" w:rsidP="00CC659F">
            <w:pPr>
              <w:pStyle w:val="NoSpacing"/>
              <w:jc w:val="right"/>
              <w:cnfStyle w:val="000000100000" w:firstRow="0" w:lastRow="0" w:firstColumn="0" w:lastColumn="0" w:oddVBand="0" w:evenVBand="0" w:oddHBand="1" w:evenHBand="0" w:firstRowFirstColumn="0" w:firstRowLastColumn="0" w:lastRowFirstColumn="0" w:lastRowLastColumn="0"/>
              <w:rPr>
                <w:b/>
                <w:lang w:val="en-US"/>
              </w:rPr>
            </w:pPr>
            <w:r w:rsidRPr="002E3027">
              <w:rPr>
                <w:b/>
                <w:lang w:val="en-US"/>
              </w:rPr>
              <w:t>2015</w:t>
            </w:r>
          </w:p>
        </w:tc>
        <w:tc>
          <w:tcPr>
            <w:tcW w:w="1130" w:type="dxa"/>
            <w:vAlign w:val="center"/>
          </w:tcPr>
          <w:p w:rsidR="00B3550D" w:rsidRPr="002E3027" w:rsidRDefault="00B3550D" w:rsidP="00CC659F">
            <w:pPr>
              <w:pStyle w:val="NoSpacing"/>
              <w:jc w:val="right"/>
              <w:cnfStyle w:val="000000100000" w:firstRow="0" w:lastRow="0" w:firstColumn="0" w:lastColumn="0" w:oddVBand="0" w:evenVBand="0" w:oddHBand="1" w:evenHBand="0" w:firstRowFirstColumn="0" w:firstRowLastColumn="0" w:lastRowFirstColumn="0" w:lastRowLastColumn="0"/>
              <w:rPr>
                <w:b/>
                <w:lang w:val="en-US"/>
              </w:rPr>
            </w:pPr>
            <w:r w:rsidRPr="002E3027">
              <w:rPr>
                <w:b/>
                <w:lang w:val="en-US"/>
              </w:rPr>
              <w:t>2030</w:t>
            </w:r>
          </w:p>
        </w:tc>
        <w:tc>
          <w:tcPr>
            <w:tcW w:w="1318" w:type="dxa"/>
            <w:vAlign w:val="center"/>
          </w:tcPr>
          <w:p w:rsidR="00B3550D" w:rsidRPr="002E3027" w:rsidRDefault="00B3550D" w:rsidP="00CC659F">
            <w:pPr>
              <w:pStyle w:val="NoSpacing"/>
              <w:jc w:val="right"/>
              <w:cnfStyle w:val="000000100000" w:firstRow="0" w:lastRow="0" w:firstColumn="0" w:lastColumn="0" w:oddVBand="0" w:evenVBand="0" w:oddHBand="1" w:evenHBand="0" w:firstRowFirstColumn="0" w:firstRowLastColumn="0" w:lastRowFirstColumn="0" w:lastRowLastColumn="0"/>
              <w:rPr>
                <w:b/>
                <w:lang w:val="en-US"/>
              </w:rPr>
            </w:pPr>
            <w:r w:rsidRPr="002E3027">
              <w:rPr>
                <w:b/>
                <w:lang w:val="en-US"/>
              </w:rPr>
              <w:t>2100</w:t>
            </w:r>
          </w:p>
        </w:tc>
        <w:tc>
          <w:tcPr>
            <w:tcW w:w="1130" w:type="dxa"/>
            <w:vAlign w:val="center"/>
          </w:tcPr>
          <w:p w:rsidR="00B3550D" w:rsidRPr="002E3027" w:rsidRDefault="00B3550D" w:rsidP="00CC659F">
            <w:pPr>
              <w:pStyle w:val="NoSpacing"/>
              <w:jc w:val="right"/>
              <w:cnfStyle w:val="000000100000" w:firstRow="0" w:lastRow="0" w:firstColumn="0" w:lastColumn="0" w:oddVBand="0" w:evenVBand="0" w:oddHBand="1" w:evenHBand="0" w:firstRowFirstColumn="0" w:firstRowLastColumn="0" w:lastRowFirstColumn="0" w:lastRowLastColumn="0"/>
              <w:rPr>
                <w:b/>
                <w:lang w:val="en-US"/>
              </w:rPr>
            </w:pPr>
            <w:r w:rsidRPr="002E3027">
              <w:rPr>
                <w:b/>
                <w:lang w:val="en-US"/>
              </w:rPr>
              <w:t>2015</w:t>
            </w:r>
          </w:p>
        </w:tc>
        <w:tc>
          <w:tcPr>
            <w:tcW w:w="1130" w:type="dxa"/>
            <w:vAlign w:val="center"/>
          </w:tcPr>
          <w:p w:rsidR="00B3550D" w:rsidRPr="002E3027" w:rsidRDefault="00B3550D" w:rsidP="00CC659F">
            <w:pPr>
              <w:pStyle w:val="NoSpacing"/>
              <w:jc w:val="right"/>
              <w:cnfStyle w:val="000000100000" w:firstRow="0" w:lastRow="0" w:firstColumn="0" w:lastColumn="0" w:oddVBand="0" w:evenVBand="0" w:oddHBand="1" w:evenHBand="0" w:firstRowFirstColumn="0" w:firstRowLastColumn="0" w:lastRowFirstColumn="0" w:lastRowLastColumn="0"/>
              <w:rPr>
                <w:b/>
                <w:lang w:val="en-US"/>
              </w:rPr>
            </w:pPr>
            <w:r w:rsidRPr="002E3027">
              <w:rPr>
                <w:b/>
                <w:lang w:val="en-US"/>
              </w:rPr>
              <w:t>2030</w:t>
            </w:r>
          </w:p>
        </w:tc>
        <w:tc>
          <w:tcPr>
            <w:tcW w:w="1340" w:type="dxa"/>
            <w:vAlign w:val="center"/>
          </w:tcPr>
          <w:p w:rsidR="00B3550D" w:rsidRPr="002E3027" w:rsidRDefault="00B3550D" w:rsidP="00CC659F">
            <w:pPr>
              <w:pStyle w:val="NoSpacing"/>
              <w:jc w:val="right"/>
              <w:cnfStyle w:val="000000100000" w:firstRow="0" w:lastRow="0" w:firstColumn="0" w:lastColumn="0" w:oddVBand="0" w:evenVBand="0" w:oddHBand="1" w:evenHBand="0" w:firstRowFirstColumn="0" w:firstRowLastColumn="0" w:lastRowFirstColumn="0" w:lastRowLastColumn="0"/>
              <w:rPr>
                <w:b/>
                <w:lang w:val="en-US"/>
              </w:rPr>
            </w:pPr>
            <w:r w:rsidRPr="002E3027">
              <w:rPr>
                <w:b/>
                <w:lang w:val="en-US"/>
              </w:rPr>
              <w:t>2100</w:t>
            </w:r>
          </w:p>
        </w:tc>
      </w:tr>
      <w:tr w:rsidR="00B3550D" w:rsidRPr="002E3027" w:rsidTr="00CC659F">
        <w:trPr>
          <w:trHeight w:val="238"/>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Brazil</w:t>
            </w:r>
          </w:p>
        </w:tc>
        <w:tc>
          <w:tcPr>
            <w:tcW w:w="1129"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0B6EF4">
              <w:rPr>
                <w:sz w:val="18"/>
                <w:lang w:val="en-US"/>
              </w:rPr>
              <w:t>1.1 (0.6-1.6)</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0B6EF4">
              <w:rPr>
                <w:sz w:val="18"/>
                <w:lang w:val="en-US"/>
              </w:rPr>
              <w:t>1.5 (0.9-2.2)</w:t>
            </w:r>
          </w:p>
        </w:tc>
        <w:tc>
          <w:tcPr>
            <w:tcW w:w="1318"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0B6EF4">
              <w:rPr>
                <w:sz w:val="18"/>
                <w:lang w:val="en-US"/>
              </w:rPr>
              <w:t>4.5 (2.6-6.5)</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0B6EF4">
              <w:rPr>
                <w:sz w:val="18"/>
                <w:lang w:val="en-US"/>
              </w:rPr>
              <w:t>1.0 (0.6-1.6)</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0B6EF4">
              <w:rPr>
                <w:sz w:val="18"/>
                <w:lang w:val="en-US"/>
              </w:rPr>
              <w:t>1.4 (0.8-2.0)</w:t>
            </w:r>
          </w:p>
        </w:tc>
        <w:tc>
          <w:tcPr>
            <w:tcW w:w="134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0B6EF4">
              <w:rPr>
                <w:sz w:val="18"/>
                <w:lang w:val="en-US"/>
              </w:rPr>
              <w:t>1</w:t>
            </w:r>
            <w:r w:rsidRPr="001C4E54">
              <w:rPr>
                <w:sz w:val="18"/>
              </w:rPr>
              <w:t>.5 (0.8-2.1)</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Canada</w:t>
            </w:r>
          </w:p>
        </w:tc>
        <w:tc>
          <w:tcPr>
            <w:tcW w:w="1129"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4.6 (2.6-6.5)</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5.2 (3.0-7.4)</w:t>
            </w:r>
          </w:p>
        </w:tc>
        <w:tc>
          <w:tcPr>
            <w:tcW w:w="1318"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10.2 (5.8-14.6)</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4.6 (2.6-6.5)</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5.2 (3.0-7.5)</w:t>
            </w:r>
          </w:p>
        </w:tc>
        <w:tc>
          <w:tcPr>
            <w:tcW w:w="134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10.9 (6.2-15.6)</w:t>
            </w:r>
          </w:p>
        </w:tc>
      </w:tr>
      <w:tr w:rsidR="00B3550D" w:rsidRPr="002E3027" w:rsidTr="00CC659F">
        <w:trPr>
          <w:trHeight w:val="274"/>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Central Europe</w:t>
            </w:r>
          </w:p>
        </w:tc>
        <w:tc>
          <w:tcPr>
            <w:tcW w:w="1129"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1.6 (0.9-2.2)</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2.2 (1.3-3.2)</w:t>
            </w:r>
          </w:p>
        </w:tc>
        <w:tc>
          <w:tcPr>
            <w:tcW w:w="1318"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6.5 (3.7-9.3)</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1.6 (0.9-2.2)</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2.1 (1.2-3.0)</w:t>
            </w:r>
          </w:p>
        </w:tc>
        <w:tc>
          <w:tcPr>
            <w:tcW w:w="134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3.7 (2.1-5.3)</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China+</w:t>
            </w:r>
          </w:p>
        </w:tc>
        <w:tc>
          <w:tcPr>
            <w:tcW w:w="1129"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1.0 (0.6-1.5)</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2.3 (1.3-3.3)</w:t>
            </w:r>
          </w:p>
        </w:tc>
        <w:tc>
          <w:tcPr>
            <w:tcW w:w="1318"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6.7 (3.8-9.6)</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1.1 (0.6-1.5)</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2.1 (1.2-3.0)</w:t>
            </w:r>
          </w:p>
        </w:tc>
        <w:tc>
          <w:tcPr>
            <w:tcW w:w="134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3.2 (1.8-4.5)</w:t>
            </w:r>
          </w:p>
        </w:tc>
      </w:tr>
      <w:tr w:rsidR="00B3550D" w:rsidRPr="002E3027" w:rsidTr="00CC659F">
        <w:trPr>
          <w:trHeight w:val="274"/>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East Africa</w:t>
            </w:r>
          </w:p>
        </w:tc>
        <w:tc>
          <w:tcPr>
            <w:tcW w:w="1129"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0.2 (0.1-0.2)</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0.3 (0.1-0.4)</w:t>
            </w:r>
          </w:p>
        </w:tc>
        <w:tc>
          <w:tcPr>
            <w:tcW w:w="1318"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3.8 (2.2-5.4)</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Pr>
                <w:sz w:val="18"/>
              </w:rPr>
              <w:t>0.1</w:t>
            </w:r>
            <w:r w:rsidRPr="001C4E54">
              <w:rPr>
                <w:sz w:val="18"/>
              </w:rPr>
              <w:t xml:space="preserve"> (0.1-0.2)</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0.2 (0.1-0.3)</w:t>
            </w:r>
          </w:p>
        </w:tc>
        <w:tc>
          <w:tcPr>
            <w:tcW w:w="134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0.9 (0.5-1.3)</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India</w:t>
            </w:r>
          </w:p>
        </w:tc>
        <w:tc>
          <w:tcPr>
            <w:tcW w:w="1129"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0.2 (0.2-0.5)</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0.6 (0.4-0.9)</w:t>
            </w:r>
          </w:p>
        </w:tc>
        <w:tc>
          <w:tcPr>
            <w:tcW w:w="1318"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3.8 (2.2-5.5)</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0.3 (0.2-0.5)</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0.6 (0.3-0.8)</w:t>
            </w:r>
          </w:p>
        </w:tc>
        <w:tc>
          <w:tcPr>
            <w:tcW w:w="134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1.1 (0.6-1.5)</w:t>
            </w:r>
          </w:p>
        </w:tc>
      </w:tr>
      <w:tr w:rsidR="00B3550D" w:rsidRPr="002E3027" w:rsidTr="00CC659F">
        <w:trPr>
          <w:trHeight w:val="254"/>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Indonesia</w:t>
            </w:r>
          </w:p>
        </w:tc>
        <w:tc>
          <w:tcPr>
            <w:tcW w:w="1129"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0.5 (0.3-0.7)</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1.0 (0.5-1.4)</w:t>
            </w:r>
          </w:p>
        </w:tc>
        <w:tc>
          <w:tcPr>
            <w:tcW w:w="1318"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5.5 (3.2-7.9)</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0.5 (0.3-0.7)</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0.9 (0.5-1.2)</w:t>
            </w:r>
          </w:p>
        </w:tc>
        <w:tc>
          <w:tcPr>
            <w:tcW w:w="134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1.9 (1.1-2.7)</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Japan</w:t>
            </w:r>
          </w:p>
        </w:tc>
        <w:tc>
          <w:tcPr>
            <w:tcW w:w="1129"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4.5 (2.6-6.5)</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5.2 (3.0-7.5)</w:t>
            </w:r>
          </w:p>
        </w:tc>
        <w:tc>
          <w:tcPr>
            <w:tcW w:w="1318"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11.1 (6.3-15.8)</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4.5 (2.6-6.5)</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5.2 (3.0-7.4)</w:t>
            </w:r>
          </w:p>
        </w:tc>
        <w:tc>
          <w:tcPr>
            <w:tcW w:w="134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7.9 (4.5-11.3)</w:t>
            </w:r>
          </w:p>
        </w:tc>
      </w:tr>
      <w:tr w:rsidR="00B3550D" w:rsidRPr="002E3027" w:rsidTr="00CC659F">
        <w:trPr>
          <w:trHeight w:val="220"/>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Korea</w:t>
            </w:r>
          </w:p>
        </w:tc>
        <w:tc>
          <w:tcPr>
            <w:tcW w:w="1129"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2.4 (1.4-3.5)</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3.6 (2.0-5.1)</w:t>
            </w:r>
          </w:p>
        </w:tc>
        <w:tc>
          <w:tcPr>
            <w:tcW w:w="1318"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9.0 (5.2-12.9)</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2.4 (1.4-3.5)</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3.5 (2.0-5.0)</w:t>
            </w:r>
          </w:p>
        </w:tc>
        <w:tc>
          <w:tcPr>
            <w:tcW w:w="134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6.9 (4.0-9.9)</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Middle East</w:t>
            </w:r>
          </w:p>
        </w:tc>
        <w:tc>
          <w:tcPr>
            <w:tcW w:w="1129"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1.2 (0.7-1.6)</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1.5 (0.9-2.2)</w:t>
            </w:r>
          </w:p>
        </w:tc>
        <w:tc>
          <w:tcPr>
            <w:tcW w:w="1318"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4.4 (2.5-6.3)</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1.1 (0.7-1.6)</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1.4 (0.8-2.1)</w:t>
            </w:r>
          </w:p>
        </w:tc>
        <w:tc>
          <w:tcPr>
            <w:tcW w:w="134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1.9 (1.1-2.8)</w:t>
            </w:r>
          </w:p>
        </w:tc>
      </w:tr>
      <w:tr w:rsidR="00B3550D" w:rsidRPr="002E3027" w:rsidTr="00CC659F">
        <w:trPr>
          <w:trHeight w:val="274"/>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Mexico</w:t>
            </w:r>
          </w:p>
        </w:tc>
        <w:tc>
          <w:tcPr>
            <w:tcW w:w="1129"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1.5 (0.8-2.1)</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2.0 (1.1-2.8)</w:t>
            </w:r>
          </w:p>
        </w:tc>
        <w:tc>
          <w:tcPr>
            <w:tcW w:w="1318"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7.4 (4.2-10.6)</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1.5 (0.8-2.1)</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1.8 (1.0-2.6)</w:t>
            </w:r>
          </w:p>
        </w:tc>
        <w:tc>
          <w:tcPr>
            <w:tcW w:w="134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2.8 (1.6-3.9)</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North Africa</w:t>
            </w:r>
          </w:p>
        </w:tc>
        <w:tc>
          <w:tcPr>
            <w:tcW w:w="1129"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0.6 (0.3-0.8)</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0.9 (0.5-1.2)</w:t>
            </w:r>
          </w:p>
        </w:tc>
        <w:tc>
          <w:tcPr>
            <w:tcW w:w="1318"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4.3 (2.5-6.1)</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0.5 (0.3-0.8)</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0.8 (0.4-1.1)</w:t>
            </w:r>
          </w:p>
        </w:tc>
        <w:tc>
          <w:tcPr>
            <w:tcW w:w="134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1.8 (1.0-2.6)</w:t>
            </w:r>
          </w:p>
        </w:tc>
      </w:tr>
      <w:tr w:rsidR="00B3550D" w:rsidRPr="002E3027" w:rsidTr="00CC659F">
        <w:trPr>
          <w:trHeight w:val="247"/>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Oceania</w:t>
            </w:r>
          </w:p>
        </w:tc>
        <w:tc>
          <w:tcPr>
            <w:tcW w:w="1129"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4.1 (2.4-5.9)</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4.9 (2.8-6.9)</w:t>
            </w:r>
          </w:p>
        </w:tc>
        <w:tc>
          <w:tcPr>
            <w:tcW w:w="1318"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10.1 (5.8-14.5)</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4.1 (2.3-5.9)</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4.8 (2.7-6.8)</w:t>
            </w:r>
          </w:p>
        </w:tc>
        <w:tc>
          <w:tcPr>
            <w:tcW w:w="134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6.8 (3.9-9.7)</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Central America</w:t>
            </w:r>
          </w:p>
        </w:tc>
        <w:tc>
          <w:tcPr>
            <w:tcW w:w="1129"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0.9 (0.5-1.3)</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1.3 (0.8-1.9)</w:t>
            </w:r>
          </w:p>
        </w:tc>
        <w:tc>
          <w:tcPr>
            <w:tcW w:w="1318"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8.0 (4.6-11.5)</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0.9 (0.5-1.3)</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1.2 (0.7-1.7)</w:t>
            </w:r>
          </w:p>
        </w:tc>
        <w:tc>
          <w:tcPr>
            <w:tcW w:w="134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2.8 (1.6-4.0)</w:t>
            </w:r>
          </w:p>
        </w:tc>
      </w:tr>
      <w:tr w:rsidR="00B3550D" w:rsidRPr="002E3027" w:rsidTr="00CC659F">
        <w:trPr>
          <w:trHeight w:val="229"/>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Rest of South Africa</w:t>
            </w:r>
          </w:p>
        </w:tc>
        <w:tc>
          <w:tcPr>
            <w:tcW w:w="1129"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w:t>
            </w:r>
            <w:r>
              <w:rPr>
                <w:sz w:val="18"/>
              </w:rPr>
              <w:t>2</w:t>
            </w:r>
            <w:r w:rsidRPr="001C4E54">
              <w:rPr>
                <w:sz w:val="18"/>
              </w:rPr>
              <w:t xml:space="preserve"> (0.2-0.4)</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0.4 (0.2-0.6)</w:t>
            </w:r>
          </w:p>
        </w:tc>
        <w:tc>
          <w:tcPr>
            <w:tcW w:w="1318"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4.6 (2.6-6.6)</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0.3 (0.2-0.4)</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0.4 (0.2-0.5)</w:t>
            </w:r>
          </w:p>
        </w:tc>
        <w:tc>
          <w:tcPr>
            <w:tcW w:w="134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1.2 (0.7-1.8)</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Rest of South-America</w:t>
            </w:r>
          </w:p>
        </w:tc>
        <w:tc>
          <w:tcPr>
            <w:tcW w:w="1129"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1.0 (0.6-1.5)</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1.5 (0.8-2.1)</w:t>
            </w:r>
          </w:p>
        </w:tc>
        <w:tc>
          <w:tcPr>
            <w:tcW w:w="1318"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5.5 (3.2-7.9)</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1.0 (0.6-1.4)</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1.4 (0.8-1.9)</w:t>
            </w:r>
          </w:p>
        </w:tc>
        <w:tc>
          <w:tcPr>
            <w:tcW w:w="134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2.5 (1.5-3.6)</w:t>
            </w:r>
          </w:p>
        </w:tc>
      </w:tr>
      <w:tr w:rsidR="00B3550D" w:rsidRPr="002E3027" w:rsidTr="00CC659F">
        <w:trPr>
          <w:trHeight w:val="274"/>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Rest of South Asia</w:t>
            </w:r>
          </w:p>
        </w:tc>
        <w:tc>
          <w:tcPr>
            <w:tcW w:w="1129"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0.2 (0.1-0.3)</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0.3 (0.2-0.5)</w:t>
            </w:r>
          </w:p>
        </w:tc>
        <w:tc>
          <w:tcPr>
            <w:tcW w:w="1318"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3.2 (1.8-4.5)</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0.2 (0.1-0.3)</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0.3 (0.2-0.4)</w:t>
            </w:r>
          </w:p>
        </w:tc>
        <w:tc>
          <w:tcPr>
            <w:tcW w:w="134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0.9 (0.5-1.3)</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Russia</w:t>
            </w:r>
          </w:p>
        </w:tc>
        <w:tc>
          <w:tcPr>
            <w:tcW w:w="1129"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1.2 (0.7-1.8)</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1.9 (1.1-2.7)</w:t>
            </w:r>
          </w:p>
        </w:tc>
        <w:tc>
          <w:tcPr>
            <w:tcW w:w="1318"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4.8 (2.8-6.9)</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1.2 (0.7-1.7)</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1.8 (1.0-2.6)</w:t>
            </w:r>
          </w:p>
        </w:tc>
        <w:tc>
          <w:tcPr>
            <w:tcW w:w="134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2.9 (1.7-4.2)</w:t>
            </w:r>
          </w:p>
        </w:tc>
      </w:tr>
      <w:tr w:rsidR="00B3550D" w:rsidRPr="002E3027" w:rsidTr="00CC659F">
        <w:trPr>
          <w:trHeight w:val="274"/>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South Africa</w:t>
            </w:r>
          </w:p>
        </w:tc>
        <w:tc>
          <w:tcPr>
            <w:tcW w:w="1129"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1.1 (0.6-1.6)</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1.7 (1.0-2.4)</w:t>
            </w:r>
          </w:p>
        </w:tc>
        <w:tc>
          <w:tcPr>
            <w:tcW w:w="1318"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5.7 (3.2-8.1)</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1.1 (0.6-1.6)</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1.6 (0.9-2.2)</w:t>
            </w:r>
          </w:p>
        </w:tc>
        <w:tc>
          <w:tcPr>
            <w:tcW w:w="134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2.8 (1.6-4.0)</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South East Asia</w:t>
            </w:r>
          </w:p>
        </w:tc>
        <w:tc>
          <w:tcPr>
            <w:tcW w:w="1129"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0.6 (0.3-0.8)</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0.9 (0.5-1.3)</w:t>
            </w:r>
          </w:p>
        </w:tc>
        <w:tc>
          <w:tcPr>
            <w:tcW w:w="1318"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4.5 (2.6-6.4)</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0.6 (0.3-0.8)</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0.8 (0.5-1.2)</w:t>
            </w:r>
          </w:p>
        </w:tc>
        <w:tc>
          <w:tcPr>
            <w:tcW w:w="134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1.9 (1.1-2.7)</w:t>
            </w:r>
          </w:p>
        </w:tc>
      </w:tr>
      <w:tr w:rsidR="00B3550D" w:rsidRPr="002E3027" w:rsidTr="00CC659F">
        <w:trPr>
          <w:trHeight w:val="238"/>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Kazakhstan</w:t>
            </w:r>
          </w:p>
        </w:tc>
        <w:tc>
          <w:tcPr>
            <w:tcW w:w="1129"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0.6 (0.3-0.8)</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1.1 (0.6-1.6)</w:t>
            </w:r>
          </w:p>
        </w:tc>
        <w:tc>
          <w:tcPr>
            <w:tcW w:w="1318"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3.7 (2.1-5.2)</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w:t>
            </w:r>
            <w:r>
              <w:rPr>
                <w:sz w:val="18"/>
              </w:rPr>
              <w:t>6</w:t>
            </w:r>
            <w:r w:rsidRPr="001C4E54">
              <w:rPr>
                <w:sz w:val="18"/>
              </w:rPr>
              <w:t xml:space="preserve"> (0.3-0.8)</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1.0 (0.6-1.5)</w:t>
            </w:r>
          </w:p>
        </w:tc>
        <w:tc>
          <w:tcPr>
            <w:tcW w:w="134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2.0 (1.2-2.9)</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Turkey</w:t>
            </w:r>
          </w:p>
        </w:tc>
        <w:tc>
          <w:tcPr>
            <w:tcW w:w="1129"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1.5 (0.8-2.1)</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2.1 (1.2-3.0)</w:t>
            </w:r>
          </w:p>
        </w:tc>
        <w:tc>
          <w:tcPr>
            <w:tcW w:w="1318"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6.7 (3.8-9.5)</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1.4 (0.8-2.1)</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1.9 (1.1-2.7)</w:t>
            </w:r>
          </w:p>
        </w:tc>
        <w:tc>
          <w:tcPr>
            <w:tcW w:w="134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2.7 (1.6-3.9)</w:t>
            </w:r>
          </w:p>
        </w:tc>
      </w:tr>
      <w:tr w:rsidR="00B3550D" w:rsidRPr="002E3027" w:rsidTr="00CC659F">
        <w:trPr>
          <w:trHeight w:val="274"/>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Ukraine</w:t>
            </w:r>
          </w:p>
        </w:tc>
        <w:tc>
          <w:tcPr>
            <w:tcW w:w="1129"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0.6 (0.3-0.8)</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0.9 (0.5-1.3)</w:t>
            </w:r>
          </w:p>
        </w:tc>
        <w:tc>
          <w:tcPr>
            <w:tcW w:w="1318"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3.8 (2.2-5.5)</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0.6 (0.3-0.8)</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0.8 (0.5-1.2)</w:t>
            </w:r>
          </w:p>
        </w:tc>
        <w:tc>
          <w:tcPr>
            <w:tcW w:w="134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2.1 (1.2-3.0)</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USA</w:t>
            </w:r>
          </w:p>
        </w:tc>
        <w:tc>
          <w:tcPr>
            <w:tcW w:w="1129"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5.1 (2.9-7.4)</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6.1 (3.5-8.7)</w:t>
            </w:r>
          </w:p>
        </w:tc>
        <w:tc>
          <w:tcPr>
            <w:tcW w:w="1318"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8.7 (5.0-12.4)</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5.1 (2.9-7.3)</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6.1 (3.5-8.7)</w:t>
            </w:r>
          </w:p>
        </w:tc>
        <w:tc>
          <w:tcPr>
            <w:tcW w:w="134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7.9 (4.5-11.3)</w:t>
            </w:r>
          </w:p>
        </w:tc>
      </w:tr>
      <w:tr w:rsidR="00B3550D" w:rsidRPr="002E3027" w:rsidTr="00CC659F">
        <w:trPr>
          <w:trHeight w:val="274"/>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West Africa</w:t>
            </w:r>
          </w:p>
        </w:tc>
        <w:tc>
          <w:tcPr>
            <w:tcW w:w="1129"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0.2 (0.1-0.3)</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0.4 (0.2-0.6)</w:t>
            </w:r>
          </w:p>
        </w:tc>
        <w:tc>
          <w:tcPr>
            <w:tcW w:w="1318"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5.1 (2.9-7.3)</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0.2 (0.1-0.3)</w:t>
            </w: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0.3 (0.2-0.5)</w:t>
            </w:r>
          </w:p>
        </w:tc>
        <w:tc>
          <w:tcPr>
            <w:tcW w:w="134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r w:rsidRPr="001C4E54">
              <w:rPr>
                <w:sz w:val="18"/>
              </w:rPr>
              <w:t>1.4 (0.8-2.0)</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r w:rsidRPr="002E3027">
              <w:rPr>
                <w:lang w:val="en-US"/>
              </w:rPr>
              <w:t>West Europe</w:t>
            </w:r>
          </w:p>
        </w:tc>
        <w:tc>
          <w:tcPr>
            <w:tcW w:w="1129"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4.3 (2.5-6.2)</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4.9 (2.8-7.0)</w:t>
            </w:r>
          </w:p>
        </w:tc>
        <w:tc>
          <w:tcPr>
            <w:tcW w:w="1318"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11.2 (6.4-16.0)</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4.3 (2.5-6.2)</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4.8 (</w:t>
            </w:r>
            <w:r>
              <w:rPr>
                <w:sz w:val="18"/>
              </w:rPr>
              <w:t>2.8-</w:t>
            </w:r>
            <w:r w:rsidRPr="001C4E54">
              <w:rPr>
                <w:sz w:val="18"/>
              </w:rPr>
              <w:t>6.9)</w:t>
            </w:r>
          </w:p>
        </w:tc>
        <w:tc>
          <w:tcPr>
            <w:tcW w:w="134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sz w:val="18"/>
                <w:lang w:val="en-US"/>
              </w:rPr>
            </w:pPr>
            <w:r w:rsidRPr="001C4E54">
              <w:rPr>
                <w:sz w:val="18"/>
              </w:rPr>
              <w:t>8.0 (4.6-11.5)</w:t>
            </w:r>
          </w:p>
        </w:tc>
      </w:tr>
      <w:tr w:rsidR="00B3550D" w:rsidRPr="002E3027" w:rsidTr="00CC659F">
        <w:trPr>
          <w:trHeight w:val="274"/>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lang w:val="en-US"/>
              </w:rPr>
            </w:pPr>
          </w:p>
        </w:tc>
        <w:tc>
          <w:tcPr>
            <w:tcW w:w="1129"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p>
        </w:tc>
        <w:tc>
          <w:tcPr>
            <w:tcW w:w="1318"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p>
        </w:tc>
        <w:tc>
          <w:tcPr>
            <w:tcW w:w="113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p>
        </w:tc>
        <w:tc>
          <w:tcPr>
            <w:tcW w:w="1340" w:type="dxa"/>
            <w:vAlign w:val="center"/>
          </w:tcPr>
          <w:p w:rsidR="00B3550D" w:rsidRPr="001C4E54" w:rsidRDefault="00B3550D" w:rsidP="00CC659F">
            <w:pPr>
              <w:pStyle w:val="NoSpacing"/>
              <w:cnfStyle w:val="000000000000" w:firstRow="0" w:lastRow="0" w:firstColumn="0" w:lastColumn="0" w:oddVBand="0" w:evenVBand="0" w:oddHBand="0" w:evenHBand="0" w:firstRowFirstColumn="0" w:firstRowLastColumn="0" w:lastRowFirstColumn="0" w:lastRowLastColumn="0"/>
              <w:rPr>
                <w:sz w:val="18"/>
                <w:lang w:val="en-US"/>
              </w:rPr>
            </w:pPr>
          </w:p>
        </w:tc>
      </w:tr>
      <w:tr w:rsidR="00B3550D" w:rsidRPr="002E3027" w:rsidTr="00CC659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2358" w:type="dxa"/>
            <w:vAlign w:val="center"/>
          </w:tcPr>
          <w:p w:rsidR="00B3550D" w:rsidRPr="002E3027" w:rsidRDefault="00B3550D" w:rsidP="00CC659F">
            <w:pPr>
              <w:pStyle w:val="NoSpacing"/>
              <w:rPr>
                <w:i/>
                <w:lang w:val="en-US"/>
              </w:rPr>
            </w:pPr>
            <w:r w:rsidRPr="002E3027">
              <w:rPr>
                <w:i/>
                <w:lang w:val="en-US"/>
              </w:rPr>
              <w:t>World</w:t>
            </w:r>
          </w:p>
        </w:tc>
        <w:tc>
          <w:tcPr>
            <w:tcW w:w="1129"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b/>
                <w:i/>
                <w:sz w:val="18"/>
                <w:lang w:val="en-US"/>
              </w:rPr>
            </w:pPr>
            <w:r w:rsidRPr="001C4E54">
              <w:rPr>
                <w:b/>
                <w:i/>
                <w:sz w:val="18"/>
              </w:rPr>
              <w:t>1.4 (0.8-1.9)</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b/>
                <w:i/>
                <w:sz w:val="18"/>
                <w:lang w:val="en-US"/>
              </w:rPr>
            </w:pPr>
            <w:r w:rsidRPr="001C4E54">
              <w:rPr>
                <w:b/>
                <w:i/>
                <w:sz w:val="18"/>
              </w:rPr>
              <w:t>1.8 (1.0-2.6)</w:t>
            </w:r>
          </w:p>
        </w:tc>
        <w:tc>
          <w:tcPr>
            <w:tcW w:w="1318"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b/>
                <w:i/>
                <w:sz w:val="18"/>
                <w:lang w:val="en-US"/>
              </w:rPr>
            </w:pPr>
            <w:r w:rsidRPr="001C4E54">
              <w:rPr>
                <w:b/>
                <w:i/>
                <w:sz w:val="18"/>
              </w:rPr>
              <w:t>5.5 (3.1-7.8)</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b/>
                <w:i/>
                <w:sz w:val="18"/>
                <w:lang w:val="en-US"/>
              </w:rPr>
            </w:pPr>
            <w:r w:rsidRPr="001C4E54">
              <w:rPr>
                <w:b/>
                <w:i/>
                <w:sz w:val="18"/>
              </w:rPr>
              <w:t>1.3 (0.8-1.9)</w:t>
            </w:r>
          </w:p>
        </w:tc>
        <w:tc>
          <w:tcPr>
            <w:tcW w:w="113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b/>
                <w:i/>
                <w:sz w:val="18"/>
                <w:lang w:val="en-US"/>
              </w:rPr>
            </w:pPr>
            <w:r w:rsidRPr="001C4E54">
              <w:rPr>
                <w:b/>
                <w:i/>
                <w:sz w:val="18"/>
              </w:rPr>
              <w:t>1.7 (1.0-2.4)</w:t>
            </w:r>
          </w:p>
        </w:tc>
        <w:tc>
          <w:tcPr>
            <w:tcW w:w="1340" w:type="dxa"/>
            <w:vAlign w:val="center"/>
          </w:tcPr>
          <w:p w:rsidR="00B3550D" w:rsidRPr="001C4E54" w:rsidRDefault="00B3550D" w:rsidP="00CC659F">
            <w:pPr>
              <w:pStyle w:val="NoSpacing"/>
              <w:cnfStyle w:val="000000100000" w:firstRow="0" w:lastRow="0" w:firstColumn="0" w:lastColumn="0" w:oddVBand="0" w:evenVBand="0" w:oddHBand="1" w:evenHBand="0" w:firstRowFirstColumn="0" w:firstRowLastColumn="0" w:lastRowFirstColumn="0" w:lastRowLastColumn="0"/>
              <w:rPr>
                <w:b/>
                <w:i/>
                <w:sz w:val="18"/>
                <w:lang w:val="en-US"/>
              </w:rPr>
            </w:pPr>
            <w:r w:rsidRPr="001C4E54">
              <w:rPr>
                <w:b/>
                <w:i/>
                <w:sz w:val="18"/>
              </w:rPr>
              <w:t>2.1 (1.2-3.0)</w:t>
            </w:r>
          </w:p>
        </w:tc>
      </w:tr>
    </w:tbl>
    <w:p w:rsidR="00B3550D" w:rsidRPr="002E3027" w:rsidRDefault="00B3550D" w:rsidP="00B3550D">
      <w:pPr>
        <w:rPr>
          <w:rFonts w:ascii="Calibri" w:eastAsiaTheme="majorEastAsia" w:hAnsi="Calibri" w:cstheme="majorBidi"/>
          <w:b/>
          <w:bCs/>
          <w:noProof/>
          <w:sz w:val="24"/>
          <w:szCs w:val="26"/>
          <w:highlight w:val="yellow"/>
          <w:lang w:val="en-US"/>
        </w:rPr>
      </w:pPr>
    </w:p>
    <w:p w:rsidR="00B3550D" w:rsidRDefault="00B3550D" w:rsidP="00B3550D">
      <w:pPr>
        <w:rPr>
          <w:rFonts w:ascii="Calibri" w:eastAsiaTheme="majorEastAsia" w:hAnsi="Calibri" w:cstheme="majorBidi"/>
          <w:b/>
          <w:bCs/>
          <w:noProof/>
          <w:sz w:val="24"/>
          <w:szCs w:val="26"/>
          <w:highlight w:val="yellow"/>
          <w:lang w:val="en-US"/>
        </w:rPr>
      </w:pPr>
      <w:r>
        <w:rPr>
          <w:rFonts w:ascii="Calibri" w:eastAsiaTheme="majorEastAsia" w:hAnsi="Calibri" w:cstheme="majorBidi"/>
          <w:b/>
          <w:bCs/>
          <w:noProof/>
          <w:sz w:val="24"/>
          <w:szCs w:val="26"/>
          <w:highlight w:val="yellow"/>
          <w:lang w:val="en-US"/>
        </w:rPr>
        <w:br w:type="page"/>
      </w:r>
    </w:p>
    <w:p w:rsidR="00B3550D" w:rsidRPr="00B16012" w:rsidRDefault="00B3550D" w:rsidP="00B3550D">
      <w:pPr>
        <w:jc w:val="both"/>
        <w:rPr>
          <w:sz w:val="20"/>
          <w:szCs w:val="20"/>
          <w:lang w:val="en-US"/>
        </w:rPr>
      </w:pPr>
      <w:r w:rsidRPr="00B16012">
        <w:rPr>
          <w:b/>
          <w:sz w:val="20"/>
          <w:szCs w:val="20"/>
          <w:lang w:val="en-US"/>
        </w:rPr>
        <w:lastRenderedPageBreak/>
        <w:t xml:space="preserve">Figure S2.1 </w:t>
      </w:r>
      <w:r>
        <w:rPr>
          <w:b/>
          <w:sz w:val="20"/>
          <w:szCs w:val="20"/>
          <w:lang w:val="en-US"/>
        </w:rPr>
        <w:t>Economic c</w:t>
      </w:r>
      <w:r w:rsidRPr="00B16012">
        <w:rPr>
          <w:b/>
          <w:sz w:val="20"/>
          <w:szCs w:val="20"/>
          <w:lang w:val="en-US"/>
        </w:rPr>
        <w:t>osts</w:t>
      </w:r>
      <w:r>
        <w:rPr>
          <w:b/>
          <w:sz w:val="20"/>
          <w:szCs w:val="20"/>
          <w:lang w:val="en-US"/>
        </w:rPr>
        <w:t xml:space="preserve"> of</w:t>
      </w:r>
      <w:r w:rsidRPr="00B16012">
        <w:rPr>
          <w:b/>
          <w:sz w:val="20"/>
          <w:szCs w:val="20"/>
          <w:lang w:val="en-US"/>
        </w:rPr>
        <w:t xml:space="preserve"> climate </w:t>
      </w:r>
      <w:r>
        <w:rPr>
          <w:b/>
          <w:sz w:val="20"/>
          <w:szCs w:val="20"/>
          <w:lang w:val="en-US"/>
        </w:rPr>
        <w:t xml:space="preserve">policy </w:t>
      </w:r>
      <w:r w:rsidRPr="00B16012">
        <w:rPr>
          <w:b/>
          <w:sz w:val="20"/>
          <w:szCs w:val="20"/>
          <w:lang w:val="en-US"/>
        </w:rPr>
        <w:t>and air quality policy</w:t>
      </w:r>
      <w:r>
        <w:rPr>
          <w:b/>
          <w:sz w:val="20"/>
          <w:szCs w:val="20"/>
          <w:lang w:val="en-US"/>
        </w:rPr>
        <w:t xml:space="preserve"> combined vs VSL health benefits</w:t>
      </w:r>
      <w:r w:rsidRPr="00B16012">
        <w:rPr>
          <w:b/>
          <w:sz w:val="20"/>
          <w:szCs w:val="20"/>
          <w:lang w:val="en-US"/>
        </w:rPr>
        <w:t>.</w:t>
      </w:r>
      <w:r w:rsidRPr="00B16012">
        <w:rPr>
          <w:sz w:val="20"/>
          <w:szCs w:val="20"/>
          <w:lang w:val="en-US"/>
        </w:rPr>
        <w:t xml:space="preserve"> Shown by world region </w:t>
      </w:r>
      <w:r>
        <w:rPr>
          <w:sz w:val="20"/>
          <w:szCs w:val="20"/>
          <w:lang w:val="en-US"/>
        </w:rPr>
        <w:t>for</w:t>
      </w:r>
      <w:r w:rsidRPr="00B16012">
        <w:rPr>
          <w:sz w:val="20"/>
          <w:szCs w:val="20"/>
          <w:lang w:val="en-US"/>
        </w:rPr>
        <w:t xml:space="preserve"> the periods 2015-2030 (left) and 2015-2100 (right).</w:t>
      </w:r>
      <w:r>
        <w:rPr>
          <w:sz w:val="20"/>
          <w:szCs w:val="20"/>
          <w:lang w:val="en-US"/>
        </w:rPr>
        <w:t xml:space="preserve"> Costs and benefits are shown in comparison to the baselines (SSP2 and SSP3).</w:t>
      </w:r>
      <w:r w:rsidRPr="00B16012">
        <w:rPr>
          <w:sz w:val="20"/>
          <w:szCs w:val="20"/>
          <w:lang w:val="en-US"/>
        </w:rPr>
        <w:t xml:space="preserve"> Positive values represent cumulative discounted costs of air quality </w:t>
      </w:r>
      <w:r>
        <w:rPr>
          <w:sz w:val="20"/>
          <w:szCs w:val="20"/>
          <w:lang w:val="en-US"/>
        </w:rPr>
        <w:t xml:space="preserve">(i.e. air pollution controls) </w:t>
      </w:r>
      <w:r w:rsidRPr="00B16012">
        <w:rPr>
          <w:sz w:val="20"/>
          <w:szCs w:val="20"/>
          <w:lang w:val="en-US"/>
        </w:rPr>
        <w:t>and climate policy combined (discount rate: 5%). Negative values represent cumulative discounted benefits when applying the VSL from table S2.1 with the regional mortality in the scenarios. Whiskers indicate the global benefits at the low and high VSL estimates. LAM = Latin Amerika, MAF = Middle-East and Africa</w:t>
      </w:r>
      <w:r>
        <w:rPr>
          <w:sz w:val="20"/>
          <w:szCs w:val="20"/>
          <w:lang w:val="en-US"/>
        </w:rPr>
        <w:t xml:space="preserve">, REF = </w:t>
      </w:r>
      <w:r w:rsidRPr="005C4D1C">
        <w:rPr>
          <w:sz w:val="20"/>
          <w:szCs w:val="20"/>
          <w:lang w:val="en-US"/>
        </w:rPr>
        <w:t>Former Soviet Union</w:t>
      </w:r>
      <w:r>
        <w:rPr>
          <w:sz w:val="20"/>
          <w:szCs w:val="20"/>
          <w:lang w:val="en-US"/>
        </w:rPr>
        <w:t xml:space="preserve"> and r</w:t>
      </w:r>
      <w:r w:rsidRPr="005C4D1C">
        <w:rPr>
          <w:sz w:val="20"/>
          <w:szCs w:val="20"/>
          <w:lang w:val="en-US"/>
        </w:rPr>
        <w:t xml:space="preserve">eforming </w:t>
      </w:r>
      <w:r>
        <w:rPr>
          <w:sz w:val="20"/>
          <w:szCs w:val="20"/>
          <w:lang w:val="en-US"/>
        </w:rPr>
        <w:t>e</w:t>
      </w:r>
      <w:r w:rsidRPr="005C4D1C">
        <w:rPr>
          <w:sz w:val="20"/>
          <w:szCs w:val="20"/>
          <w:lang w:val="en-US"/>
        </w:rPr>
        <w:t>conomies of Eastern Europe.</w:t>
      </w:r>
      <w:r w:rsidRPr="00B16012">
        <w:rPr>
          <w:sz w:val="20"/>
          <w:szCs w:val="20"/>
          <w:lang w:val="en-US"/>
        </w:rPr>
        <w:t xml:space="preserve"> Note different scales on the y-axes.</w:t>
      </w:r>
    </w:p>
    <w:p w:rsidR="00B3550D" w:rsidRDefault="00B3550D" w:rsidP="00B3550D">
      <w:pPr>
        <w:rPr>
          <w:rFonts w:ascii="Calibri" w:hAnsi="Calibri"/>
          <w:noProof/>
          <w:lang w:val="en-US"/>
        </w:rPr>
      </w:pPr>
      <w:r w:rsidRPr="006C4E0B">
        <w:rPr>
          <w:rFonts w:ascii="Calibri" w:hAnsi="Calibri"/>
          <w:noProof/>
          <w:lang w:eastAsia="nl-NL"/>
        </w:rPr>
        <w:drawing>
          <wp:inline distT="0" distB="0" distL="0" distR="0" wp14:anchorId="32CCABA5" wp14:editId="70E1B194">
            <wp:extent cx="5760720" cy="213512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135128"/>
                    </a:xfrm>
                    <a:prstGeom prst="rect">
                      <a:avLst/>
                    </a:prstGeom>
                    <a:noFill/>
                    <a:ln>
                      <a:noFill/>
                    </a:ln>
                  </pic:spPr>
                </pic:pic>
              </a:graphicData>
            </a:graphic>
          </wp:inline>
        </w:drawing>
      </w:r>
    </w:p>
    <w:p w:rsidR="00B3550D" w:rsidRDefault="00B3550D" w:rsidP="00B3550D">
      <w:pPr>
        <w:jc w:val="both"/>
        <w:rPr>
          <w:rFonts w:ascii="Calibri" w:hAnsi="Calibri"/>
          <w:noProof/>
          <w:lang w:val="en-US"/>
        </w:rPr>
      </w:pPr>
      <w:r>
        <w:rPr>
          <w:rFonts w:ascii="Calibri" w:hAnsi="Calibri"/>
          <w:noProof/>
          <w:lang w:val="en-US"/>
        </w:rPr>
        <w:t>In this section, the costs of climate policy and air pollutant control are compared to the monitized health benefits, using the VSL in combination with the number of avoided deaths. Note that this can only serve as an indication of the size of both values and not as a direct comparison, since both variables describe a fundamentally different type of cost (direct first order investments vs. percieved societal costs).</w:t>
      </w:r>
    </w:p>
    <w:p w:rsidR="00B3550D" w:rsidRDefault="00B3550D" w:rsidP="00B3550D">
      <w:pPr>
        <w:jc w:val="both"/>
        <w:rPr>
          <w:rFonts w:ascii="Calibri" w:hAnsi="Calibri"/>
          <w:noProof/>
          <w:lang w:val="en-US"/>
        </w:rPr>
      </w:pPr>
      <w:r>
        <w:rPr>
          <w:rFonts w:ascii="Calibri" w:hAnsi="Calibri"/>
          <w:noProof/>
          <w:lang w:val="en-US"/>
        </w:rPr>
        <w:t xml:space="preserve">In Figure S2.1, the region-specific results of the policy costs (climate and air quality combined) / VSL-based health benefits analysis are presented. </w:t>
      </w:r>
      <w:r>
        <w:rPr>
          <w:lang w:val="en-US"/>
        </w:rPr>
        <w:t xml:space="preserve">Since the avoided climate impacts are excluded from the analysis, it is limited to understanding the </w:t>
      </w:r>
      <w:r>
        <w:rPr>
          <w:rFonts w:ascii="Calibri" w:hAnsi="Calibri"/>
          <w:lang w:val="en-US"/>
        </w:rPr>
        <w:t>air quality</w:t>
      </w:r>
      <w:r>
        <w:rPr>
          <w:lang w:val="en-US"/>
        </w:rPr>
        <w:t xml:space="preserve"> health benefits in relation to policy costs. </w:t>
      </w:r>
      <w:r w:rsidRPr="009B2741">
        <w:rPr>
          <w:lang w:val="en-US"/>
        </w:rPr>
        <w:t>Note</w:t>
      </w:r>
      <w:r>
        <w:rPr>
          <w:lang w:val="en-US"/>
        </w:rPr>
        <w:t xml:space="preserve"> further</w:t>
      </w:r>
      <w:r w:rsidRPr="009B2741">
        <w:rPr>
          <w:lang w:val="en-US"/>
        </w:rPr>
        <w:t xml:space="preserve"> that </w:t>
      </w:r>
      <w:r>
        <w:rPr>
          <w:lang w:val="en-US"/>
        </w:rPr>
        <w:t xml:space="preserve">this analysis can only be considered indicative and conservative since the </w:t>
      </w:r>
      <w:r>
        <w:rPr>
          <w:rFonts w:ascii="Calibri" w:hAnsi="Calibri"/>
          <w:lang w:val="en-US"/>
        </w:rPr>
        <w:t>indoor air pollution</w:t>
      </w:r>
      <w:r w:rsidRPr="009B2741">
        <w:rPr>
          <w:lang w:val="en-US"/>
        </w:rPr>
        <w:t xml:space="preserve"> </w:t>
      </w:r>
      <w:r>
        <w:rPr>
          <w:lang w:val="en-US"/>
        </w:rPr>
        <w:t>health benefit is also not included. If it would have been, it</w:t>
      </w:r>
      <w:r w:rsidRPr="009B2741">
        <w:rPr>
          <w:lang w:val="en-US"/>
        </w:rPr>
        <w:t xml:space="preserve"> would</w:t>
      </w:r>
      <w:r>
        <w:rPr>
          <w:lang w:val="en-US"/>
        </w:rPr>
        <w:t xml:space="preserve"> likely</w:t>
      </w:r>
      <w:r w:rsidRPr="009B2741">
        <w:rPr>
          <w:lang w:val="en-US"/>
        </w:rPr>
        <w:t xml:space="preserve"> lead to higher benefits (especially in Africa</w:t>
      </w:r>
      <w:r>
        <w:rPr>
          <w:lang w:val="en-US"/>
        </w:rPr>
        <w:t xml:space="preserve"> where </w:t>
      </w:r>
      <w:r>
        <w:rPr>
          <w:rFonts w:ascii="Calibri" w:hAnsi="Calibri"/>
          <w:lang w:val="en-US"/>
        </w:rPr>
        <w:t>indoor air pollution</w:t>
      </w:r>
      <w:r>
        <w:rPr>
          <w:lang w:val="en-US"/>
        </w:rPr>
        <w:t xml:space="preserve"> related mortality is relatively high</w:t>
      </w:r>
      <w:r w:rsidRPr="009B2741">
        <w:rPr>
          <w:lang w:val="en-US"/>
        </w:rPr>
        <w:t>)</w:t>
      </w:r>
      <w:r>
        <w:rPr>
          <w:lang w:val="en-US"/>
        </w:rPr>
        <w:t xml:space="preserve">. </w:t>
      </w:r>
    </w:p>
    <w:p w:rsidR="00B3550D" w:rsidRPr="009B2741" w:rsidRDefault="00B3550D" w:rsidP="00B3550D">
      <w:pPr>
        <w:jc w:val="both"/>
        <w:rPr>
          <w:lang w:val="en-US"/>
        </w:rPr>
      </w:pPr>
    </w:p>
    <w:p w:rsidR="00B3550D" w:rsidRDefault="00B3550D" w:rsidP="00B3550D">
      <w:pPr>
        <w:spacing w:line="276" w:lineRule="auto"/>
        <w:jc w:val="both"/>
        <w:rPr>
          <w:lang w:val="en-US"/>
        </w:rPr>
      </w:pPr>
      <w:r>
        <w:rPr>
          <w:rFonts w:ascii="Calibri" w:hAnsi="Calibri"/>
          <w:noProof/>
          <w:lang w:val="en-US"/>
        </w:rPr>
        <w:t>When applying a medium value of the VSL, the</w:t>
      </w:r>
      <w:r w:rsidRPr="00B76992">
        <w:rPr>
          <w:lang w:val="en-US"/>
        </w:rPr>
        <w:t xml:space="preserve"> global health benefits from reduced outdoor air pollution are of the same order of magnitude</w:t>
      </w:r>
      <w:r>
        <w:rPr>
          <w:lang w:val="en-US"/>
        </w:rPr>
        <w:t xml:space="preserve"> as the climate policy costs and </w:t>
      </w:r>
      <w:r>
        <w:rPr>
          <w:rFonts w:ascii="Calibri" w:hAnsi="Calibri"/>
          <w:lang w:val="en-US"/>
        </w:rPr>
        <w:t>air quality</w:t>
      </w:r>
      <w:r>
        <w:rPr>
          <w:lang w:val="en-US"/>
        </w:rPr>
        <w:t xml:space="preserve"> policy costs (additional to the baseline). This is consistent with findings from </w:t>
      </w:r>
      <w:r>
        <w:rPr>
          <w:lang w:val="en-US"/>
        </w:rPr>
        <w:fldChar w:fldCharType="begin"/>
      </w:r>
      <w:r>
        <w:rPr>
          <w:lang w:val="en-US"/>
        </w:rPr>
        <w:instrText xml:space="preserve"> ADDIN EN.CITE &lt;EndNote&gt;&lt;Cite AuthorYear="1"&gt;&lt;Author&gt;Kitous&lt;/Author&gt;&lt;Year&gt;2017&lt;/Year&gt;&lt;RecNum&gt;547&lt;/RecNum&gt;&lt;DisplayText&gt;Kitous et al. (2017)&lt;/DisplayText&gt;&lt;record&gt;&lt;rec-number&gt;547&lt;/rec-number&gt;&lt;foreign-keys&gt;&lt;key app="EN" db-id="ewxvdw52e55r2gefrsovdxwk0xrz0v2zfp2s" timestamp="1543254053"&gt;547&lt;/key&gt;&lt;/foreign-keys&gt;&lt;ref-type name="Journal Article"&gt;17&lt;/ref-type&gt;&lt;contributors&gt;&lt;authors&gt;&lt;author&gt;Kitous, A.&lt;/author&gt;&lt;author&gt;Keramidas, K.&lt;/author&gt;&lt;author&gt;Vandyck, T.&lt;/author&gt;&lt;author&gt;Saveyn, B.&lt;/author&gt;&lt;author&gt;Van Dingenen, R.&lt;/author&gt;&lt;author&gt;Spadaro, J. &lt;/author&gt;&lt;author&gt;Holland, M.&lt;/author&gt;&lt;/authors&gt;&lt;/contributors&gt;&lt;titles&gt;&lt;title&gt;Global Energy and Climate Outlook 2017: How climate policies improve air quality, Joint Research Centre (Seville site)&lt;/title&gt;&lt;/titles&gt;&lt;dates&gt;&lt;year&gt;2017&lt;/year&gt;&lt;/dates&gt;&lt;urls&gt;&lt;/urls&gt;&lt;/record&gt;&lt;/Cite&gt;&lt;/EndNote&gt;</w:instrText>
      </w:r>
      <w:r>
        <w:rPr>
          <w:lang w:val="en-US"/>
        </w:rPr>
        <w:fldChar w:fldCharType="separate"/>
      </w:r>
      <w:r>
        <w:rPr>
          <w:noProof/>
          <w:lang w:val="en-US"/>
        </w:rPr>
        <w:t>Kitous et al. (2017)</w:t>
      </w:r>
      <w:r>
        <w:rPr>
          <w:lang w:val="en-US"/>
        </w:rPr>
        <w:fldChar w:fldCharType="end"/>
      </w:r>
      <w:r>
        <w:rPr>
          <w:lang w:val="en-US"/>
        </w:rPr>
        <w:t xml:space="preserve"> and </w:t>
      </w:r>
      <w:r>
        <w:rPr>
          <w:lang w:val="en-US"/>
        </w:rPr>
        <w:fldChar w:fldCharType="begin"/>
      </w:r>
      <w:r>
        <w:rPr>
          <w:lang w:val="en-US"/>
        </w:rPr>
        <w:instrText xml:space="preserve"> ADDIN EN.CITE &lt;EndNote&gt;&lt;Cite AuthorYear="1"&gt;&lt;Author&gt;Markandya&lt;/Author&gt;&lt;Year&gt;2018&lt;/Year&gt;&lt;RecNum&gt;523&lt;/RecNum&gt;&lt;DisplayText&gt;Markandya et al. (2018)&lt;/DisplayText&gt;&lt;record&gt;&lt;rec-number&gt;523&lt;/rec-number&gt;&lt;foreign-keys&gt;&lt;key app="EN" db-id="ewxvdw52e55r2gefrsovdxwk0xrz0v2zfp2s" timestamp="1540304668"&gt;523&lt;/key&gt;&lt;/foreign-keys&gt;&lt;ref-type name="Journal Article"&gt;17&lt;/ref-type&gt;&lt;contributors&gt;&lt;authors&gt;&lt;author&gt;Markandya, Anil&lt;/author&gt;&lt;author&gt;Sampedro, Jon&lt;/author&gt;&lt;author&gt;Smith, Steven J.&lt;/author&gt;&lt;author&gt;Van Dingenen, Rita&lt;/author&gt;&lt;author&gt;Pizarro-Irizar, Cristina&lt;/author&gt;&lt;author&gt;Arto, Iñaki&lt;/author&gt;&lt;author&gt;González-Eguino, Mikel&lt;/author&gt;&lt;/authors&gt;&lt;/contributors&gt;&lt;titles&gt;&lt;title&gt;Health co-benefits from air pollution and mitigation costs of the Paris Agreement: a modelling study&lt;/title&gt;&lt;secondary-title&gt;The Lancet Planetary Health&lt;/secondary-title&gt;&lt;/titles&gt;&lt;periodical&gt;&lt;full-title&gt;The Lancet Planetary Health&lt;/full-title&gt;&lt;/periodical&gt;&lt;pages&gt;e126-e133&lt;/pages&gt;&lt;volume&gt;2&lt;/volume&gt;&lt;number&gt;3&lt;/number&gt;&lt;section&gt;e126&lt;/section&gt;&lt;dates&gt;&lt;year&gt;2018&lt;/year&gt;&lt;/dates&gt;&lt;isbn&gt;25425196&lt;/isbn&gt;&lt;urls&gt;&lt;/urls&gt;&lt;electronic-resource-num&gt;10.1016/s2542-5196(18)30029-9&lt;/electronic-resource-num&gt;&lt;/record&gt;&lt;/Cite&gt;&lt;/EndNote&gt;</w:instrText>
      </w:r>
      <w:r>
        <w:rPr>
          <w:lang w:val="en-US"/>
        </w:rPr>
        <w:fldChar w:fldCharType="separate"/>
      </w:r>
      <w:r>
        <w:rPr>
          <w:noProof/>
          <w:lang w:val="en-US"/>
        </w:rPr>
        <w:t>Markandya et al. (2018)</w:t>
      </w:r>
      <w:r>
        <w:rPr>
          <w:lang w:val="en-US"/>
        </w:rPr>
        <w:fldChar w:fldCharType="end"/>
      </w:r>
      <w:r>
        <w:rPr>
          <w:lang w:val="en-US"/>
        </w:rPr>
        <w:t xml:space="preserve">. Figure S2.2 shows the net result of this analysis, when costs and benefits cancel each other out. </w:t>
      </w:r>
    </w:p>
    <w:p w:rsidR="00B3550D" w:rsidRDefault="00B3550D" w:rsidP="00B3550D">
      <w:pPr>
        <w:spacing w:line="276" w:lineRule="auto"/>
        <w:jc w:val="both"/>
        <w:rPr>
          <w:lang w:val="en-US"/>
        </w:rPr>
      </w:pPr>
      <w:r>
        <w:rPr>
          <w:lang w:val="en-US"/>
        </w:rPr>
        <w:t>When applying</w:t>
      </w:r>
      <w:r w:rsidRPr="00B76992">
        <w:rPr>
          <w:lang w:val="en-US"/>
        </w:rPr>
        <w:t xml:space="preserve"> a medium value of the VSL</w:t>
      </w:r>
      <w:r>
        <w:rPr>
          <w:lang w:val="en-US"/>
        </w:rPr>
        <w:t xml:space="preserve"> (upper panels), ambitious air pollution measures are cost-effective from a global perspective in all scenarios (especially for all Health scenarios but also in the Climate scenarios). Compared to the baseline cases, the benefits in terms of avoided deaths outweigh all policy costs (climate and </w:t>
      </w:r>
      <w:r>
        <w:rPr>
          <w:rFonts w:ascii="Calibri" w:hAnsi="Calibri"/>
          <w:lang w:val="en-US"/>
        </w:rPr>
        <w:t>air quality</w:t>
      </w:r>
      <w:r>
        <w:rPr>
          <w:lang w:val="en-US"/>
        </w:rPr>
        <w:t xml:space="preserve">). This is similar for the short and long term. </w:t>
      </w:r>
    </w:p>
    <w:p w:rsidR="00B3550D" w:rsidRDefault="00B3550D" w:rsidP="00B3550D">
      <w:pPr>
        <w:spacing w:line="276" w:lineRule="auto"/>
        <w:jc w:val="both"/>
        <w:rPr>
          <w:lang w:val="en-US"/>
        </w:rPr>
      </w:pPr>
      <w:r>
        <w:rPr>
          <w:lang w:val="en-US"/>
        </w:rPr>
        <w:t xml:space="preserve">The net global benefits are mostly realized in China and India. </w:t>
      </w:r>
      <w:r w:rsidRPr="00A7299B">
        <w:rPr>
          <w:lang w:val="en-US"/>
        </w:rPr>
        <w:t>There are net positive costs in the OECD and REF (former Soviet states and reformed Eastern European countries), because of better pollution controls in the baseline (i.e. a lower health benefit) and relatively high policy costs (</w:t>
      </w:r>
      <w:r>
        <w:rPr>
          <w:rFonts w:ascii="Calibri" w:hAnsi="Calibri"/>
          <w:lang w:val="en-US"/>
        </w:rPr>
        <w:t>air quality</w:t>
      </w:r>
      <w:r w:rsidRPr="00A7299B">
        <w:rPr>
          <w:lang w:val="en-US"/>
        </w:rPr>
        <w:t xml:space="preserve"> and </w:t>
      </w:r>
      <w:r w:rsidRPr="00A7299B">
        <w:rPr>
          <w:lang w:val="en-US"/>
        </w:rPr>
        <w:lastRenderedPageBreak/>
        <w:t>climate).</w:t>
      </w:r>
      <w:r>
        <w:rPr>
          <w:lang w:val="en-US"/>
        </w:rPr>
        <w:t xml:space="preserve"> In most scenarios, there are also net costs in MAF (Middle-East and Africa) because of relatively lower VSL values.</w:t>
      </w:r>
    </w:p>
    <w:p w:rsidR="00B3550D" w:rsidRPr="00A7299B" w:rsidRDefault="00B3550D" w:rsidP="00B3550D">
      <w:pPr>
        <w:spacing w:line="276" w:lineRule="auto"/>
        <w:jc w:val="both"/>
        <w:rPr>
          <w:lang w:val="en-US"/>
        </w:rPr>
      </w:pPr>
      <w:r>
        <w:rPr>
          <w:lang w:val="en-US"/>
        </w:rPr>
        <w:t>Over the whole century, cl</w:t>
      </w:r>
      <w:r w:rsidRPr="00A7299B">
        <w:rPr>
          <w:lang w:val="en-US"/>
        </w:rPr>
        <w:t xml:space="preserve">imate mitigation scenarios without additional </w:t>
      </w:r>
      <w:r>
        <w:rPr>
          <w:rFonts w:ascii="Calibri" w:hAnsi="Calibri"/>
          <w:lang w:val="en-US"/>
        </w:rPr>
        <w:t>air quality</w:t>
      </w:r>
      <w:r w:rsidRPr="00A7299B">
        <w:rPr>
          <w:lang w:val="en-US"/>
        </w:rPr>
        <w:t xml:space="preserve"> policy (SSP2_26 and SSP3_34) </w:t>
      </w:r>
      <w:r>
        <w:rPr>
          <w:lang w:val="en-US"/>
        </w:rPr>
        <w:t xml:space="preserve">are generally </w:t>
      </w:r>
      <w:r w:rsidRPr="00A7299B">
        <w:rPr>
          <w:lang w:val="en-US"/>
        </w:rPr>
        <w:t>not</w:t>
      </w:r>
      <w:r>
        <w:rPr>
          <w:lang w:val="en-US"/>
        </w:rPr>
        <w:t xml:space="preserve"> found to be</w:t>
      </w:r>
      <w:r w:rsidRPr="00A7299B">
        <w:rPr>
          <w:lang w:val="en-US"/>
        </w:rPr>
        <w:t xml:space="preserve"> cost-effective</w:t>
      </w:r>
      <w:r>
        <w:rPr>
          <w:lang w:val="en-US"/>
        </w:rPr>
        <w:t xml:space="preserve"> when only considering health benefits (note that this picture changes when climate benefits would also be considered). Benefits are 73%-75% of total costs. </w:t>
      </w:r>
    </w:p>
    <w:p w:rsidR="00B3550D" w:rsidRPr="00287C53" w:rsidRDefault="00B3550D" w:rsidP="00B3550D">
      <w:pPr>
        <w:spacing w:line="276" w:lineRule="auto"/>
        <w:jc w:val="both"/>
        <w:rPr>
          <w:lang w:val="en-US"/>
        </w:rPr>
      </w:pPr>
      <w:r w:rsidRPr="00A7299B">
        <w:rPr>
          <w:lang w:val="en-US"/>
        </w:rPr>
        <w:t>When applying the lower (conservative) value of the VSL (center panels)</w:t>
      </w:r>
      <w:r>
        <w:rPr>
          <w:lang w:val="en-US"/>
        </w:rPr>
        <w:t>, ambitious air pollution measures in the baseline cases (SSP2_Health, SSP3_Health, SSP2_Climate, SSP3_Climate) are still cost-effective from a global standpoint, with the net benefits almost exclusively realized in China, India and the rest of Asia. There is mixed picture when climate policy comes into play. In the SSP2_26 cases, the climate policy costs are higher than the health benefits. The SSP3_34 cases with additional air pollution measures can be cost-effective, but only when considering the costs and benefits until 2030 (until 2100 the costs are higher). To understand the impact of the choice of the discount rate, Figure S2.3 shows the results with a medium VSL value, but now with a discount rate of 2% (roughly similar to global economic growth). With this discount rate, the general image remains unchanged, only costs and benefits are much higher, especially in the long term.</w:t>
      </w:r>
    </w:p>
    <w:p w:rsidR="00B3550D" w:rsidRPr="00B16012" w:rsidRDefault="00B3550D" w:rsidP="00B3550D">
      <w:pPr>
        <w:jc w:val="both"/>
        <w:rPr>
          <w:sz w:val="20"/>
          <w:szCs w:val="20"/>
          <w:lang w:val="en-US"/>
        </w:rPr>
      </w:pPr>
      <w:r w:rsidRPr="00B16012">
        <w:rPr>
          <w:b/>
          <w:sz w:val="20"/>
          <w:szCs w:val="20"/>
          <w:lang w:val="en-US"/>
        </w:rPr>
        <w:t>Figure S2.</w:t>
      </w:r>
      <w:r>
        <w:rPr>
          <w:b/>
          <w:sz w:val="20"/>
          <w:szCs w:val="20"/>
          <w:lang w:val="en-US"/>
        </w:rPr>
        <w:t>2</w:t>
      </w:r>
      <w:r w:rsidRPr="00B16012">
        <w:rPr>
          <w:b/>
          <w:sz w:val="20"/>
          <w:szCs w:val="20"/>
          <w:lang w:val="en-US"/>
        </w:rPr>
        <w:t xml:space="preserve"> </w:t>
      </w:r>
      <w:r>
        <w:rPr>
          <w:b/>
          <w:sz w:val="20"/>
          <w:szCs w:val="20"/>
          <w:lang w:val="en-US"/>
        </w:rPr>
        <w:t>Net c</w:t>
      </w:r>
      <w:r w:rsidRPr="00B16012">
        <w:rPr>
          <w:b/>
          <w:sz w:val="20"/>
          <w:szCs w:val="20"/>
          <w:lang w:val="en-US"/>
        </w:rPr>
        <w:t>osts and benefits of climate policy and air quality policy.</w:t>
      </w:r>
      <w:r>
        <w:rPr>
          <w:b/>
          <w:sz w:val="20"/>
          <w:szCs w:val="20"/>
          <w:lang w:val="en-US"/>
        </w:rPr>
        <w:t xml:space="preserve"> </w:t>
      </w:r>
      <w:r>
        <w:rPr>
          <w:sz w:val="20"/>
          <w:szCs w:val="20"/>
          <w:lang w:val="en-US"/>
        </w:rPr>
        <w:t>Costs and benefits are shown in comparison to the baselines (SSP2 and SSP3).</w:t>
      </w:r>
      <w:r w:rsidRPr="00B16012">
        <w:rPr>
          <w:sz w:val="20"/>
          <w:szCs w:val="20"/>
          <w:lang w:val="en-US"/>
        </w:rPr>
        <w:t xml:space="preserve"> </w:t>
      </w:r>
      <w:r>
        <w:rPr>
          <w:sz w:val="20"/>
          <w:szCs w:val="20"/>
          <w:lang w:val="en-US"/>
        </w:rPr>
        <w:t xml:space="preserve">Values represent costs minus benefits (both cumulative discounted with a 5% discount rate) from Figure S2.1 </w:t>
      </w:r>
      <w:r w:rsidRPr="00B16012">
        <w:rPr>
          <w:sz w:val="20"/>
          <w:szCs w:val="20"/>
          <w:lang w:val="en-US"/>
        </w:rPr>
        <w:t xml:space="preserve">by world region </w:t>
      </w:r>
      <w:r>
        <w:rPr>
          <w:sz w:val="20"/>
          <w:szCs w:val="20"/>
          <w:lang w:val="en-US"/>
        </w:rPr>
        <w:t>for</w:t>
      </w:r>
      <w:r w:rsidRPr="00B16012">
        <w:rPr>
          <w:sz w:val="20"/>
          <w:szCs w:val="20"/>
          <w:lang w:val="en-US"/>
        </w:rPr>
        <w:t xml:space="preserve"> the periods 2015-2030 (left) and 2015-2100 (right). </w:t>
      </w:r>
      <w:r w:rsidRPr="00B76992">
        <w:rPr>
          <w:b/>
          <w:sz w:val="20"/>
          <w:szCs w:val="20"/>
          <w:u w:val="single"/>
          <w:lang w:val="en-US"/>
        </w:rPr>
        <w:t>Upper panels</w:t>
      </w:r>
      <w:r>
        <w:rPr>
          <w:sz w:val="20"/>
          <w:szCs w:val="20"/>
          <w:lang w:val="en-US"/>
        </w:rPr>
        <w:t xml:space="preserve">: medium value for VSL, </w:t>
      </w:r>
      <w:r w:rsidRPr="00B76992">
        <w:rPr>
          <w:b/>
          <w:sz w:val="20"/>
          <w:szCs w:val="20"/>
          <w:u w:val="single"/>
          <w:lang w:val="en-US"/>
        </w:rPr>
        <w:t>Center panels</w:t>
      </w:r>
      <w:r>
        <w:rPr>
          <w:sz w:val="20"/>
          <w:szCs w:val="20"/>
          <w:lang w:val="en-US"/>
        </w:rPr>
        <w:t xml:space="preserve">: low value for VSL, </w:t>
      </w:r>
      <w:r w:rsidRPr="00B76992">
        <w:rPr>
          <w:b/>
          <w:sz w:val="20"/>
          <w:szCs w:val="20"/>
          <w:u w:val="single"/>
          <w:lang w:val="en-US"/>
        </w:rPr>
        <w:t>Lower panels</w:t>
      </w:r>
      <w:r>
        <w:rPr>
          <w:sz w:val="20"/>
          <w:szCs w:val="20"/>
          <w:lang w:val="en-US"/>
        </w:rPr>
        <w:t xml:space="preserve">: high value for VSL, </w:t>
      </w:r>
      <w:r w:rsidRPr="00B16012">
        <w:rPr>
          <w:sz w:val="20"/>
          <w:szCs w:val="20"/>
          <w:lang w:val="en-US"/>
        </w:rPr>
        <w:t>LAM = Latin Amerika, MAF = Middle-East and Africa</w:t>
      </w:r>
      <w:r>
        <w:rPr>
          <w:sz w:val="20"/>
          <w:szCs w:val="20"/>
          <w:lang w:val="en-US"/>
        </w:rPr>
        <w:t>,</w:t>
      </w:r>
      <w:r w:rsidRPr="0095534B">
        <w:rPr>
          <w:sz w:val="20"/>
          <w:szCs w:val="20"/>
          <w:lang w:val="en-US"/>
        </w:rPr>
        <w:t xml:space="preserve"> </w:t>
      </w:r>
      <w:r>
        <w:rPr>
          <w:sz w:val="20"/>
          <w:szCs w:val="20"/>
          <w:lang w:val="en-US"/>
        </w:rPr>
        <w:t xml:space="preserve">REF = </w:t>
      </w:r>
      <w:r w:rsidRPr="005C4D1C">
        <w:rPr>
          <w:sz w:val="20"/>
          <w:szCs w:val="20"/>
          <w:lang w:val="en-US"/>
        </w:rPr>
        <w:t>Former Soviet Union</w:t>
      </w:r>
      <w:r>
        <w:rPr>
          <w:sz w:val="20"/>
          <w:szCs w:val="20"/>
          <w:lang w:val="en-US"/>
        </w:rPr>
        <w:t xml:space="preserve"> and r</w:t>
      </w:r>
      <w:r w:rsidRPr="005C4D1C">
        <w:rPr>
          <w:sz w:val="20"/>
          <w:szCs w:val="20"/>
          <w:lang w:val="en-US"/>
        </w:rPr>
        <w:t xml:space="preserve">eforming </w:t>
      </w:r>
      <w:r>
        <w:rPr>
          <w:sz w:val="20"/>
          <w:szCs w:val="20"/>
          <w:lang w:val="en-US"/>
        </w:rPr>
        <w:t>e</w:t>
      </w:r>
      <w:r w:rsidRPr="005C4D1C">
        <w:rPr>
          <w:sz w:val="20"/>
          <w:szCs w:val="20"/>
          <w:lang w:val="en-US"/>
        </w:rPr>
        <w:t>conomies of Eastern Europe</w:t>
      </w:r>
      <w:r w:rsidRPr="00B16012">
        <w:rPr>
          <w:sz w:val="20"/>
          <w:szCs w:val="20"/>
          <w:lang w:val="en-US"/>
        </w:rPr>
        <w:t>. Note different scales on the y-axes.</w:t>
      </w:r>
    </w:p>
    <w:p w:rsidR="00B3550D" w:rsidRDefault="00B3550D" w:rsidP="00B3550D">
      <w:pPr>
        <w:rPr>
          <w:rFonts w:ascii="Calibri" w:hAnsi="Calibri"/>
          <w:noProof/>
          <w:lang w:val="en-US"/>
        </w:rPr>
      </w:pPr>
      <w:r w:rsidRPr="00433BBF">
        <w:rPr>
          <w:rFonts w:ascii="Calibri" w:hAnsi="Calibri"/>
          <w:noProof/>
          <w:lang w:eastAsia="nl-NL"/>
        </w:rPr>
        <w:drawing>
          <wp:inline distT="0" distB="0" distL="0" distR="0" wp14:anchorId="1D667666" wp14:editId="7ED8F5CD">
            <wp:extent cx="5760720" cy="200443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004430"/>
                    </a:xfrm>
                    <a:prstGeom prst="rect">
                      <a:avLst/>
                    </a:prstGeom>
                    <a:noFill/>
                    <a:ln>
                      <a:noFill/>
                    </a:ln>
                  </pic:spPr>
                </pic:pic>
              </a:graphicData>
            </a:graphic>
          </wp:inline>
        </w:drawing>
      </w:r>
    </w:p>
    <w:p w:rsidR="00B3550D" w:rsidRDefault="00B3550D" w:rsidP="00B3550D">
      <w:pPr>
        <w:jc w:val="both"/>
        <w:rPr>
          <w:b/>
          <w:sz w:val="20"/>
          <w:szCs w:val="20"/>
          <w:lang w:val="en-US"/>
        </w:rPr>
      </w:pPr>
      <w:r w:rsidRPr="00433BBF">
        <w:rPr>
          <w:rFonts w:ascii="Calibri" w:hAnsi="Calibri"/>
          <w:noProof/>
          <w:lang w:eastAsia="nl-NL"/>
        </w:rPr>
        <w:lastRenderedPageBreak/>
        <w:drawing>
          <wp:inline distT="0" distB="0" distL="0" distR="0" wp14:anchorId="645AB600" wp14:editId="07051A03">
            <wp:extent cx="5760720" cy="1958750"/>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1958750"/>
                    </a:xfrm>
                    <a:prstGeom prst="rect">
                      <a:avLst/>
                    </a:prstGeom>
                    <a:noFill/>
                    <a:ln>
                      <a:noFill/>
                    </a:ln>
                  </pic:spPr>
                </pic:pic>
              </a:graphicData>
            </a:graphic>
          </wp:inline>
        </w:drawing>
      </w:r>
      <w:r w:rsidRPr="00433BBF">
        <w:rPr>
          <w:rFonts w:ascii="Calibri" w:hAnsi="Calibri"/>
          <w:noProof/>
          <w:lang w:val="en-US"/>
        </w:rPr>
        <w:t xml:space="preserve"> </w:t>
      </w:r>
      <w:r w:rsidRPr="00433BBF">
        <w:rPr>
          <w:rFonts w:ascii="Calibri" w:hAnsi="Calibri"/>
          <w:noProof/>
          <w:lang w:eastAsia="nl-NL"/>
        </w:rPr>
        <w:drawing>
          <wp:inline distT="0" distB="0" distL="0" distR="0" wp14:anchorId="69C389CD" wp14:editId="0D8A7DD4">
            <wp:extent cx="5760720" cy="2207029"/>
            <wp:effectExtent l="0" t="0" r="0"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207029"/>
                    </a:xfrm>
                    <a:prstGeom prst="rect">
                      <a:avLst/>
                    </a:prstGeom>
                    <a:noFill/>
                    <a:ln>
                      <a:noFill/>
                    </a:ln>
                  </pic:spPr>
                </pic:pic>
              </a:graphicData>
            </a:graphic>
          </wp:inline>
        </w:drawing>
      </w:r>
      <w:r w:rsidRPr="00287C53">
        <w:rPr>
          <w:b/>
          <w:sz w:val="20"/>
          <w:szCs w:val="20"/>
          <w:lang w:val="en-US"/>
        </w:rPr>
        <w:t xml:space="preserve"> </w:t>
      </w:r>
    </w:p>
    <w:p w:rsidR="00B3550D" w:rsidRPr="00B16012" w:rsidRDefault="00B3550D" w:rsidP="00B3550D">
      <w:pPr>
        <w:jc w:val="both"/>
        <w:rPr>
          <w:sz w:val="20"/>
          <w:szCs w:val="20"/>
          <w:lang w:val="en-US"/>
        </w:rPr>
      </w:pPr>
      <w:r w:rsidRPr="00B16012">
        <w:rPr>
          <w:b/>
          <w:sz w:val="20"/>
          <w:szCs w:val="20"/>
          <w:lang w:val="en-US"/>
        </w:rPr>
        <w:t>Figure S2.</w:t>
      </w:r>
      <w:r>
        <w:rPr>
          <w:b/>
          <w:sz w:val="20"/>
          <w:szCs w:val="20"/>
          <w:lang w:val="en-US"/>
        </w:rPr>
        <w:t>3</w:t>
      </w:r>
      <w:r w:rsidRPr="00B16012">
        <w:rPr>
          <w:b/>
          <w:sz w:val="20"/>
          <w:szCs w:val="20"/>
          <w:lang w:val="en-US"/>
        </w:rPr>
        <w:t xml:space="preserve"> </w:t>
      </w:r>
      <w:r>
        <w:rPr>
          <w:b/>
          <w:sz w:val="20"/>
          <w:szCs w:val="20"/>
          <w:lang w:val="en-US"/>
        </w:rPr>
        <w:t>Net c</w:t>
      </w:r>
      <w:r w:rsidRPr="00B16012">
        <w:rPr>
          <w:b/>
          <w:sz w:val="20"/>
          <w:szCs w:val="20"/>
          <w:lang w:val="en-US"/>
        </w:rPr>
        <w:t>osts and benefits of climate policy and air quality policy</w:t>
      </w:r>
      <w:r>
        <w:rPr>
          <w:b/>
          <w:sz w:val="20"/>
          <w:szCs w:val="20"/>
          <w:lang w:val="en-US"/>
        </w:rPr>
        <w:t>, sensitivity analysis with a 2% discount rate</w:t>
      </w:r>
      <w:r w:rsidRPr="00B16012">
        <w:rPr>
          <w:b/>
          <w:sz w:val="20"/>
          <w:szCs w:val="20"/>
          <w:lang w:val="en-US"/>
        </w:rPr>
        <w:t>.</w:t>
      </w:r>
      <w:r>
        <w:rPr>
          <w:b/>
          <w:sz w:val="20"/>
          <w:szCs w:val="20"/>
          <w:lang w:val="en-US"/>
        </w:rPr>
        <w:t xml:space="preserve"> </w:t>
      </w:r>
      <w:r>
        <w:rPr>
          <w:sz w:val="20"/>
          <w:szCs w:val="20"/>
          <w:lang w:val="en-US"/>
        </w:rPr>
        <w:t>Costs and benefits are shown in comparison to the baselines (SSP2 and SSP3).</w:t>
      </w:r>
      <w:r w:rsidRPr="00B16012">
        <w:rPr>
          <w:sz w:val="20"/>
          <w:szCs w:val="20"/>
          <w:lang w:val="en-US"/>
        </w:rPr>
        <w:t xml:space="preserve"> </w:t>
      </w:r>
      <w:r>
        <w:rPr>
          <w:sz w:val="20"/>
          <w:szCs w:val="20"/>
          <w:lang w:val="en-US"/>
        </w:rPr>
        <w:t xml:space="preserve">Values represent costs minus benefits (both cumulative discounted with a medium VSL value (as S2.2 upper panel), but with a 2% discount rate) </w:t>
      </w:r>
      <w:r w:rsidRPr="00B16012">
        <w:rPr>
          <w:sz w:val="20"/>
          <w:szCs w:val="20"/>
          <w:lang w:val="en-US"/>
        </w:rPr>
        <w:t xml:space="preserve">by world region </w:t>
      </w:r>
      <w:r>
        <w:rPr>
          <w:sz w:val="20"/>
          <w:szCs w:val="20"/>
          <w:lang w:val="en-US"/>
        </w:rPr>
        <w:t>in</w:t>
      </w:r>
      <w:r w:rsidRPr="00B16012">
        <w:rPr>
          <w:sz w:val="20"/>
          <w:szCs w:val="20"/>
          <w:lang w:val="en-US"/>
        </w:rPr>
        <w:t xml:space="preserve"> the periods 2015-2030 (left) and 2015-2100 (right). LAM = Latin Amerika, MAF = Middle-East and Africa</w:t>
      </w:r>
      <w:r>
        <w:rPr>
          <w:sz w:val="20"/>
          <w:szCs w:val="20"/>
          <w:lang w:val="en-US"/>
        </w:rPr>
        <w:t>,</w:t>
      </w:r>
      <w:r w:rsidRPr="0095534B">
        <w:rPr>
          <w:sz w:val="20"/>
          <w:szCs w:val="20"/>
          <w:lang w:val="en-US"/>
        </w:rPr>
        <w:t xml:space="preserve"> </w:t>
      </w:r>
      <w:r>
        <w:rPr>
          <w:sz w:val="20"/>
          <w:szCs w:val="20"/>
          <w:lang w:val="en-US"/>
        </w:rPr>
        <w:t xml:space="preserve">REF = </w:t>
      </w:r>
      <w:r w:rsidRPr="005C4D1C">
        <w:rPr>
          <w:sz w:val="20"/>
          <w:szCs w:val="20"/>
          <w:lang w:val="en-US"/>
        </w:rPr>
        <w:t>Former Soviet Union</w:t>
      </w:r>
      <w:r>
        <w:rPr>
          <w:sz w:val="20"/>
          <w:szCs w:val="20"/>
          <w:lang w:val="en-US"/>
        </w:rPr>
        <w:t xml:space="preserve"> and r</w:t>
      </w:r>
      <w:r w:rsidRPr="005C4D1C">
        <w:rPr>
          <w:sz w:val="20"/>
          <w:szCs w:val="20"/>
          <w:lang w:val="en-US"/>
        </w:rPr>
        <w:t xml:space="preserve">eforming </w:t>
      </w:r>
      <w:r>
        <w:rPr>
          <w:sz w:val="20"/>
          <w:szCs w:val="20"/>
          <w:lang w:val="en-US"/>
        </w:rPr>
        <w:t>e</w:t>
      </w:r>
      <w:r w:rsidRPr="005C4D1C">
        <w:rPr>
          <w:sz w:val="20"/>
          <w:szCs w:val="20"/>
          <w:lang w:val="en-US"/>
        </w:rPr>
        <w:t>conomies of Eastern Europe</w:t>
      </w:r>
      <w:r w:rsidRPr="00B16012">
        <w:rPr>
          <w:sz w:val="20"/>
          <w:szCs w:val="20"/>
          <w:lang w:val="en-US"/>
        </w:rPr>
        <w:t>. Note different scales on the y-axes.</w:t>
      </w:r>
    </w:p>
    <w:p w:rsidR="00B3550D" w:rsidRDefault="00B3550D" w:rsidP="00B3550D">
      <w:pPr>
        <w:rPr>
          <w:rFonts w:ascii="Calibri" w:hAnsi="Calibri"/>
          <w:noProof/>
          <w:lang w:val="en-US"/>
        </w:rPr>
      </w:pPr>
      <w:r w:rsidRPr="0049452B">
        <w:rPr>
          <w:rFonts w:ascii="Calibri" w:hAnsi="Calibri"/>
          <w:noProof/>
          <w:lang w:eastAsia="nl-NL"/>
        </w:rPr>
        <w:drawing>
          <wp:inline distT="0" distB="0" distL="0" distR="0" wp14:anchorId="1509E744" wp14:editId="37F9C67D">
            <wp:extent cx="5760720" cy="200446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004461"/>
                    </a:xfrm>
                    <a:prstGeom prst="rect">
                      <a:avLst/>
                    </a:prstGeom>
                    <a:noFill/>
                    <a:ln>
                      <a:noFill/>
                    </a:ln>
                  </pic:spPr>
                </pic:pic>
              </a:graphicData>
            </a:graphic>
          </wp:inline>
        </w:drawing>
      </w:r>
    </w:p>
    <w:p w:rsidR="00B3550D" w:rsidRDefault="00B3550D" w:rsidP="00B3550D">
      <w:pPr>
        <w:rPr>
          <w:rFonts w:ascii="Calibri" w:hAnsi="Calibri"/>
          <w:noProof/>
          <w:lang w:val="en-US"/>
        </w:rPr>
      </w:pPr>
    </w:p>
    <w:p w:rsidR="00B3550D" w:rsidRDefault="00B3550D" w:rsidP="00B3550D">
      <w:pPr>
        <w:rPr>
          <w:rFonts w:ascii="Calibri" w:eastAsiaTheme="majorEastAsia" w:hAnsi="Calibri" w:cstheme="majorBidi"/>
          <w:b/>
          <w:bCs/>
          <w:noProof/>
          <w:sz w:val="24"/>
          <w:szCs w:val="26"/>
          <w:lang w:val="en-US"/>
        </w:rPr>
      </w:pPr>
      <w:r>
        <w:rPr>
          <w:rFonts w:ascii="Calibri" w:hAnsi="Calibri"/>
          <w:noProof/>
          <w:lang w:val="en-US"/>
        </w:rPr>
        <w:br w:type="page"/>
      </w:r>
    </w:p>
    <w:p w:rsidR="00B3550D" w:rsidRPr="002E3027" w:rsidRDefault="00B3550D" w:rsidP="00B3550D">
      <w:pPr>
        <w:pStyle w:val="Heading3"/>
        <w:rPr>
          <w:noProof/>
          <w:lang w:val="en-US"/>
        </w:rPr>
      </w:pPr>
      <w:r w:rsidRPr="00276A80">
        <w:rPr>
          <w:noProof/>
          <w:lang w:val="en-US"/>
        </w:rPr>
        <w:lastRenderedPageBreak/>
        <w:t>S3. BC</w:t>
      </w:r>
      <w:r>
        <w:rPr>
          <w:noProof/>
          <w:lang w:val="en-US"/>
        </w:rPr>
        <w:t xml:space="preserve"> emissions calibration and literature comparision</w:t>
      </w:r>
    </w:p>
    <w:p w:rsidR="00B3550D" w:rsidRDefault="00B3550D" w:rsidP="00B3550D">
      <w:pPr>
        <w:spacing w:line="276" w:lineRule="auto"/>
        <w:jc w:val="both"/>
        <w:rPr>
          <w:rFonts w:ascii="Calibri" w:hAnsi="Calibri"/>
          <w:lang w:val="en-US"/>
        </w:rPr>
      </w:pPr>
    </w:p>
    <w:p w:rsidR="00B3550D" w:rsidRDefault="00B3550D" w:rsidP="00B3550D">
      <w:pPr>
        <w:spacing w:line="276" w:lineRule="auto"/>
        <w:jc w:val="both"/>
        <w:rPr>
          <w:rFonts w:ascii="Calibri" w:hAnsi="Calibri"/>
          <w:lang w:val="en-US"/>
        </w:rPr>
      </w:pPr>
      <w:r>
        <w:rPr>
          <w:rFonts w:ascii="Calibri" w:hAnsi="Calibri"/>
          <w:lang w:val="en-US"/>
        </w:rPr>
        <w:t xml:space="preserve">The pollutant emissions in IMAGE have been calibrated with </w:t>
      </w:r>
      <w:r w:rsidRPr="00DC3183">
        <w:rPr>
          <w:rFonts w:ascii="Calibri" w:hAnsi="Calibri"/>
          <w:lang w:val="en-US"/>
        </w:rPr>
        <w:t>historical estimates for anthropogenic (CEDS; Hoesly et al., 2018) and open burning (van Marle et al., 2017) emissions</w:t>
      </w:r>
      <w:r>
        <w:rPr>
          <w:rFonts w:ascii="Calibri" w:hAnsi="Calibri"/>
          <w:lang w:val="en-US"/>
        </w:rPr>
        <w:t>, with data up to 2015, on a sectoral and (IMAGE 26 world) regional level. The CEDS/Van Marle et al. (2017) data includes the most recent updates in emission factors, is based on a</w:t>
      </w:r>
      <w:r w:rsidRPr="00C66C87">
        <w:rPr>
          <w:rFonts w:ascii="Calibri" w:hAnsi="Calibri"/>
          <w:lang w:val="en-US"/>
        </w:rPr>
        <w:t xml:space="preserve"> more</w:t>
      </w:r>
      <w:r>
        <w:rPr>
          <w:rFonts w:ascii="Calibri" w:hAnsi="Calibri"/>
          <w:lang w:val="en-US"/>
        </w:rPr>
        <w:t xml:space="preserve"> </w:t>
      </w:r>
      <w:r w:rsidRPr="00C66C87">
        <w:rPr>
          <w:rFonts w:ascii="Calibri" w:hAnsi="Calibri"/>
          <w:lang w:val="en-US"/>
        </w:rPr>
        <w:t>consistent and reproducible methodology</w:t>
      </w:r>
      <w:r>
        <w:rPr>
          <w:rFonts w:ascii="Calibri" w:hAnsi="Calibri"/>
          <w:lang w:val="en-US"/>
        </w:rPr>
        <w:t>, and leads to</w:t>
      </w:r>
      <w:r w:rsidRPr="00C66C87">
        <w:rPr>
          <w:rFonts w:ascii="Calibri" w:hAnsi="Calibri"/>
          <w:lang w:val="en-US"/>
        </w:rPr>
        <w:t xml:space="preserve"> estimates</w:t>
      </w:r>
      <w:r>
        <w:rPr>
          <w:rFonts w:ascii="Calibri" w:hAnsi="Calibri"/>
          <w:lang w:val="en-US"/>
        </w:rPr>
        <w:t xml:space="preserve"> that</w:t>
      </w:r>
      <w:r w:rsidRPr="00C66C87">
        <w:rPr>
          <w:rFonts w:ascii="Calibri" w:hAnsi="Calibri"/>
          <w:lang w:val="en-US"/>
        </w:rPr>
        <w:t xml:space="preserve"> are comparable</w:t>
      </w:r>
      <w:r>
        <w:rPr>
          <w:rFonts w:ascii="Calibri" w:hAnsi="Calibri"/>
          <w:lang w:val="en-US"/>
        </w:rPr>
        <w:t xml:space="preserve"> </w:t>
      </w:r>
      <w:r w:rsidRPr="00C66C87">
        <w:rPr>
          <w:rFonts w:ascii="Calibri" w:hAnsi="Calibri"/>
          <w:lang w:val="en-US"/>
        </w:rPr>
        <w:t>to, but generally slightly higher than existing global inventories.</w:t>
      </w:r>
      <w:r>
        <w:rPr>
          <w:rFonts w:ascii="Calibri" w:hAnsi="Calibri"/>
          <w:lang w:val="en-US"/>
        </w:rPr>
        <w:t xml:space="preserve"> </w:t>
      </w:r>
      <w:r w:rsidRPr="00575FE4">
        <w:rPr>
          <w:rFonts w:ascii="Calibri" w:hAnsi="Calibri"/>
          <w:lang w:val="en-US"/>
        </w:rPr>
        <w:t>Figure S3.1 shows</w:t>
      </w:r>
      <w:r>
        <w:rPr>
          <w:rFonts w:ascii="Calibri" w:hAnsi="Calibri"/>
          <w:lang w:val="en-US"/>
        </w:rPr>
        <w:t xml:space="preserve"> the global, sectoral BC base year (2015) emissions in comparison to CEDS/Van Marle et al. (2017) and other widely used literature/databases. </w:t>
      </w:r>
      <w:r w:rsidRPr="00E129B7">
        <w:rPr>
          <w:rFonts w:ascii="Calibri" w:hAnsi="Calibri"/>
          <w:lang w:val="en-US"/>
        </w:rPr>
        <w:t>Extrapolations to 2015 (for GAINS/ECLIPSE, RCP, EDGAR) are based on sectoral emission changes in CEDS</w:t>
      </w:r>
      <w:r>
        <w:rPr>
          <w:rFonts w:ascii="Calibri" w:hAnsi="Calibri"/>
          <w:lang w:val="en-US"/>
        </w:rPr>
        <w:t xml:space="preserve">/Van Marle et al. (2017) </w:t>
      </w:r>
      <w:r w:rsidRPr="00E129B7">
        <w:rPr>
          <w:rFonts w:ascii="Calibri" w:hAnsi="Calibri"/>
          <w:lang w:val="en-US"/>
        </w:rPr>
        <w:t>between 2010 and 2015.</w:t>
      </w:r>
      <w:r>
        <w:rPr>
          <w:rFonts w:ascii="Calibri" w:hAnsi="Calibri"/>
          <w:lang w:val="en-US"/>
        </w:rPr>
        <w:t xml:space="preserve"> The BC emissions in IMAGE are slightly (0.65 Mt) higher than in CEDS/Van Marle et al. (2017), mainly due to higher land-use emissions, which have not been calibrated.. Because of the calibration, base year emissions in IMAGE are 2.4 Mt higher than the model average in the EMF30 project. Note that the base year emissions do not strongly influence the outcomes of this study, since GAINS emission factor data is used for the assessed future years; 2030 and 2100.</w:t>
      </w:r>
    </w:p>
    <w:p w:rsidR="00B3550D" w:rsidRPr="005E4006" w:rsidRDefault="00B3550D" w:rsidP="00B3550D">
      <w:pPr>
        <w:spacing w:line="276" w:lineRule="auto"/>
        <w:jc w:val="both"/>
        <w:rPr>
          <w:rFonts w:ascii="Calibri" w:hAnsi="Calibri"/>
          <w:lang w:val="en-US"/>
        </w:rPr>
      </w:pPr>
    </w:p>
    <w:p w:rsidR="00B3550D" w:rsidRPr="002E3027" w:rsidRDefault="00B3550D" w:rsidP="00B3550D">
      <w:pPr>
        <w:pStyle w:val="Text"/>
        <w:rPr>
          <w:rFonts w:ascii="Calibri" w:hAnsi="Calibri"/>
          <w:noProof/>
          <w:sz w:val="20"/>
          <w:szCs w:val="20"/>
          <w:lang w:val="en-US"/>
        </w:rPr>
      </w:pPr>
      <w:r>
        <w:rPr>
          <w:rFonts w:ascii="Calibri" w:hAnsi="Calibri"/>
          <w:b/>
          <w:noProof/>
          <w:sz w:val="20"/>
          <w:szCs w:val="20"/>
          <w:lang w:val="en-US"/>
        </w:rPr>
        <w:t>Figure S3</w:t>
      </w:r>
      <w:r w:rsidRPr="003D42D3">
        <w:rPr>
          <w:rFonts w:ascii="Calibri" w:hAnsi="Calibri"/>
          <w:b/>
          <w:noProof/>
          <w:sz w:val="20"/>
          <w:szCs w:val="20"/>
          <w:lang w:val="en-US"/>
        </w:rPr>
        <w:t>.1</w:t>
      </w:r>
      <w:r w:rsidRPr="003D42D3">
        <w:rPr>
          <w:rFonts w:ascii="Calibri" w:hAnsi="Calibri"/>
          <w:noProof/>
          <w:sz w:val="20"/>
          <w:szCs w:val="20"/>
          <w:lang w:val="en-US"/>
        </w:rPr>
        <w:t xml:space="preserve">: </w:t>
      </w:r>
      <w:r w:rsidRPr="00AF18E5">
        <w:rPr>
          <w:rFonts w:ascii="Calibri" w:hAnsi="Calibri"/>
          <w:b/>
          <w:noProof/>
          <w:sz w:val="20"/>
          <w:szCs w:val="20"/>
          <w:lang w:val="en-US"/>
        </w:rPr>
        <w:t>Global total BC emissions in the base year (2015) in IMAGE</w:t>
      </w:r>
      <w:r w:rsidRPr="003D42D3">
        <w:rPr>
          <w:rFonts w:ascii="Calibri" w:hAnsi="Calibri"/>
          <w:noProof/>
          <w:sz w:val="20"/>
          <w:szCs w:val="20"/>
          <w:lang w:val="en-US"/>
        </w:rPr>
        <w:t>, shown for all major sectors and compared to BC</w:t>
      </w:r>
      <w:r w:rsidRPr="002E3027">
        <w:rPr>
          <w:rFonts w:ascii="Calibri" w:hAnsi="Calibri"/>
          <w:noProof/>
          <w:sz w:val="20"/>
          <w:szCs w:val="20"/>
          <w:lang w:val="en-US"/>
        </w:rPr>
        <w:t xml:space="preserve"> emission databases (CEDS</w:t>
      </w:r>
      <w:r>
        <w:rPr>
          <w:rFonts w:ascii="Calibri" w:hAnsi="Calibri"/>
          <w:noProof/>
          <w:sz w:val="20"/>
          <w:szCs w:val="20"/>
          <w:lang w:val="en-US"/>
        </w:rPr>
        <w:t xml:space="preserve"> (including open burning emisisons)</w:t>
      </w:r>
      <w:r w:rsidRPr="002E3027">
        <w:rPr>
          <w:rFonts w:ascii="Calibri" w:hAnsi="Calibri"/>
          <w:noProof/>
          <w:sz w:val="20"/>
          <w:szCs w:val="20"/>
          <w:lang w:val="en-US"/>
        </w:rPr>
        <w:t xml:space="preserve"> </w:t>
      </w:r>
      <w:r w:rsidRPr="002E3027">
        <w:rPr>
          <w:rFonts w:ascii="Calibri" w:hAnsi="Calibri"/>
          <w:noProof/>
          <w:sz w:val="20"/>
          <w:szCs w:val="20"/>
          <w:lang w:val="en-US"/>
        </w:rPr>
        <w:fldChar w:fldCharType="begin">
          <w:fldData xml:space="preserve">PEVuZE5vdGU+PENpdGU+PEF1dGhvcj5Ib2VzbHk8L0F1dGhvcj48WWVhcj4yMDE4PC9ZZWFyPjxS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</w:fldData>
        </w:fldChar>
      </w:r>
      <w:r>
        <w:rPr>
          <w:rFonts w:ascii="Calibri" w:hAnsi="Calibri"/>
          <w:noProof/>
          <w:sz w:val="20"/>
          <w:szCs w:val="20"/>
          <w:lang w:val="en-US"/>
        </w:rPr>
        <w:instrText xml:space="preserve"> ADDIN EN.CITE </w:instrText>
      </w:r>
      <w:r>
        <w:rPr>
          <w:rFonts w:ascii="Calibri" w:hAnsi="Calibri"/>
          <w:noProof/>
          <w:sz w:val="20"/>
          <w:szCs w:val="20"/>
          <w:lang w:val="en-US"/>
        </w:rPr>
        <w:fldChar w:fldCharType="begin">
          <w:fldData xml:space="preserve">PEVuZE5vdGU+PENpdGU+PEF1dGhvcj5Ib2VzbHk8L0F1dGhvcj48WWVhcj4yMDE4PC9ZZWFyPjxS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</w:fldData>
        </w:fldChar>
      </w:r>
      <w:r>
        <w:rPr>
          <w:rFonts w:ascii="Calibri" w:hAnsi="Calibri"/>
          <w:noProof/>
          <w:sz w:val="20"/>
          <w:szCs w:val="20"/>
          <w:lang w:val="en-US"/>
        </w:rPr>
        <w:instrText xml:space="preserve"> ADDIN EN.CITE.DATA </w:instrText>
      </w:r>
      <w:r>
        <w:rPr>
          <w:rFonts w:ascii="Calibri" w:hAnsi="Calibri"/>
          <w:noProof/>
          <w:sz w:val="20"/>
          <w:szCs w:val="20"/>
          <w:lang w:val="en-US"/>
        </w:rPr>
      </w:r>
      <w:r>
        <w:rPr>
          <w:rFonts w:ascii="Calibri" w:hAnsi="Calibri"/>
          <w:noProof/>
          <w:sz w:val="20"/>
          <w:szCs w:val="20"/>
          <w:lang w:val="en-US"/>
        </w:rPr>
        <w:fldChar w:fldCharType="end"/>
      </w:r>
      <w:r w:rsidRPr="002E3027">
        <w:rPr>
          <w:rFonts w:ascii="Calibri" w:hAnsi="Calibri"/>
          <w:noProof/>
          <w:sz w:val="20"/>
          <w:szCs w:val="20"/>
          <w:lang w:val="en-US"/>
        </w:rPr>
        <w:fldChar w:fldCharType="separate"/>
      </w:r>
      <w:r>
        <w:rPr>
          <w:rFonts w:ascii="Calibri" w:hAnsi="Calibri"/>
          <w:noProof/>
          <w:sz w:val="20"/>
          <w:szCs w:val="20"/>
          <w:lang w:val="en-US"/>
        </w:rPr>
        <w:t>(Hoesly et al., 2018; van Marle et al., 2017)</w:t>
      </w:r>
      <w:r w:rsidRPr="002E3027">
        <w:rPr>
          <w:rFonts w:ascii="Calibri" w:hAnsi="Calibri"/>
          <w:noProof/>
          <w:sz w:val="20"/>
          <w:szCs w:val="20"/>
          <w:lang w:val="en-US"/>
        </w:rPr>
        <w:fldChar w:fldCharType="end"/>
      </w:r>
      <w:r w:rsidRPr="00A4579C">
        <w:rPr>
          <w:rFonts w:ascii="Calibri" w:hAnsi="Calibri"/>
          <w:noProof/>
          <w:sz w:val="20"/>
          <w:szCs w:val="20"/>
          <w:lang w:val="en-US"/>
        </w:rPr>
        <w:t xml:space="preserve">, GAINS/ECLIPSE </w:t>
      </w:r>
      <w:r>
        <w:rPr>
          <w:rFonts w:ascii="Calibri" w:hAnsi="Calibri"/>
          <w:noProof/>
          <w:sz w:val="20"/>
          <w:szCs w:val="20"/>
          <w:lang w:val="en-US"/>
        </w:rPr>
        <w:fldChar w:fldCharType="begin">
          <w:fldData xml:space="preserve">PEVuZE5vdGU+PENpdGU+PEF1dGhvcj5LbGltb250PC9BdXRob3I+PFllYXI+MjAxNzwvWWVhcj48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</w:fldData>
        </w:fldChar>
      </w:r>
      <w:r>
        <w:rPr>
          <w:rFonts w:ascii="Calibri" w:hAnsi="Calibri"/>
          <w:noProof/>
          <w:sz w:val="20"/>
          <w:szCs w:val="20"/>
          <w:lang w:val="en-US"/>
        </w:rPr>
        <w:instrText xml:space="preserve"> ADDIN EN.CITE </w:instrText>
      </w:r>
      <w:r>
        <w:rPr>
          <w:rFonts w:ascii="Calibri" w:hAnsi="Calibri"/>
          <w:noProof/>
          <w:sz w:val="20"/>
          <w:szCs w:val="20"/>
          <w:lang w:val="en-US"/>
        </w:rPr>
        <w:fldChar w:fldCharType="begin">
          <w:fldData xml:space="preserve">PEVuZE5vdGU+PENpdGU+PEF1dGhvcj5LbGltb250PC9BdXRob3I+PFllYXI+MjAxNzwvWWVhcj48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</w:fldData>
        </w:fldChar>
      </w:r>
      <w:r>
        <w:rPr>
          <w:rFonts w:ascii="Calibri" w:hAnsi="Calibri"/>
          <w:noProof/>
          <w:sz w:val="20"/>
          <w:szCs w:val="20"/>
          <w:lang w:val="en-US"/>
        </w:rPr>
        <w:instrText xml:space="preserve"> ADDIN EN.CITE.DATA </w:instrText>
      </w:r>
      <w:r>
        <w:rPr>
          <w:rFonts w:ascii="Calibri" w:hAnsi="Calibri"/>
          <w:noProof/>
          <w:sz w:val="20"/>
          <w:szCs w:val="20"/>
          <w:lang w:val="en-US"/>
        </w:rPr>
      </w:r>
      <w:r>
        <w:rPr>
          <w:rFonts w:ascii="Calibri" w:hAnsi="Calibri"/>
          <w:noProof/>
          <w:sz w:val="20"/>
          <w:szCs w:val="20"/>
          <w:lang w:val="en-US"/>
        </w:rPr>
        <w:fldChar w:fldCharType="end"/>
      </w:r>
      <w:r>
        <w:rPr>
          <w:rFonts w:ascii="Calibri" w:hAnsi="Calibri"/>
          <w:noProof/>
          <w:sz w:val="20"/>
          <w:szCs w:val="20"/>
          <w:lang w:val="en-US"/>
        </w:rPr>
        <w:fldChar w:fldCharType="separate"/>
      </w:r>
      <w:r w:rsidRPr="00A4579C">
        <w:rPr>
          <w:rFonts w:ascii="Calibri" w:hAnsi="Calibri"/>
          <w:noProof/>
          <w:sz w:val="20"/>
          <w:szCs w:val="20"/>
          <w:lang w:val="en-US"/>
        </w:rPr>
        <w:t>(Klimont et al., 2017; Stohl et al., 2015)</w:t>
      </w:r>
      <w:r>
        <w:rPr>
          <w:rFonts w:ascii="Calibri" w:hAnsi="Calibri"/>
          <w:noProof/>
          <w:sz w:val="20"/>
          <w:szCs w:val="20"/>
          <w:lang w:val="en-US"/>
        </w:rPr>
        <w:fldChar w:fldCharType="end"/>
      </w:r>
      <w:r w:rsidRPr="00A4579C">
        <w:rPr>
          <w:rFonts w:ascii="Calibri" w:hAnsi="Calibri"/>
          <w:noProof/>
          <w:sz w:val="20"/>
          <w:szCs w:val="20"/>
          <w:lang w:val="en-US"/>
        </w:rPr>
        <w:t xml:space="preserve">, EMF30 </w:t>
      </w:r>
      <w:r w:rsidRPr="002E3027">
        <w:rPr>
          <w:rFonts w:ascii="Calibri" w:hAnsi="Calibri"/>
          <w:noProof/>
          <w:sz w:val="20"/>
          <w:szCs w:val="20"/>
          <w:lang w:val="en-US"/>
        </w:rPr>
        <w:fldChar w:fldCharType="begin"/>
      </w:r>
      <w:r w:rsidRPr="00012811">
        <w:rPr>
          <w:rFonts w:ascii="Calibri" w:hAnsi="Calibri"/>
          <w:noProof/>
          <w:sz w:val="20"/>
          <w:szCs w:val="20"/>
          <w:lang w:val="en-US"/>
        </w:rPr>
        <w:instrText xml:space="preserve"> ADDIN EN.CITE &lt;EndNote&gt;&lt;Cite&gt;&lt;Author&gt;EMF&lt;/Author&gt;&lt;Year&gt;2019&lt;/Year&gt;&lt;RecNum&gt;300&lt;/RecNum&gt;&lt;DisplayText&gt;(EMF, 2019)&lt;/DisplayText&gt;&lt;record&gt;&lt;rec-number&gt;300&lt;/rec-number&gt;&lt;foreign-keys&gt;&lt;key app="EN" db-id="ewxvdw52e55r2gefrsovdxwk0xrz0v2zfp2s" timestamp="1483459499"&gt;300&lt;/key&gt;&lt;/foreign-keys&gt;&lt;ref-type name="Web Page"&gt;12&lt;/ref-type&gt;&lt;contributors&gt;&lt;authors&gt;&lt;author&gt;EMF&lt;/author&gt;&lt;/authors&gt;&lt;/contributors&gt;&lt;titles&gt;&lt;title&gt;Energy Modeling Forum (EMF)-30 Study on Short-Lived Climate Forcers (SLCF) and A</w:instrText>
      </w:r>
      <w:r w:rsidRPr="0002113B">
        <w:rPr>
          <w:rFonts w:ascii="Calibri" w:hAnsi="Calibri"/>
          <w:noProof/>
          <w:sz w:val="20"/>
          <w:szCs w:val="20"/>
          <w:lang w:val="en-US"/>
        </w:rPr>
        <w:instrText>ir Quality&lt;/title&gt;&lt;/titles&gt;&lt;volume&gt;2019&lt;/volume&gt;&lt;dates&gt;&lt;year&gt;2019&lt;/year&gt;&lt;/dates&gt;&lt;urls&gt;&lt;related-urls&gt;&lt;url&gt;&lt;style face="underline" font="default" size="100%"&gt;https://emf.stanford.edu/projects/emf-30-short-lived-climate-forcers-air-quality&lt;/style&gt;&lt;/url&gt;&lt;/related-urls&gt;&lt;/urls&gt;&lt;/record&gt;&lt;/Cite&gt;&lt;/EndNote&gt;</w:instrText>
      </w:r>
      <w:r w:rsidRPr="002E3027">
        <w:rPr>
          <w:rFonts w:ascii="Calibri" w:hAnsi="Calibri"/>
          <w:noProof/>
          <w:sz w:val="20"/>
          <w:szCs w:val="20"/>
          <w:lang w:val="en-US"/>
        </w:rPr>
        <w:fldChar w:fldCharType="separate"/>
      </w:r>
      <w:r w:rsidRPr="0002113B">
        <w:rPr>
          <w:rFonts w:ascii="Calibri" w:hAnsi="Calibri"/>
          <w:noProof/>
          <w:sz w:val="20"/>
          <w:szCs w:val="20"/>
          <w:lang w:val="en-US"/>
        </w:rPr>
        <w:t>(EMF, 2019)</w:t>
      </w:r>
      <w:r w:rsidRPr="002E3027">
        <w:rPr>
          <w:rFonts w:ascii="Calibri" w:hAnsi="Calibri"/>
          <w:noProof/>
          <w:sz w:val="20"/>
          <w:szCs w:val="20"/>
          <w:lang w:val="en-US"/>
        </w:rPr>
        <w:fldChar w:fldCharType="end"/>
      </w:r>
      <w:r w:rsidRPr="0002113B">
        <w:rPr>
          <w:rFonts w:ascii="Calibri" w:hAnsi="Calibri"/>
          <w:noProof/>
          <w:sz w:val="20"/>
          <w:szCs w:val="20"/>
          <w:lang w:val="en-US"/>
        </w:rPr>
        <w:t xml:space="preserve">, RCP </w:t>
      </w:r>
      <w:r w:rsidRPr="002E3027">
        <w:rPr>
          <w:rFonts w:ascii="Calibri" w:hAnsi="Calibri"/>
          <w:noProof/>
          <w:sz w:val="20"/>
          <w:szCs w:val="20"/>
          <w:lang w:val="en-US"/>
        </w:rPr>
        <w:fldChar w:fldCharType="begin"/>
      </w:r>
      <w:r w:rsidRPr="0002113B">
        <w:rPr>
          <w:rFonts w:ascii="Calibri" w:hAnsi="Calibri"/>
          <w:noProof/>
          <w:sz w:val="20"/>
          <w:szCs w:val="20"/>
          <w:lang w:val="en-US"/>
        </w:rPr>
        <w:instrText xml:space="preserve"> ADDIN EN.CITE &lt;EndNote&gt;&lt;Cite&gt;&lt;Author&gt;Lamarque&lt;/Author&gt;&lt;Year&gt;2011&lt;/Year&gt;&lt;RecNum&gt;266&lt;/RecNum&gt;&lt;DisplayText&gt;(Lamarque et al., 2011)&lt;/DisplayText&gt;&lt;record&gt;&lt;rec-number&gt;266&lt;/rec-number&gt;&lt;foreign-keys&gt;&lt;key app="EN" db-id="ewxvdw52e55r2gefrsovdxwk0xrz0v2zfp2s" timestamp="1436374870"&gt;266&lt;/key&gt;&lt;/foreign-keys&gt;&lt;ref-type name="Journal Article"&gt;17&lt;/ref-type&gt;&lt;contributors&gt;&lt;authors&gt;&lt;author&gt;Lamarque, Jean-François&lt;/author&gt;&lt;author&gt;Kyle, G. Page&lt;/author&gt;&lt;author&gt;Meinshausen, Malte&lt;/author&gt;&lt;author&gt;Riahi, Keywan&lt;/author&gt;&lt;author&gt;Smith, Steven J.&lt;/author&gt;&lt;author&gt;van Vuuren, Detlef P.&lt;/author&gt;&lt;author&gt;Conley, Andrew J.&lt;/author&gt;&lt;author&gt;Vitt, Francis&lt;/author&gt;&lt;/authors&gt;&lt;/contributors&gt;&lt;titles&gt;&lt;title&gt;Globa</w:instrText>
      </w:r>
      <w:r w:rsidRPr="001C4E54">
        <w:rPr>
          <w:rFonts w:ascii="Calibri" w:hAnsi="Calibri"/>
          <w:noProof/>
          <w:sz w:val="20"/>
          <w:szCs w:val="20"/>
          <w:lang w:val="en-US"/>
        </w:rPr>
        <w:instrText>l</w:instrText>
      </w:r>
      <w:r w:rsidRPr="002E3027">
        <w:rPr>
          <w:rFonts w:ascii="Calibri" w:hAnsi="Calibri"/>
          <w:noProof/>
          <w:sz w:val="20"/>
          <w:szCs w:val="20"/>
          <w:lang w:val="en-US"/>
        </w:rPr>
        <w:instrText xml:space="preserve"> and regional evolution of short-lived radiatively-active gases and aerosols in the Representative Concentration Pathways&lt;/title&gt;&lt;secondary-title&gt;Climatic Change&lt;/secondary-title&gt;&lt;/titles&gt;&lt;periodical&gt;&lt;full-title&gt;Climatic Change&lt;/full-title&gt;&lt;/periodical&gt;&lt;pages&gt;191-212&lt;/pages&gt;&lt;volume&gt;109&lt;/volume&gt;&lt;number&gt;1-2&lt;/number&gt;&lt;dates&gt;&lt;year&gt;2011&lt;/year&gt;&lt;/dates&gt;&lt;isbn&gt;0165-0009&amp;#xD;1573-1480&lt;/isbn&gt;&lt;urls&gt;&lt;/urls&gt;&lt;electronic-resource-num&gt;10.1007/s10584-011-0155-0&lt;/electronic-resource-num&gt;&lt;/record&gt;&lt;/Cite&gt;&lt;/EndNote&gt;</w:instrText>
      </w:r>
      <w:r w:rsidRPr="002E3027">
        <w:rPr>
          <w:rFonts w:ascii="Calibri" w:hAnsi="Calibri"/>
          <w:noProof/>
          <w:sz w:val="20"/>
          <w:szCs w:val="20"/>
          <w:lang w:val="en-US"/>
        </w:rPr>
        <w:fldChar w:fldCharType="separate"/>
      </w:r>
      <w:r w:rsidRPr="002E3027">
        <w:rPr>
          <w:rFonts w:ascii="Calibri" w:hAnsi="Calibri"/>
          <w:noProof/>
          <w:sz w:val="20"/>
          <w:szCs w:val="20"/>
          <w:lang w:val="en-US"/>
        </w:rPr>
        <w:t>(Lamarque et al., 2011)</w:t>
      </w:r>
      <w:r w:rsidRPr="002E3027">
        <w:rPr>
          <w:rFonts w:ascii="Calibri" w:hAnsi="Calibri"/>
          <w:noProof/>
          <w:sz w:val="20"/>
          <w:szCs w:val="20"/>
          <w:lang w:val="en-US"/>
        </w:rPr>
        <w:fldChar w:fldCharType="end"/>
      </w:r>
      <w:r w:rsidRPr="002E3027">
        <w:rPr>
          <w:rFonts w:ascii="Calibri" w:hAnsi="Calibri"/>
          <w:noProof/>
          <w:sz w:val="20"/>
          <w:szCs w:val="20"/>
          <w:lang w:val="en-US"/>
        </w:rPr>
        <w:t xml:space="preserve"> and EDGAR 4.2.3 </w:t>
      </w:r>
      <w:r w:rsidRPr="002E3027">
        <w:rPr>
          <w:rFonts w:ascii="Calibri" w:hAnsi="Calibri"/>
          <w:noProof/>
          <w:sz w:val="20"/>
          <w:szCs w:val="20"/>
          <w:lang w:val="en-US"/>
        </w:rPr>
        <w:fldChar w:fldCharType="begin"/>
      </w:r>
      <w:r w:rsidRPr="002E3027">
        <w:rPr>
          <w:rFonts w:ascii="Calibri" w:hAnsi="Calibri"/>
          <w:noProof/>
          <w:sz w:val="20"/>
          <w:szCs w:val="20"/>
          <w:lang w:val="en-US"/>
        </w:rPr>
        <w:instrText xml:space="preserve"> ADDIN EN.CITE &lt;EndNote&gt;&lt;Cite&gt;&lt;Author&gt;EC-JRC/PBL&lt;/Author&gt;&lt;Year&gt;2016&lt;/Year&gt;&lt;RecNum&gt;544&lt;/RecNum&gt;&lt;DisplayText&gt;(EC-JRC/PBL, 2016)&lt;/DisplayText&gt;&lt;record&gt;&lt;rec-number&gt;544&lt;/rec-number&gt;&lt;foreign-keys&gt;&lt;key app="EN" db-id="ewxvdw52e55r2gefrsovdxwk0xrz0v2zfp2s" timestamp="1542640704"&gt;544&lt;/key&gt;&lt;/foreign-keys&gt;&lt;ref-type name="Journal Article"&gt;17&lt;/ref-type&gt;&lt;contributors&gt;&lt;authors&gt;&lt;author&gt;EC-JRC/PBL&lt;/author&gt;&lt;/authors&gt;&lt;/contributors&gt;&lt;titles&gt;&lt;title&gt;&lt;style face="normal" font="default" size="100%"&gt;European Commission, Joint Research Centre (EC-JRC)/Netherlands Environmental Assessment Agency (PBL). Emissions Database for Global Atmospheric Research (EDGAR), release EDGAR v4.3.2 (1970 - 2012) of March 2016, &lt;/style&gt;&lt;style face="underline" font="default" size="100%"&gt;http://edgar.jrc.ec.europa.eu&lt;/style&gt;&lt;/title&gt;&lt;/titles&gt;&lt;dates&gt;&lt;year&gt;2016&lt;/year&gt;&lt;/dates&gt;&lt;urls&gt;&lt;/urls&gt;&lt;/record&gt;&lt;/Cite&gt;&lt;/EndNote&gt;</w:instrText>
      </w:r>
      <w:r w:rsidRPr="002E3027">
        <w:rPr>
          <w:rFonts w:ascii="Calibri" w:hAnsi="Calibri"/>
          <w:noProof/>
          <w:sz w:val="20"/>
          <w:szCs w:val="20"/>
          <w:lang w:val="en-US"/>
        </w:rPr>
        <w:fldChar w:fldCharType="separate"/>
      </w:r>
      <w:r w:rsidRPr="002E3027">
        <w:rPr>
          <w:rFonts w:ascii="Calibri" w:hAnsi="Calibri"/>
          <w:noProof/>
          <w:sz w:val="20"/>
          <w:szCs w:val="20"/>
          <w:lang w:val="en-US"/>
        </w:rPr>
        <w:t>(EC-JRC/PBL, 2016)</w:t>
      </w:r>
      <w:r w:rsidRPr="002E3027">
        <w:rPr>
          <w:rFonts w:ascii="Calibri" w:hAnsi="Calibri"/>
          <w:noProof/>
          <w:sz w:val="20"/>
          <w:szCs w:val="20"/>
          <w:lang w:val="en-US"/>
        </w:rPr>
        <w:fldChar w:fldCharType="end"/>
      </w:r>
      <w:r w:rsidRPr="002E3027">
        <w:rPr>
          <w:rFonts w:ascii="Calibri" w:hAnsi="Calibri"/>
          <w:noProof/>
          <w:sz w:val="20"/>
          <w:szCs w:val="20"/>
          <w:lang w:val="en-US"/>
        </w:rPr>
        <w:t>. IMAGE is calibrated using CEDS data. Extrapolations to 2015 (for GAINS/ECLIPSE, RCP, EDGAR)</w:t>
      </w:r>
      <w:r>
        <w:rPr>
          <w:rFonts w:ascii="Calibri" w:hAnsi="Calibri"/>
          <w:noProof/>
          <w:sz w:val="20"/>
          <w:szCs w:val="20"/>
          <w:lang w:val="en-US"/>
        </w:rPr>
        <w:t xml:space="preserve"> are</w:t>
      </w:r>
      <w:r w:rsidRPr="002E3027">
        <w:rPr>
          <w:rFonts w:ascii="Calibri" w:hAnsi="Calibri"/>
          <w:noProof/>
          <w:sz w:val="20"/>
          <w:szCs w:val="20"/>
          <w:lang w:val="en-US"/>
        </w:rPr>
        <w:t xml:space="preserve"> based on sectoral emission changes in CEDS between 2010 and 2015.</w:t>
      </w:r>
    </w:p>
    <w:p w:rsidR="00B3550D" w:rsidRDefault="00B3550D" w:rsidP="00B3550D">
      <w:pPr>
        <w:pStyle w:val="Text"/>
        <w:rPr>
          <w:rFonts w:ascii="Calibri" w:eastAsiaTheme="majorEastAsia" w:hAnsi="Calibri" w:cstheme="majorBidi"/>
          <w:b/>
          <w:bCs/>
          <w:sz w:val="32"/>
          <w:szCs w:val="28"/>
          <w:lang w:val="en-US"/>
        </w:rPr>
      </w:pPr>
      <w:r>
        <w:rPr>
          <w:noProof/>
        </w:rPr>
        <w:drawing>
          <wp:inline distT="0" distB="0" distL="0" distR="0" wp14:anchorId="04407863" wp14:editId="385732AD">
            <wp:extent cx="5470071" cy="4382861"/>
            <wp:effectExtent l="0" t="0" r="0" b="0"/>
            <wp:docPr id="9" name="Chart 9">
              <a:extLst xmlns:a="http://schemas.openxmlformats.org/drawingml/2006/main">
                <a:ext uri="{FF2B5EF4-FFF2-40B4-BE49-F238E27FC236}">
                  <a16:creationId xmlns:a16="http://schemas.microsoft.com/office/drawing/2014/main" id="{D65FEC1D-15C4-414B-9537-0D9470E40E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rFonts w:ascii="Calibri" w:hAnsi="Calibri"/>
          <w:lang w:val="en-US"/>
        </w:rPr>
        <w:br w:type="page"/>
      </w:r>
    </w:p>
    <w:p w:rsidR="00B3550D" w:rsidRPr="00BE67F2" w:rsidRDefault="00B3550D" w:rsidP="00B3550D">
      <w:pPr>
        <w:pStyle w:val="Heading3"/>
        <w:rPr>
          <w:noProof/>
          <w:lang w:val="en-US"/>
        </w:rPr>
      </w:pPr>
      <w:r w:rsidRPr="00CB33AF">
        <w:rPr>
          <w:noProof/>
          <w:lang w:val="en-US"/>
        </w:rPr>
        <w:lastRenderedPageBreak/>
        <w:t>S</w:t>
      </w:r>
      <w:r>
        <w:rPr>
          <w:noProof/>
          <w:lang w:val="en-US"/>
        </w:rPr>
        <w:t>4</w:t>
      </w:r>
      <w:r w:rsidRPr="00CB33AF">
        <w:rPr>
          <w:noProof/>
          <w:lang w:val="en-US"/>
        </w:rPr>
        <w:t>.</w:t>
      </w:r>
      <w:r w:rsidRPr="002E3027">
        <w:rPr>
          <w:noProof/>
          <w:lang w:val="en-US"/>
        </w:rPr>
        <w:t xml:space="preserve"> </w:t>
      </w:r>
      <w:r>
        <w:rPr>
          <w:noProof/>
          <w:lang w:val="en-US"/>
        </w:rPr>
        <w:t>Emissions and emission reductions of OC, SO</w:t>
      </w:r>
      <w:r>
        <w:rPr>
          <w:noProof/>
          <w:vertAlign w:val="subscript"/>
          <w:lang w:val="en-US"/>
        </w:rPr>
        <w:t>2</w:t>
      </w:r>
      <w:r>
        <w:rPr>
          <w:noProof/>
          <w:lang w:val="en-US"/>
        </w:rPr>
        <w:t xml:space="preserve"> and NOx</w:t>
      </w:r>
    </w:p>
    <w:p w:rsidR="00B3550D" w:rsidRDefault="00B3550D" w:rsidP="00B3550D">
      <w:pPr>
        <w:rPr>
          <w:rFonts w:ascii="Calibri" w:hAnsi="Calibri"/>
          <w:b/>
          <w:noProof/>
          <w:sz w:val="20"/>
          <w:szCs w:val="20"/>
          <w:lang w:val="en-US"/>
        </w:rPr>
      </w:pPr>
    </w:p>
    <w:p w:rsidR="00B3550D" w:rsidRDefault="00B3550D" w:rsidP="00B3550D">
      <w:pPr>
        <w:pStyle w:val="NoSpacing"/>
        <w:rPr>
          <w:noProof/>
          <w:lang w:val="en-US"/>
        </w:rPr>
      </w:pPr>
      <w:r w:rsidRPr="002E3027">
        <w:rPr>
          <w:b/>
          <w:noProof/>
          <w:lang w:val="en-US"/>
        </w:rPr>
        <w:t xml:space="preserve">Figure </w:t>
      </w:r>
      <w:r w:rsidRPr="00CB33AF">
        <w:rPr>
          <w:b/>
          <w:noProof/>
          <w:lang w:val="en-US"/>
        </w:rPr>
        <w:t>S</w:t>
      </w:r>
      <w:r>
        <w:rPr>
          <w:b/>
          <w:noProof/>
          <w:lang w:val="en-US"/>
        </w:rPr>
        <w:t>4</w:t>
      </w:r>
      <w:r w:rsidRPr="00CB33AF">
        <w:rPr>
          <w:b/>
          <w:noProof/>
          <w:lang w:val="en-US"/>
        </w:rPr>
        <w:t>.1</w:t>
      </w:r>
      <w:r w:rsidRPr="00CB33AF">
        <w:rPr>
          <w:noProof/>
          <w:lang w:val="en-US"/>
        </w:rPr>
        <w:t>:</w:t>
      </w:r>
      <w:r w:rsidRPr="002E3027">
        <w:rPr>
          <w:noProof/>
          <w:lang w:val="en-US"/>
        </w:rPr>
        <w:t xml:space="preserve"> </w:t>
      </w:r>
      <w:r w:rsidRPr="00AF18E5">
        <w:rPr>
          <w:b/>
          <w:noProof/>
          <w:lang w:val="en-US"/>
        </w:rPr>
        <w:t>Global sectoral OC emissions in the four SSP reference</w:t>
      </w:r>
      <w:r w:rsidRPr="00BE67F2">
        <w:rPr>
          <w:noProof/>
          <w:lang w:val="en-US"/>
        </w:rPr>
        <w:t xml:space="preserve"> </w:t>
      </w:r>
      <w:r w:rsidRPr="00AF18E5">
        <w:rPr>
          <w:b/>
          <w:noProof/>
          <w:lang w:val="en-US"/>
        </w:rPr>
        <w:t>scenarios</w:t>
      </w:r>
      <w:r w:rsidRPr="00BE67F2">
        <w:rPr>
          <w:noProof/>
          <w:lang w:val="en-US"/>
        </w:rPr>
        <w:t xml:space="preserve"> (excluding additional ambitious BC</w:t>
      </w:r>
      <w:r>
        <w:rPr>
          <w:noProof/>
          <w:lang w:val="en-US"/>
        </w:rPr>
        <w:t xml:space="preserve"> / pollutant</w:t>
      </w:r>
      <w:r w:rsidRPr="00BE67F2">
        <w:rPr>
          <w:noProof/>
          <w:lang w:val="en-US"/>
        </w:rPr>
        <w:t xml:space="preserve"> mitigation)</w:t>
      </w:r>
      <w:r>
        <w:rPr>
          <w:noProof/>
          <w:lang w:val="en-US"/>
        </w:rPr>
        <w:t xml:space="preserve"> (AWB = Agricultural waste burning)</w:t>
      </w:r>
      <w:r w:rsidRPr="00BE67F2">
        <w:rPr>
          <w:noProof/>
          <w:lang w:val="en-US"/>
        </w:rPr>
        <w:t xml:space="preserve">. </w:t>
      </w:r>
    </w:p>
    <w:p w:rsidR="00B3550D" w:rsidRDefault="00B3550D" w:rsidP="00B3550D">
      <w:pPr>
        <w:pStyle w:val="NoSpacing"/>
        <w:rPr>
          <w:noProof/>
          <w:lang w:val="en-US"/>
        </w:rPr>
      </w:pPr>
      <w:r>
        <w:rPr>
          <w:noProof/>
          <w:lang w:val="en-US"/>
        </w:rPr>
        <w:drawing>
          <wp:inline distT="0" distB="0" distL="0" distR="0" wp14:anchorId="043FDFFB" wp14:editId="21805E74">
            <wp:extent cx="6060559" cy="535403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86656" cy="5377091"/>
                    </a:xfrm>
                    <a:prstGeom prst="rect">
                      <a:avLst/>
                    </a:prstGeom>
                    <a:noFill/>
                  </pic:spPr>
                </pic:pic>
              </a:graphicData>
            </a:graphic>
          </wp:inline>
        </w:drawing>
      </w:r>
    </w:p>
    <w:p w:rsidR="00B3550D" w:rsidRPr="00BE67F2" w:rsidRDefault="00B3550D" w:rsidP="00B3550D">
      <w:pPr>
        <w:rPr>
          <w:rFonts w:ascii="Calibri" w:eastAsia="Calibri" w:hAnsi="Calibri" w:cs="Times New Roman"/>
          <w:b/>
          <w:bCs/>
          <w:noProof/>
          <w:color w:val="4F81BD"/>
          <w:sz w:val="18"/>
          <w:szCs w:val="18"/>
          <w:lang w:val="en-US"/>
        </w:rPr>
      </w:pPr>
    </w:p>
    <w:p w:rsidR="00B3550D" w:rsidRDefault="00B3550D" w:rsidP="00B3550D">
      <w:pPr>
        <w:rPr>
          <w:rFonts w:ascii="Calibri" w:hAnsi="Calibri"/>
          <w:noProof/>
          <w:sz w:val="20"/>
          <w:szCs w:val="20"/>
          <w:lang w:val="en-US"/>
        </w:rPr>
      </w:pPr>
    </w:p>
    <w:p w:rsidR="00B3550D" w:rsidRDefault="00B3550D" w:rsidP="00B3550D">
      <w:pPr>
        <w:rPr>
          <w:rFonts w:ascii="Calibri" w:hAnsi="Calibri"/>
          <w:noProof/>
          <w:sz w:val="20"/>
          <w:szCs w:val="20"/>
          <w:lang w:val="en-US"/>
        </w:rPr>
      </w:pPr>
      <w:r>
        <w:rPr>
          <w:rFonts w:ascii="Calibri" w:hAnsi="Calibri"/>
          <w:noProof/>
          <w:sz w:val="20"/>
          <w:szCs w:val="20"/>
          <w:lang w:val="en-US"/>
        </w:rPr>
        <w:br w:type="page"/>
      </w:r>
    </w:p>
    <w:p w:rsidR="00B3550D" w:rsidRDefault="00B3550D" w:rsidP="00B3550D">
      <w:pPr>
        <w:rPr>
          <w:rFonts w:ascii="Calibri" w:hAnsi="Calibri"/>
          <w:lang w:val="en-US"/>
        </w:rPr>
      </w:pPr>
      <w:r>
        <w:rPr>
          <w:rFonts w:ascii="Calibri" w:hAnsi="Calibri"/>
          <w:b/>
          <w:noProof/>
          <w:sz w:val="20"/>
          <w:szCs w:val="20"/>
          <w:lang w:val="en-US"/>
        </w:rPr>
        <w:lastRenderedPageBreak/>
        <w:t>Figure S4</w:t>
      </w:r>
      <w:r w:rsidRPr="00CB33AF">
        <w:rPr>
          <w:rFonts w:ascii="Calibri" w:hAnsi="Calibri"/>
          <w:b/>
          <w:noProof/>
          <w:sz w:val="20"/>
          <w:szCs w:val="20"/>
          <w:lang w:val="en-US"/>
        </w:rPr>
        <w:t>.2</w:t>
      </w:r>
      <w:r w:rsidRPr="00CB33AF">
        <w:rPr>
          <w:rFonts w:ascii="Calibri" w:hAnsi="Calibri"/>
          <w:noProof/>
          <w:sz w:val="20"/>
          <w:szCs w:val="20"/>
          <w:lang w:val="en-US"/>
        </w:rPr>
        <w:t xml:space="preserve">: </w:t>
      </w:r>
      <w:r w:rsidRPr="00CB33AF">
        <w:rPr>
          <w:rFonts w:ascii="Calibri" w:hAnsi="Calibri"/>
          <w:b/>
          <w:noProof/>
          <w:sz w:val="20"/>
          <w:szCs w:val="20"/>
          <w:lang w:val="en-US"/>
        </w:rPr>
        <w:t>Global</w:t>
      </w:r>
      <w:r w:rsidRPr="00FE476F">
        <w:rPr>
          <w:rFonts w:ascii="Calibri" w:hAnsi="Calibri"/>
          <w:b/>
          <w:noProof/>
          <w:sz w:val="20"/>
          <w:szCs w:val="20"/>
          <w:lang w:val="en-US"/>
        </w:rPr>
        <w:t xml:space="preserve"> sectoral </w:t>
      </w:r>
      <w:r>
        <w:rPr>
          <w:rFonts w:ascii="Calibri" w:hAnsi="Calibri"/>
          <w:b/>
          <w:noProof/>
          <w:sz w:val="20"/>
          <w:szCs w:val="20"/>
          <w:lang w:val="en-US"/>
        </w:rPr>
        <w:t>OC</w:t>
      </w:r>
      <w:r w:rsidRPr="00FE476F">
        <w:rPr>
          <w:rFonts w:ascii="Calibri" w:hAnsi="Calibri"/>
          <w:b/>
          <w:noProof/>
          <w:sz w:val="20"/>
          <w:szCs w:val="20"/>
          <w:lang w:val="en-US"/>
        </w:rPr>
        <w:t xml:space="preserve"> emissions and avoided emissions in 2030 and 2100</w:t>
      </w:r>
      <w:r w:rsidRPr="002E3027">
        <w:rPr>
          <w:rFonts w:ascii="Calibri" w:hAnsi="Calibri"/>
          <w:noProof/>
          <w:sz w:val="20"/>
          <w:szCs w:val="20"/>
          <w:lang w:val="en-US"/>
        </w:rPr>
        <w:t>. Avoided emissions are the differences with the baseline scenarios (SSP2, SSP3) and are presented as negative values.</w:t>
      </w:r>
      <w:r w:rsidRPr="00BE67F2">
        <w:rPr>
          <w:rFonts w:ascii="Calibri" w:hAnsi="Calibri"/>
          <w:lang w:val="en-US"/>
        </w:rPr>
        <w:t xml:space="preserve"> </w:t>
      </w:r>
    </w:p>
    <w:p w:rsidR="00B3550D" w:rsidRDefault="00B3550D" w:rsidP="00B3550D">
      <w:pPr>
        <w:rPr>
          <w:rFonts w:ascii="Calibri" w:hAnsi="Calibri"/>
          <w:lang w:val="en-US"/>
        </w:rPr>
      </w:pPr>
      <w:r w:rsidRPr="002E3027">
        <w:rPr>
          <w:rFonts w:ascii="Calibri" w:hAnsi="Calibri"/>
          <w:noProof/>
          <w:lang w:eastAsia="nl-NL"/>
        </w:rPr>
        <w:drawing>
          <wp:anchor distT="0" distB="0" distL="114300" distR="114300" simplePos="0" relativeHeight="251659264" behindDoc="0" locked="0" layoutInCell="1" allowOverlap="1" wp14:anchorId="54B43971" wp14:editId="210C91D3">
            <wp:simplePos x="0" y="0"/>
            <wp:positionH relativeFrom="column">
              <wp:posOffset>5213040</wp:posOffset>
            </wp:positionH>
            <wp:positionV relativeFrom="paragraph">
              <wp:posOffset>3128660</wp:posOffset>
            </wp:positionV>
            <wp:extent cx="1119028" cy="2588983"/>
            <wp:effectExtent l="0" t="0" r="5080" b="190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a:extLst>
                        <a:ext uri="{28A0092B-C50C-407E-A947-70E740481C1C}">
                          <a14:useLocalDpi xmlns:a14="http://schemas.microsoft.com/office/drawing/2010/main" val="0"/>
                        </a:ext>
                      </a:extLst>
                    </a:blip>
                    <a:srcRect l="67500"/>
                    <a:stretch/>
                  </pic:blipFill>
                  <pic:spPr bwMode="auto">
                    <a:xfrm>
                      <a:off x="0" y="0"/>
                      <a:ext cx="1119028" cy="25889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hAnsi="Calibri"/>
          <w:noProof/>
          <w:lang w:val="en-US"/>
        </w:rPr>
        <w:drawing>
          <wp:inline distT="0" distB="0" distL="0" distR="0" wp14:anchorId="7A430319" wp14:editId="77DABFCE">
            <wp:extent cx="6134986" cy="5541929"/>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63057" cy="5567286"/>
                    </a:xfrm>
                    <a:prstGeom prst="rect">
                      <a:avLst/>
                    </a:prstGeom>
                    <a:noFill/>
                  </pic:spPr>
                </pic:pic>
              </a:graphicData>
            </a:graphic>
          </wp:inline>
        </w:drawing>
      </w:r>
      <w:r>
        <w:rPr>
          <w:rFonts w:ascii="Calibri" w:hAnsi="Calibri"/>
          <w:lang w:val="en-US"/>
        </w:rPr>
        <w:br w:type="page"/>
      </w:r>
    </w:p>
    <w:p w:rsidR="00B3550D" w:rsidRDefault="00B3550D" w:rsidP="00B3550D">
      <w:pPr>
        <w:rPr>
          <w:rFonts w:ascii="Calibri" w:hAnsi="Calibri"/>
          <w:lang w:val="en-US"/>
        </w:rPr>
      </w:pPr>
      <w:r w:rsidRPr="002E3027">
        <w:rPr>
          <w:rFonts w:ascii="Calibri" w:hAnsi="Calibri"/>
          <w:b/>
          <w:noProof/>
          <w:sz w:val="20"/>
          <w:szCs w:val="20"/>
          <w:lang w:val="en-US"/>
        </w:rPr>
        <w:lastRenderedPageBreak/>
        <w:t xml:space="preserve">Figure </w:t>
      </w:r>
      <w:r>
        <w:rPr>
          <w:rFonts w:ascii="Calibri" w:hAnsi="Calibri"/>
          <w:b/>
          <w:noProof/>
          <w:sz w:val="20"/>
          <w:szCs w:val="20"/>
          <w:lang w:val="en-US"/>
        </w:rPr>
        <w:t>S4</w:t>
      </w:r>
      <w:r w:rsidRPr="00CB33AF">
        <w:rPr>
          <w:rFonts w:ascii="Calibri" w:hAnsi="Calibri"/>
          <w:b/>
          <w:noProof/>
          <w:sz w:val="20"/>
          <w:szCs w:val="20"/>
          <w:lang w:val="en-US"/>
        </w:rPr>
        <w:t>.</w:t>
      </w:r>
      <w:r w:rsidRPr="00AF18E5">
        <w:rPr>
          <w:rFonts w:ascii="Calibri" w:hAnsi="Calibri"/>
          <w:b/>
          <w:noProof/>
          <w:sz w:val="20"/>
          <w:szCs w:val="20"/>
          <w:lang w:val="en-US"/>
        </w:rPr>
        <w:t>3: Global sectoral SO</w:t>
      </w:r>
      <w:r w:rsidRPr="00AF18E5">
        <w:rPr>
          <w:rFonts w:ascii="Calibri" w:hAnsi="Calibri"/>
          <w:b/>
          <w:noProof/>
          <w:sz w:val="20"/>
          <w:szCs w:val="20"/>
          <w:vertAlign w:val="subscript"/>
          <w:lang w:val="en-US"/>
        </w:rPr>
        <w:t>2</w:t>
      </w:r>
      <w:r w:rsidRPr="00AF18E5">
        <w:rPr>
          <w:rFonts w:ascii="Calibri" w:hAnsi="Calibri"/>
          <w:b/>
          <w:noProof/>
          <w:sz w:val="20"/>
          <w:szCs w:val="20"/>
          <w:lang w:val="en-US"/>
        </w:rPr>
        <w:t xml:space="preserve"> emissions in the four SSP reference scenarios</w:t>
      </w:r>
      <w:r w:rsidRPr="00BE67F2">
        <w:rPr>
          <w:rFonts w:ascii="Calibri" w:hAnsi="Calibri"/>
          <w:noProof/>
          <w:sz w:val="20"/>
          <w:szCs w:val="20"/>
          <w:lang w:val="en-US"/>
        </w:rPr>
        <w:t xml:space="preserve"> (excluding additional ambitious BC</w:t>
      </w:r>
      <w:r>
        <w:rPr>
          <w:rFonts w:ascii="Calibri" w:hAnsi="Calibri"/>
          <w:noProof/>
          <w:sz w:val="20"/>
          <w:szCs w:val="20"/>
          <w:lang w:val="en-US"/>
        </w:rPr>
        <w:t xml:space="preserve"> / pollutant</w:t>
      </w:r>
      <w:r w:rsidRPr="00BE67F2">
        <w:rPr>
          <w:rFonts w:ascii="Calibri" w:hAnsi="Calibri"/>
          <w:noProof/>
          <w:sz w:val="20"/>
          <w:szCs w:val="20"/>
          <w:lang w:val="en-US"/>
        </w:rPr>
        <w:t xml:space="preserve"> mitigation).</w:t>
      </w:r>
      <w:r>
        <w:rPr>
          <w:rFonts w:ascii="Calibri" w:hAnsi="Calibri"/>
          <w:noProof/>
          <w:sz w:val="20"/>
          <w:szCs w:val="20"/>
          <w:lang w:val="en-US"/>
        </w:rPr>
        <w:t xml:space="preserve"> </w:t>
      </w:r>
      <w:r w:rsidRPr="0070009B">
        <w:rPr>
          <w:rFonts w:ascii="Calibri" w:hAnsi="Calibri"/>
          <w:noProof/>
          <w:lang w:eastAsia="nl-NL"/>
        </w:rPr>
        <w:drawing>
          <wp:inline distT="0" distB="0" distL="0" distR="0" wp14:anchorId="1DFD2711" wp14:editId="13D079F1">
            <wp:extent cx="5760720" cy="5081124"/>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5081124"/>
                    </a:xfrm>
                    <a:prstGeom prst="rect">
                      <a:avLst/>
                    </a:prstGeom>
                    <a:noFill/>
                    <a:ln>
                      <a:noFill/>
                    </a:ln>
                  </pic:spPr>
                </pic:pic>
              </a:graphicData>
            </a:graphic>
          </wp:inline>
        </w:drawing>
      </w:r>
    </w:p>
    <w:p w:rsidR="00B3550D" w:rsidRDefault="00B3550D" w:rsidP="00B3550D">
      <w:pPr>
        <w:rPr>
          <w:rFonts w:ascii="Calibri" w:hAnsi="Calibri"/>
          <w:lang w:val="en-US"/>
        </w:rPr>
      </w:pPr>
      <w:r>
        <w:rPr>
          <w:rFonts w:ascii="Calibri" w:hAnsi="Calibri"/>
          <w:lang w:val="en-US"/>
        </w:rPr>
        <w:br w:type="page"/>
      </w:r>
    </w:p>
    <w:p w:rsidR="00B3550D" w:rsidRDefault="00B3550D" w:rsidP="00B3550D">
      <w:pPr>
        <w:rPr>
          <w:rFonts w:ascii="Calibri" w:hAnsi="Calibri"/>
          <w:lang w:val="en-US"/>
        </w:rPr>
      </w:pPr>
      <w:r w:rsidRPr="002E3027">
        <w:rPr>
          <w:rFonts w:ascii="Calibri" w:hAnsi="Calibri"/>
          <w:b/>
          <w:noProof/>
          <w:sz w:val="20"/>
          <w:szCs w:val="20"/>
          <w:lang w:val="en-US"/>
        </w:rPr>
        <w:lastRenderedPageBreak/>
        <w:t xml:space="preserve">Figure </w:t>
      </w:r>
      <w:r>
        <w:rPr>
          <w:rFonts w:ascii="Calibri" w:hAnsi="Calibri"/>
          <w:b/>
          <w:noProof/>
          <w:sz w:val="20"/>
          <w:szCs w:val="20"/>
          <w:lang w:val="en-US"/>
        </w:rPr>
        <w:t>S4</w:t>
      </w:r>
      <w:r w:rsidRPr="00CB33AF">
        <w:rPr>
          <w:rFonts w:ascii="Calibri" w:hAnsi="Calibri"/>
          <w:b/>
          <w:noProof/>
          <w:sz w:val="20"/>
          <w:szCs w:val="20"/>
          <w:lang w:val="en-US"/>
        </w:rPr>
        <w:t>.4</w:t>
      </w:r>
      <w:r w:rsidRPr="00CB33AF">
        <w:rPr>
          <w:rFonts w:ascii="Calibri" w:hAnsi="Calibri"/>
          <w:noProof/>
          <w:sz w:val="20"/>
          <w:szCs w:val="20"/>
          <w:lang w:val="en-US"/>
        </w:rPr>
        <w:t>:</w:t>
      </w:r>
      <w:r w:rsidRPr="002E3027">
        <w:rPr>
          <w:rFonts w:ascii="Calibri" w:hAnsi="Calibri"/>
          <w:noProof/>
          <w:sz w:val="20"/>
          <w:szCs w:val="20"/>
          <w:lang w:val="en-US"/>
        </w:rPr>
        <w:t xml:space="preserve"> </w:t>
      </w:r>
      <w:r w:rsidRPr="00FE476F">
        <w:rPr>
          <w:rFonts w:ascii="Calibri" w:hAnsi="Calibri"/>
          <w:b/>
          <w:noProof/>
          <w:sz w:val="20"/>
          <w:szCs w:val="20"/>
          <w:lang w:val="en-US"/>
        </w:rPr>
        <w:t xml:space="preserve">Global sectoral </w:t>
      </w:r>
      <w:r>
        <w:rPr>
          <w:rFonts w:ascii="Calibri" w:hAnsi="Calibri"/>
          <w:b/>
          <w:noProof/>
          <w:sz w:val="20"/>
          <w:szCs w:val="20"/>
          <w:lang w:val="en-US"/>
        </w:rPr>
        <w:t>SO</w:t>
      </w:r>
      <w:r>
        <w:rPr>
          <w:rFonts w:ascii="Calibri" w:hAnsi="Calibri"/>
          <w:b/>
          <w:noProof/>
          <w:sz w:val="20"/>
          <w:szCs w:val="20"/>
          <w:vertAlign w:val="subscript"/>
          <w:lang w:val="en-US"/>
        </w:rPr>
        <w:t>2</w:t>
      </w:r>
      <w:r w:rsidRPr="00FE476F">
        <w:rPr>
          <w:rFonts w:ascii="Calibri" w:hAnsi="Calibri"/>
          <w:b/>
          <w:noProof/>
          <w:sz w:val="20"/>
          <w:szCs w:val="20"/>
          <w:lang w:val="en-US"/>
        </w:rPr>
        <w:t xml:space="preserve"> emissions and avoided emissions in 2030 and 2100</w:t>
      </w:r>
      <w:r w:rsidRPr="002E3027">
        <w:rPr>
          <w:rFonts w:ascii="Calibri" w:hAnsi="Calibri"/>
          <w:noProof/>
          <w:sz w:val="20"/>
          <w:szCs w:val="20"/>
          <w:lang w:val="en-US"/>
        </w:rPr>
        <w:t>. Avoided emissions are the differences with the baseline scenarios (SSP2, SSP3) and are presented as negative values.</w:t>
      </w:r>
    </w:p>
    <w:p w:rsidR="00B3550D" w:rsidRDefault="00B3550D" w:rsidP="00B3550D">
      <w:pPr>
        <w:rPr>
          <w:rFonts w:ascii="Calibri" w:hAnsi="Calibri"/>
          <w:lang w:val="en-US"/>
        </w:rPr>
      </w:pPr>
      <w:r w:rsidRPr="002E3027">
        <w:rPr>
          <w:rFonts w:ascii="Calibri" w:hAnsi="Calibri"/>
          <w:noProof/>
          <w:lang w:eastAsia="nl-NL"/>
        </w:rPr>
        <w:drawing>
          <wp:anchor distT="0" distB="0" distL="114300" distR="114300" simplePos="0" relativeHeight="251660288" behindDoc="0" locked="0" layoutInCell="1" allowOverlap="1" wp14:anchorId="3FE2BFF5" wp14:editId="78EAF6B0">
            <wp:simplePos x="0" y="0"/>
            <wp:positionH relativeFrom="column">
              <wp:posOffset>5277559</wp:posOffset>
            </wp:positionH>
            <wp:positionV relativeFrom="paragraph">
              <wp:posOffset>2714477</wp:posOffset>
            </wp:positionV>
            <wp:extent cx="1119028" cy="2588983"/>
            <wp:effectExtent l="0" t="0" r="5080" b="190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a:extLst>
                        <a:ext uri="{28A0092B-C50C-407E-A947-70E740481C1C}">
                          <a14:useLocalDpi xmlns:a14="http://schemas.microsoft.com/office/drawing/2010/main" val="0"/>
                        </a:ext>
                      </a:extLst>
                    </a:blip>
                    <a:srcRect l="67500"/>
                    <a:stretch/>
                  </pic:blipFill>
                  <pic:spPr bwMode="auto">
                    <a:xfrm>
                      <a:off x="0" y="0"/>
                      <a:ext cx="1119028" cy="25889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0009B">
        <w:rPr>
          <w:rFonts w:ascii="Calibri" w:hAnsi="Calibri"/>
          <w:noProof/>
          <w:lang w:eastAsia="nl-NL"/>
        </w:rPr>
        <w:drawing>
          <wp:inline distT="0" distB="0" distL="0" distR="0" wp14:anchorId="6906B239" wp14:editId="40F03150">
            <wp:extent cx="5760720" cy="518916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5189164"/>
                    </a:xfrm>
                    <a:prstGeom prst="rect">
                      <a:avLst/>
                    </a:prstGeom>
                    <a:noFill/>
                    <a:ln>
                      <a:noFill/>
                    </a:ln>
                  </pic:spPr>
                </pic:pic>
              </a:graphicData>
            </a:graphic>
          </wp:inline>
        </w:drawing>
      </w:r>
      <w:r w:rsidRPr="00BE67F2">
        <w:rPr>
          <w:rFonts w:ascii="Calibri" w:hAnsi="Calibri"/>
          <w:lang w:val="en-US"/>
        </w:rPr>
        <w:t xml:space="preserve"> </w:t>
      </w:r>
    </w:p>
    <w:p w:rsidR="00B3550D" w:rsidRDefault="00B3550D" w:rsidP="00B3550D">
      <w:pPr>
        <w:rPr>
          <w:rFonts w:ascii="Calibri" w:hAnsi="Calibri"/>
          <w:lang w:val="en-US"/>
        </w:rPr>
      </w:pPr>
      <w:r>
        <w:rPr>
          <w:rFonts w:ascii="Calibri" w:hAnsi="Calibri"/>
          <w:lang w:val="en-US"/>
        </w:rPr>
        <w:br w:type="page"/>
      </w:r>
    </w:p>
    <w:p w:rsidR="00B3550D" w:rsidRDefault="00B3550D" w:rsidP="00B3550D">
      <w:pPr>
        <w:rPr>
          <w:rFonts w:ascii="Calibri" w:hAnsi="Calibri"/>
          <w:lang w:val="en-US"/>
        </w:rPr>
      </w:pPr>
      <w:r w:rsidRPr="002E3027">
        <w:rPr>
          <w:rFonts w:ascii="Calibri" w:hAnsi="Calibri"/>
          <w:b/>
          <w:noProof/>
          <w:sz w:val="20"/>
          <w:szCs w:val="20"/>
          <w:lang w:val="en-US"/>
        </w:rPr>
        <w:lastRenderedPageBreak/>
        <w:t xml:space="preserve">Figure </w:t>
      </w:r>
      <w:r w:rsidRPr="00CB33AF">
        <w:rPr>
          <w:rFonts w:ascii="Calibri" w:hAnsi="Calibri"/>
          <w:b/>
          <w:noProof/>
          <w:sz w:val="20"/>
          <w:szCs w:val="20"/>
          <w:lang w:val="en-US"/>
        </w:rPr>
        <w:t>S</w:t>
      </w:r>
      <w:r>
        <w:rPr>
          <w:rFonts w:ascii="Calibri" w:hAnsi="Calibri"/>
          <w:b/>
          <w:noProof/>
          <w:sz w:val="20"/>
          <w:szCs w:val="20"/>
          <w:lang w:val="en-US"/>
        </w:rPr>
        <w:t>4</w:t>
      </w:r>
      <w:r w:rsidRPr="00CB33AF">
        <w:rPr>
          <w:rFonts w:ascii="Calibri" w:hAnsi="Calibri"/>
          <w:b/>
          <w:noProof/>
          <w:sz w:val="20"/>
          <w:szCs w:val="20"/>
          <w:lang w:val="en-US"/>
        </w:rPr>
        <w:t>.</w:t>
      </w:r>
      <w:r>
        <w:rPr>
          <w:rFonts w:ascii="Calibri" w:hAnsi="Calibri"/>
          <w:b/>
          <w:noProof/>
          <w:sz w:val="20"/>
          <w:szCs w:val="20"/>
          <w:lang w:val="en-US"/>
        </w:rPr>
        <w:t>5</w:t>
      </w:r>
      <w:r w:rsidRPr="00AF18E5">
        <w:rPr>
          <w:rFonts w:ascii="Calibri" w:hAnsi="Calibri"/>
          <w:b/>
          <w:noProof/>
          <w:sz w:val="20"/>
          <w:szCs w:val="20"/>
          <w:lang w:val="en-US"/>
        </w:rPr>
        <w:t>: Global sectoral NO</w:t>
      </w:r>
      <w:r w:rsidRPr="00AF18E5">
        <w:rPr>
          <w:rFonts w:ascii="Calibri" w:hAnsi="Calibri"/>
          <w:b/>
          <w:noProof/>
          <w:sz w:val="20"/>
          <w:szCs w:val="20"/>
          <w:vertAlign w:val="subscript"/>
          <w:lang w:val="en-US"/>
        </w:rPr>
        <w:t>2</w:t>
      </w:r>
      <w:r w:rsidRPr="00AF18E5">
        <w:rPr>
          <w:rFonts w:ascii="Calibri" w:hAnsi="Calibri"/>
          <w:b/>
          <w:noProof/>
          <w:sz w:val="20"/>
          <w:szCs w:val="20"/>
          <w:lang w:val="en-US"/>
        </w:rPr>
        <w:t xml:space="preserve"> emissions in the four SSP reference scenarios</w:t>
      </w:r>
      <w:r w:rsidRPr="00BE67F2">
        <w:rPr>
          <w:rFonts w:ascii="Calibri" w:hAnsi="Calibri"/>
          <w:noProof/>
          <w:sz w:val="20"/>
          <w:szCs w:val="20"/>
          <w:lang w:val="en-US"/>
        </w:rPr>
        <w:t xml:space="preserve"> (excluding additional ambitious BC</w:t>
      </w:r>
      <w:r>
        <w:rPr>
          <w:rFonts w:ascii="Calibri" w:hAnsi="Calibri"/>
          <w:noProof/>
          <w:sz w:val="20"/>
          <w:szCs w:val="20"/>
          <w:lang w:val="en-US"/>
        </w:rPr>
        <w:t xml:space="preserve"> / pollutant</w:t>
      </w:r>
      <w:r w:rsidRPr="00BE67F2">
        <w:rPr>
          <w:rFonts w:ascii="Calibri" w:hAnsi="Calibri"/>
          <w:noProof/>
          <w:sz w:val="20"/>
          <w:szCs w:val="20"/>
          <w:lang w:val="en-US"/>
        </w:rPr>
        <w:t xml:space="preserve"> mitigation).</w:t>
      </w:r>
      <w:r>
        <w:rPr>
          <w:rFonts w:ascii="Calibri" w:hAnsi="Calibri"/>
          <w:noProof/>
          <w:sz w:val="20"/>
          <w:szCs w:val="20"/>
          <w:lang w:val="en-US"/>
        </w:rPr>
        <w:t xml:space="preserve"> </w:t>
      </w:r>
    </w:p>
    <w:p w:rsidR="00B3550D" w:rsidRDefault="00B3550D" w:rsidP="00B3550D">
      <w:pPr>
        <w:rPr>
          <w:rFonts w:ascii="Calibri" w:hAnsi="Calibri"/>
          <w:lang w:val="en-US"/>
        </w:rPr>
      </w:pPr>
      <w:r w:rsidRPr="0070009B">
        <w:rPr>
          <w:rFonts w:ascii="Calibri" w:hAnsi="Calibri"/>
          <w:noProof/>
          <w:lang w:eastAsia="nl-NL"/>
        </w:rPr>
        <w:drawing>
          <wp:inline distT="0" distB="0" distL="0" distR="0" wp14:anchorId="59A0A686" wp14:editId="03214211">
            <wp:extent cx="5760720" cy="5004513"/>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5004513"/>
                    </a:xfrm>
                    <a:prstGeom prst="rect">
                      <a:avLst/>
                    </a:prstGeom>
                    <a:noFill/>
                    <a:ln>
                      <a:noFill/>
                    </a:ln>
                  </pic:spPr>
                </pic:pic>
              </a:graphicData>
            </a:graphic>
          </wp:inline>
        </w:drawing>
      </w:r>
    </w:p>
    <w:p w:rsidR="00B3550D" w:rsidRDefault="00B3550D" w:rsidP="00B3550D">
      <w:pPr>
        <w:rPr>
          <w:rFonts w:ascii="Calibri" w:hAnsi="Calibri"/>
          <w:lang w:val="en-US"/>
        </w:rPr>
      </w:pPr>
      <w:r>
        <w:rPr>
          <w:rFonts w:ascii="Calibri" w:hAnsi="Calibri"/>
          <w:lang w:val="en-US"/>
        </w:rPr>
        <w:br w:type="page"/>
      </w:r>
    </w:p>
    <w:p w:rsidR="00B3550D" w:rsidRDefault="00B3550D" w:rsidP="00B3550D">
      <w:pPr>
        <w:rPr>
          <w:rFonts w:ascii="Calibri" w:hAnsi="Calibri"/>
          <w:lang w:val="en-US"/>
        </w:rPr>
      </w:pPr>
      <w:r w:rsidRPr="002E3027">
        <w:rPr>
          <w:rFonts w:ascii="Calibri" w:hAnsi="Calibri"/>
          <w:b/>
          <w:noProof/>
          <w:sz w:val="20"/>
          <w:szCs w:val="20"/>
          <w:lang w:val="en-US"/>
        </w:rPr>
        <w:lastRenderedPageBreak/>
        <w:t xml:space="preserve">Figure </w:t>
      </w:r>
      <w:r>
        <w:rPr>
          <w:rFonts w:ascii="Calibri" w:hAnsi="Calibri"/>
          <w:b/>
          <w:noProof/>
          <w:sz w:val="20"/>
          <w:szCs w:val="20"/>
          <w:lang w:val="en-US"/>
        </w:rPr>
        <w:t>S4</w:t>
      </w:r>
      <w:r w:rsidRPr="00CB33AF">
        <w:rPr>
          <w:rFonts w:ascii="Calibri" w:hAnsi="Calibri"/>
          <w:b/>
          <w:noProof/>
          <w:sz w:val="20"/>
          <w:szCs w:val="20"/>
          <w:lang w:val="en-US"/>
        </w:rPr>
        <w:t>.6</w:t>
      </w:r>
      <w:r w:rsidRPr="00CB33AF">
        <w:rPr>
          <w:rFonts w:ascii="Calibri" w:hAnsi="Calibri"/>
          <w:noProof/>
          <w:sz w:val="20"/>
          <w:szCs w:val="20"/>
          <w:lang w:val="en-US"/>
        </w:rPr>
        <w:t xml:space="preserve">: </w:t>
      </w:r>
      <w:r w:rsidRPr="00CB33AF">
        <w:rPr>
          <w:rFonts w:ascii="Calibri" w:hAnsi="Calibri"/>
          <w:b/>
          <w:noProof/>
          <w:sz w:val="20"/>
          <w:szCs w:val="20"/>
          <w:lang w:val="en-US"/>
        </w:rPr>
        <w:t>Global</w:t>
      </w:r>
      <w:r w:rsidRPr="00FE476F">
        <w:rPr>
          <w:rFonts w:ascii="Calibri" w:hAnsi="Calibri"/>
          <w:b/>
          <w:noProof/>
          <w:sz w:val="20"/>
          <w:szCs w:val="20"/>
          <w:lang w:val="en-US"/>
        </w:rPr>
        <w:t xml:space="preserve"> sectoral </w:t>
      </w:r>
      <w:r>
        <w:rPr>
          <w:rFonts w:ascii="Calibri" w:hAnsi="Calibri"/>
          <w:b/>
          <w:noProof/>
          <w:sz w:val="20"/>
          <w:szCs w:val="20"/>
          <w:lang w:val="en-US"/>
        </w:rPr>
        <w:t>NO</w:t>
      </w:r>
      <w:r>
        <w:rPr>
          <w:rFonts w:ascii="Calibri" w:hAnsi="Calibri"/>
          <w:b/>
          <w:noProof/>
          <w:sz w:val="20"/>
          <w:szCs w:val="20"/>
          <w:vertAlign w:val="subscript"/>
          <w:lang w:val="en-US"/>
        </w:rPr>
        <w:t>2</w:t>
      </w:r>
      <w:r w:rsidRPr="00FE476F">
        <w:rPr>
          <w:rFonts w:ascii="Calibri" w:hAnsi="Calibri"/>
          <w:b/>
          <w:noProof/>
          <w:sz w:val="20"/>
          <w:szCs w:val="20"/>
          <w:lang w:val="en-US"/>
        </w:rPr>
        <w:t xml:space="preserve"> emissions and avoided emissions in 2030 and 2100</w:t>
      </w:r>
      <w:r w:rsidRPr="002E3027">
        <w:rPr>
          <w:rFonts w:ascii="Calibri" w:hAnsi="Calibri"/>
          <w:noProof/>
          <w:sz w:val="20"/>
          <w:szCs w:val="20"/>
          <w:lang w:val="en-US"/>
        </w:rPr>
        <w:t>. Avoided emissions are the differences with the baseline scenarios (SSP2, SSP3) and are presented as negative values</w:t>
      </w:r>
      <w:r>
        <w:rPr>
          <w:rFonts w:ascii="Calibri" w:hAnsi="Calibri"/>
          <w:noProof/>
          <w:sz w:val="20"/>
          <w:szCs w:val="20"/>
          <w:lang w:val="en-US"/>
        </w:rPr>
        <w:t>.</w:t>
      </w:r>
    </w:p>
    <w:p w:rsidR="00B3550D" w:rsidRDefault="00B3550D" w:rsidP="00B3550D">
      <w:pPr>
        <w:rPr>
          <w:rFonts w:ascii="Calibri" w:hAnsi="Calibri"/>
          <w:lang w:val="en-US"/>
        </w:rPr>
      </w:pPr>
      <w:r>
        <w:rPr>
          <w:noProof/>
          <w:lang w:eastAsia="nl-NL"/>
        </w:rPr>
        <w:drawing>
          <wp:anchor distT="0" distB="0" distL="114300" distR="114300" simplePos="0" relativeHeight="251661312" behindDoc="0" locked="0" layoutInCell="1" allowOverlap="1" wp14:anchorId="2DF0426B" wp14:editId="7530DE35">
            <wp:simplePos x="0" y="0"/>
            <wp:positionH relativeFrom="page">
              <wp:align>right</wp:align>
            </wp:positionH>
            <wp:positionV relativeFrom="paragraph">
              <wp:posOffset>3171854</wp:posOffset>
            </wp:positionV>
            <wp:extent cx="1201040" cy="2169042"/>
            <wp:effectExtent l="0" t="0" r="0" b="317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201040" cy="2169042"/>
                    </a:xfrm>
                    <a:prstGeom prst="rect">
                      <a:avLst/>
                    </a:prstGeom>
                  </pic:spPr>
                </pic:pic>
              </a:graphicData>
            </a:graphic>
            <wp14:sizeRelH relativeFrom="margin">
              <wp14:pctWidth>0</wp14:pctWidth>
            </wp14:sizeRelH>
            <wp14:sizeRelV relativeFrom="margin">
              <wp14:pctHeight>0</wp14:pctHeight>
            </wp14:sizeRelV>
          </wp:anchor>
        </w:drawing>
      </w:r>
      <w:r w:rsidRPr="00BE67F2">
        <w:rPr>
          <w:rFonts w:ascii="Calibri" w:hAnsi="Calibri"/>
          <w:noProof/>
          <w:lang w:eastAsia="nl-NL"/>
        </w:rPr>
        <w:drawing>
          <wp:inline distT="0" distB="0" distL="0" distR="0" wp14:anchorId="6EC99834" wp14:editId="46E0F3F5">
            <wp:extent cx="6137765" cy="545428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37765" cy="5454280"/>
                    </a:xfrm>
                    <a:prstGeom prst="rect">
                      <a:avLst/>
                    </a:prstGeom>
                    <a:noFill/>
                    <a:ln>
                      <a:noFill/>
                    </a:ln>
                  </pic:spPr>
                </pic:pic>
              </a:graphicData>
            </a:graphic>
          </wp:inline>
        </w:drawing>
      </w:r>
      <w:r w:rsidRPr="00BE67F2">
        <w:rPr>
          <w:rFonts w:ascii="Calibri" w:hAnsi="Calibri"/>
          <w:lang w:val="en-US"/>
        </w:rPr>
        <w:t xml:space="preserve"> </w:t>
      </w:r>
    </w:p>
    <w:p w:rsidR="00B3550D" w:rsidRDefault="00B3550D" w:rsidP="00B3550D">
      <w:pPr>
        <w:rPr>
          <w:rFonts w:ascii="Calibri" w:eastAsiaTheme="majorEastAsia" w:hAnsi="Calibri" w:cstheme="majorBidi"/>
          <w:b/>
          <w:bCs/>
          <w:sz w:val="32"/>
          <w:szCs w:val="28"/>
          <w:lang w:val="en-US"/>
        </w:rPr>
      </w:pPr>
      <w:r>
        <w:rPr>
          <w:rFonts w:ascii="Calibri" w:hAnsi="Calibri"/>
          <w:lang w:val="en-US"/>
        </w:rPr>
        <w:br w:type="page"/>
      </w:r>
    </w:p>
    <w:p w:rsidR="00B3550D" w:rsidRPr="00BE67F2" w:rsidRDefault="00B3550D" w:rsidP="00B3550D">
      <w:pPr>
        <w:pStyle w:val="Heading3"/>
        <w:rPr>
          <w:noProof/>
          <w:lang w:val="en-US"/>
        </w:rPr>
      </w:pPr>
      <w:r w:rsidRPr="00CB33AF">
        <w:rPr>
          <w:noProof/>
          <w:lang w:val="en-US"/>
        </w:rPr>
        <w:lastRenderedPageBreak/>
        <w:t>S5.</w:t>
      </w:r>
      <w:r w:rsidRPr="002E3027">
        <w:rPr>
          <w:noProof/>
          <w:lang w:val="en-US"/>
        </w:rPr>
        <w:t xml:space="preserve"> </w:t>
      </w:r>
      <w:r>
        <w:rPr>
          <w:noProof/>
          <w:lang w:val="en-US"/>
        </w:rPr>
        <w:t>Policy costs</w:t>
      </w:r>
    </w:p>
    <w:p w:rsidR="00B3550D" w:rsidRDefault="00B3550D" w:rsidP="00B3550D">
      <w:pPr>
        <w:pStyle w:val="NoSpacing"/>
        <w:jc w:val="both"/>
        <w:rPr>
          <w:rFonts w:ascii="Calibri" w:hAnsi="Calibri"/>
          <w:b/>
          <w:noProof/>
          <w:sz w:val="20"/>
          <w:szCs w:val="20"/>
          <w:lang w:val="en-US"/>
        </w:rPr>
      </w:pPr>
    </w:p>
    <w:p w:rsidR="00B3550D" w:rsidRPr="00CB623C" w:rsidRDefault="00B3550D" w:rsidP="00B3550D">
      <w:pPr>
        <w:pStyle w:val="NoSpacing"/>
        <w:jc w:val="both"/>
        <w:rPr>
          <w:rFonts w:ascii="Calibri" w:hAnsi="Calibri"/>
          <w:bCs/>
          <w:noProof/>
          <w:sz w:val="20"/>
          <w:szCs w:val="20"/>
          <w:lang w:val="en-US"/>
        </w:rPr>
      </w:pPr>
      <w:r w:rsidRPr="00CB623C">
        <w:rPr>
          <w:rFonts w:ascii="Calibri" w:hAnsi="Calibri"/>
          <w:bCs/>
          <w:noProof/>
          <w:sz w:val="20"/>
          <w:szCs w:val="20"/>
          <w:lang w:val="en-US"/>
        </w:rPr>
        <w:t>Note</w:t>
      </w:r>
      <w:r>
        <w:rPr>
          <w:rFonts w:ascii="Calibri" w:hAnsi="Calibri"/>
          <w:bCs/>
          <w:noProof/>
          <w:sz w:val="20"/>
          <w:szCs w:val="20"/>
          <w:lang w:val="en-US"/>
        </w:rPr>
        <w:t xml:space="preserve">: Table S5.1 shows the cumulative discounted totals for the 2015-2030 </w:t>
      </w:r>
      <w:r>
        <w:rPr>
          <w:rFonts w:ascii="Calibri" w:hAnsi="Calibri"/>
          <w:noProof/>
          <w:sz w:val="20"/>
          <w:szCs w:val="20"/>
          <w:lang w:val="en-US"/>
        </w:rPr>
        <w:t xml:space="preserve">and 2015-2100 periods. Table S5.2 shows the costs </w:t>
      </w:r>
      <w:r w:rsidRPr="00CB623C">
        <w:rPr>
          <w:rFonts w:ascii="Calibri" w:hAnsi="Calibri"/>
          <w:noProof/>
          <w:sz w:val="20"/>
          <w:szCs w:val="20"/>
          <w:u w:val="single"/>
          <w:lang w:val="en-US"/>
        </w:rPr>
        <w:t>in</w:t>
      </w:r>
      <w:r>
        <w:rPr>
          <w:rFonts w:ascii="Calibri" w:hAnsi="Calibri"/>
          <w:noProof/>
          <w:sz w:val="20"/>
          <w:szCs w:val="20"/>
          <w:lang w:val="en-US"/>
        </w:rPr>
        <w:t xml:space="preserve"> 2030 and 2100.</w:t>
      </w:r>
    </w:p>
    <w:p w:rsidR="00B3550D" w:rsidRDefault="00B3550D" w:rsidP="00B3550D">
      <w:pPr>
        <w:pStyle w:val="NoSpacing"/>
        <w:jc w:val="both"/>
        <w:rPr>
          <w:rFonts w:ascii="Calibri" w:hAnsi="Calibri"/>
          <w:b/>
          <w:noProof/>
          <w:sz w:val="20"/>
          <w:szCs w:val="20"/>
          <w:lang w:val="en-US"/>
        </w:rPr>
      </w:pPr>
    </w:p>
    <w:p w:rsidR="00B3550D" w:rsidRPr="002E3027" w:rsidRDefault="00B3550D" w:rsidP="00B3550D">
      <w:pPr>
        <w:pStyle w:val="NoSpacing"/>
        <w:jc w:val="both"/>
        <w:rPr>
          <w:rFonts w:ascii="Calibri" w:hAnsi="Calibri"/>
          <w:noProof/>
          <w:sz w:val="20"/>
          <w:szCs w:val="20"/>
          <w:lang w:val="en-US"/>
        </w:rPr>
      </w:pPr>
      <w:r w:rsidRPr="0014522D">
        <w:rPr>
          <w:rFonts w:ascii="Calibri" w:hAnsi="Calibri"/>
          <w:b/>
          <w:noProof/>
          <w:sz w:val="20"/>
          <w:szCs w:val="20"/>
          <w:lang w:val="en-US"/>
        </w:rPr>
        <w:t xml:space="preserve">Table </w:t>
      </w:r>
      <w:r>
        <w:rPr>
          <w:rFonts w:ascii="Calibri" w:hAnsi="Calibri"/>
          <w:b/>
          <w:noProof/>
          <w:sz w:val="20"/>
          <w:szCs w:val="20"/>
          <w:lang w:val="en-US"/>
        </w:rPr>
        <w:t>S5.1</w:t>
      </w:r>
      <w:r w:rsidRPr="0014522D">
        <w:rPr>
          <w:rFonts w:ascii="Calibri" w:hAnsi="Calibri"/>
          <w:b/>
          <w:noProof/>
          <w:sz w:val="20"/>
          <w:szCs w:val="20"/>
          <w:lang w:val="en-US"/>
        </w:rPr>
        <w:t xml:space="preserve">: </w:t>
      </w:r>
      <w:r>
        <w:rPr>
          <w:rFonts w:ascii="Calibri" w:hAnsi="Calibri"/>
          <w:b/>
          <w:noProof/>
          <w:sz w:val="20"/>
          <w:szCs w:val="20"/>
          <w:lang w:val="en-US"/>
        </w:rPr>
        <w:t>Cumulative g</w:t>
      </w:r>
      <w:r w:rsidRPr="0014522D">
        <w:rPr>
          <w:rFonts w:ascii="Calibri" w:hAnsi="Calibri"/>
          <w:b/>
          <w:noProof/>
          <w:sz w:val="20"/>
          <w:szCs w:val="20"/>
          <w:lang w:val="en-US"/>
        </w:rPr>
        <w:t>lobal air quality and climate policy costs by scenario.</w:t>
      </w:r>
      <w:r w:rsidRPr="002E3027">
        <w:rPr>
          <w:rFonts w:ascii="Calibri" w:hAnsi="Calibri"/>
          <w:noProof/>
          <w:sz w:val="20"/>
          <w:szCs w:val="20"/>
          <w:lang w:val="en-US"/>
        </w:rPr>
        <w:t xml:space="preserve"> </w:t>
      </w:r>
      <w:r>
        <w:rPr>
          <w:rFonts w:ascii="Calibri" w:hAnsi="Calibri"/>
          <w:noProof/>
          <w:sz w:val="20"/>
          <w:szCs w:val="20"/>
          <w:lang w:val="en-US"/>
        </w:rPr>
        <w:t xml:space="preserve">Costs represent cumulative discounted totals in the 2015-2030 and 2015-2100 periods (with a 5% discount factor). </w:t>
      </w:r>
      <w:r w:rsidRPr="002E3027">
        <w:rPr>
          <w:rFonts w:ascii="Calibri" w:hAnsi="Calibri"/>
          <w:noProof/>
          <w:sz w:val="20"/>
          <w:szCs w:val="20"/>
          <w:lang w:val="en-US"/>
        </w:rPr>
        <w:t>Air quality policy</w:t>
      </w:r>
      <w:r>
        <w:rPr>
          <w:rFonts w:ascii="Calibri" w:hAnsi="Calibri"/>
          <w:noProof/>
          <w:sz w:val="20"/>
          <w:szCs w:val="20"/>
          <w:lang w:val="en-US"/>
        </w:rPr>
        <w:t xml:space="preserve"> costs represent air pollutant control via</w:t>
      </w:r>
      <w:r w:rsidRPr="002E3027">
        <w:rPr>
          <w:rFonts w:ascii="Calibri" w:hAnsi="Calibri"/>
          <w:noProof/>
          <w:sz w:val="20"/>
          <w:szCs w:val="20"/>
          <w:lang w:val="en-US"/>
        </w:rPr>
        <w:t xml:space="preserve"> all BC measures and includes the co-mitigation of OC, SO</w:t>
      </w:r>
      <w:r w:rsidRPr="002E3027">
        <w:rPr>
          <w:rFonts w:ascii="Calibri" w:hAnsi="Calibri"/>
          <w:noProof/>
          <w:sz w:val="20"/>
          <w:szCs w:val="20"/>
          <w:vertAlign w:val="subscript"/>
          <w:lang w:val="en-US"/>
        </w:rPr>
        <w:t>2</w:t>
      </w:r>
      <w:r w:rsidRPr="002E3027">
        <w:rPr>
          <w:rFonts w:ascii="Calibri" w:hAnsi="Calibri"/>
          <w:noProof/>
          <w:sz w:val="20"/>
          <w:szCs w:val="20"/>
          <w:lang w:val="en-US"/>
        </w:rPr>
        <w:t xml:space="preserve"> and NOx.</w:t>
      </w:r>
      <w:r>
        <w:rPr>
          <w:rFonts w:ascii="Calibri" w:hAnsi="Calibri"/>
          <w:noProof/>
          <w:sz w:val="20"/>
          <w:szCs w:val="20"/>
          <w:lang w:val="en-US"/>
        </w:rPr>
        <w:t xml:space="preserve"> A</w:t>
      </w:r>
      <w:r w:rsidRPr="00754965">
        <w:rPr>
          <w:rFonts w:ascii="Calibri" w:hAnsi="Calibri"/>
          <w:noProof/>
          <w:sz w:val="20"/>
          <w:szCs w:val="20"/>
          <w:lang w:val="en-US"/>
        </w:rPr>
        <w:t>ir pollution policy cost is the cost of pollution abatement measures only (</w:t>
      </w:r>
      <w:r>
        <w:rPr>
          <w:rFonts w:ascii="Calibri" w:hAnsi="Calibri"/>
          <w:noProof/>
          <w:sz w:val="20"/>
          <w:szCs w:val="20"/>
          <w:lang w:val="en-US"/>
        </w:rPr>
        <w:t xml:space="preserve">i.e. </w:t>
      </w:r>
      <w:r w:rsidRPr="00754965">
        <w:rPr>
          <w:rFonts w:ascii="Calibri" w:hAnsi="Calibri"/>
          <w:noProof/>
          <w:sz w:val="20"/>
          <w:szCs w:val="20"/>
          <w:lang w:val="en-US"/>
        </w:rPr>
        <w:t>not costs/benefits due to air pollution reduction or any indirect economic costs/benefits)</w:t>
      </w:r>
      <w:r>
        <w:rPr>
          <w:rFonts w:ascii="Calibri" w:hAnsi="Calibri"/>
          <w:noProof/>
          <w:sz w:val="20"/>
          <w:szCs w:val="20"/>
          <w:lang w:val="en-US"/>
        </w:rPr>
        <w:t>.</w:t>
      </w:r>
      <w:r w:rsidRPr="002E3027">
        <w:rPr>
          <w:rFonts w:ascii="Calibri" w:hAnsi="Calibri"/>
          <w:noProof/>
          <w:sz w:val="20"/>
          <w:szCs w:val="20"/>
          <w:lang w:val="en-US"/>
        </w:rPr>
        <w:t xml:space="preserve"> Reduction of forest and savannah burning are included in climate policy costs, since CO</w:t>
      </w:r>
      <w:r w:rsidRPr="002E3027">
        <w:rPr>
          <w:rFonts w:ascii="Calibri" w:hAnsi="Calibri"/>
          <w:noProof/>
          <w:sz w:val="20"/>
          <w:szCs w:val="20"/>
          <w:vertAlign w:val="subscript"/>
          <w:lang w:val="en-US"/>
        </w:rPr>
        <w:t>2</w:t>
      </w:r>
      <w:r w:rsidRPr="002E3027">
        <w:rPr>
          <w:rFonts w:ascii="Calibri" w:hAnsi="Calibri"/>
          <w:noProof/>
          <w:sz w:val="20"/>
          <w:szCs w:val="20"/>
          <w:lang w:val="en-US"/>
        </w:rPr>
        <w:t xml:space="preserve"> mitigation and ecosystem protection are considered the main mitigation drivers. The last column </w:t>
      </w:r>
      <w:r>
        <w:rPr>
          <w:rFonts w:ascii="Calibri" w:hAnsi="Calibri"/>
          <w:noProof/>
          <w:sz w:val="20"/>
          <w:szCs w:val="20"/>
          <w:lang w:val="en-US"/>
        </w:rPr>
        <w:t>represents the total policy costs are share of global GDP</w:t>
      </w:r>
      <w:r w:rsidRPr="00754965">
        <w:rPr>
          <w:rFonts w:ascii="Calibri" w:hAnsi="Calibri"/>
          <w:noProof/>
          <w:sz w:val="20"/>
          <w:szCs w:val="20"/>
          <w:lang w:val="en-US"/>
        </w:rPr>
        <w:t xml:space="preserve">. </w:t>
      </w:r>
      <w:r w:rsidRPr="00AD7B28">
        <w:rPr>
          <w:rFonts w:ascii="Calibri" w:hAnsi="Calibri"/>
          <w:noProof/>
          <w:sz w:val="20"/>
          <w:szCs w:val="20"/>
          <w:lang w:val="en-US"/>
        </w:rPr>
        <w:t xml:space="preserve">See </w:t>
      </w:r>
      <w:r w:rsidRPr="00EE1268">
        <w:rPr>
          <w:rFonts w:ascii="Calibri" w:hAnsi="Calibri"/>
          <w:noProof/>
          <w:sz w:val="20"/>
          <w:szCs w:val="20"/>
          <w:lang w:val="en-US"/>
        </w:rPr>
        <w:t>table</w:t>
      </w:r>
      <w:r w:rsidRPr="00754965">
        <w:rPr>
          <w:rFonts w:ascii="Calibri" w:hAnsi="Calibri"/>
          <w:noProof/>
          <w:sz w:val="20"/>
          <w:szCs w:val="20"/>
          <w:lang w:val="en-US"/>
        </w:rPr>
        <w:t xml:space="preserve"> </w:t>
      </w:r>
      <w:r w:rsidRPr="00AD7B28">
        <w:rPr>
          <w:rFonts w:ascii="Calibri" w:hAnsi="Calibri"/>
          <w:noProof/>
          <w:sz w:val="20"/>
          <w:szCs w:val="20"/>
          <w:lang w:val="en-US"/>
        </w:rPr>
        <w:t>S5</w:t>
      </w:r>
      <w:r w:rsidRPr="000E32C8">
        <w:rPr>
          <w:rFonts w:ascii="Calibri" w:hAnsi="Calibri"/>
          <w:noProof/>
          <w:sz w:val="20"/>
          <w:szCs w:val="20"/>
          <w:lang w:val="en-US"/>
        </w:rPr>
        <w:t xml:space="preserve">.2 for </w:t>
      </w:r>
      <w:r>
        <w:rPr>
          <w:rFonts w:ascii="Calibri" w:hAnsi="Calibri"/>
          <w:noProof/>
          <w:sz w:val="20"/>
          <w:szCs w:val="20"/>
          <w:lang w:val="en-US"/>
        </w:rPr>
        <w:t>the yearly cost estimates in 2030 and 2100.</w:t>
      </w:r>
    </w:p>
    <w:tbl>
      <w:tblPr>
        <w:tblStyle w:val="ListTable3-Accent1"/>
        <w:tblW w:w="10347" w:type="dxa"/>
        <w:tblInd w:w="-431" w:type="dxa"/>
        <w:tblLayout w:type="fixed"/>
        <w:tblLook w:val="04A0" w:firstRow="1" w:lastRow="0" w:firstColumn="1" w:lastColumn="0" w:noHBand="0" w:noVBand="1"/>
      </w:tblPr>
      <w:tblGrid>
        <w:gridCol w:w="1638"/>
        <w:gridCol w:w="892"/>
        <w:gridCol w:w="1148"/>
        <w:gridCol w:w="1012"/>
        <w:gridCol w:w="1015"/>
        <w:gridCol w:w="956"/>
        <w:gridCol w:w="860"/>
        <w:gridCol w:w="1047"/>
        <w:gridCol w:w="720"/>
        <w:gridCol w:w="1059"/>
      </w:tblGrid>
      <w:tr w:rsidR="00B3550D" w:rsidRPr="002E3027" w:rsidTr="00CC659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Cs w:val="26"/>
                <w:lang w:val="en-US"/>
              </w:rPr>
            </w:pPr>
            <w:r w:rsidRPr="002E3027">
              <w:rPr>
                <w:rFonts w:ascii="Calibri" w:hAnsi="Calibri"/>
                <w:noProof/>
                <w:lang w:val="en-US"/>
              </w:rPr>
              <w:t>Scenario</w:t>
            </w:r>
          </w:p>
        </w:tc>
        <w:tc>
          <w:tcPr>
            <w:tcW w:w="2040" w:type="dxa"/>
            <w:gridSpan w:val="2"/>
          </w:tcPr>
          <w:p w:rsidR="00B3550D" w:rsidRPr="002E3027" w:rsidRDefault="00B3550D" w:rsidP="00CC659F">
            <w:pPr>
              <w:cnfStyle w:val="100000000000" w:firstRow="1" w:lastRow="0" w:firstColumn="0" w:lastColumn="0" w:oddVBand="0" w:evenVBand="0" w:oddHBand="0" w:evenHBand="0" w:firstRowFirstColumn="0" w:firstRowLastColumn="0" w:lastRowFirstColumn="0" w:lastRowLastColumn="0"/>
              <w:rPr>
                <w:rFonts w:ascii="Calibri" w:eastAsiaTheme="majorEastAsia" w:hAnsi="Calibri" w:cstheme="majorBidi"/>
                <w:b w:val="0"/>
                <w:bCs w:val="0"/>
                <w:noProof/>
                <w:szCs w:val="26"/>
                <w:lang w:val="en-US"/>
              </w:rPr>
            </w:pPr>
            <w:r w:rsidRPr="002E3027">
              <w:rPr>
                <w:rFonts w:ascii="Calibri" w:hAnsi="Calibri"/>
                <w:noProof/>
                <w:lang w:val="en-US"/>
              </w:rPr>
              <w:t>Policy costs</w:t>
            </w:r>
          </w:p>
        </w:tc>
        <w:tc>
          <w:tcPr>
            <w:tcW w:w="1012" w:type="dxa"/>
          </w:tcPr>
          <w:p w:rsidR="00B3550D" w:rsidRPr="002E3027" w:rsidRDefault="00B3550D" w:rsidP="00CC659F">
            <w:pPr>
              <w:cnfStyle w:val="100000000000" w:firstRow="1" w:lastRow="0" w:firstColumn="0" w:lastColumn="0" w:oddVBand="0" w:evenVBand="0" w:oddHBand="0" w:evenHBand="0" w:firstRowFirstColumn="0" w:firstRowLastColumn="0" w:lastRowFirstColumn="0" w:lastRowLastColumn="0"/>
              <w:rPr>
                <w:rFonts w:ascii="Calibri" w:eastAsiaTheme="majorEastAsia" w:hAnsi="Calibri" w:cstheme="majorBidi"/>
                <w:b w:val="0"/>
                <w:bCs w:val="0"/>
                <w:noProof/>
                <w:sz w:val="18"/>
                <w:szCs w:val="26"/>
                <w:lang w:val="en-US"/>
              </w:rPr>
            </w:pPr>
          </w:p>
        </w:tc>
        <w:tc>
          <w:tcPr>
            <w:tcW w:w="1015" w:type="dxa"/>
          </w:tcPr>
          <w:p w:rsidR="00B3550D" w:rsidRPr="002E3027" w:rsidRDefault="00B3550D" w:rsidP="00CC659F">
            <w:pPr>
              <w:cnfStyle w:val="100000000000" w:firstRow="1" w:lastRow="0" w:firstColumn="0" w:lastColumn="0" w:oddVBand="0" w:evenVBand="0" w:oddHBand="0" w:evenHBand="0" w:firstRowFirstColumn="0" w:firstRowLastColumn="0" w:lastRowFirstColumn="0" w:lastRowLastColumn="0"/>
              <w:rPr>
                <w:rFonts w:ascii="Calibri" w:eastAsiaTheme="majorEastAsia" w:hAnsi="Calibri" w:cstheme="majorBidi"/>
                <w:b w:val="0"/>
                <w:bCs w:val="0"/>
                <w:noProof/>
                <w:sz w:val="18"/>
                <w:szCs w:val="26"/>
                <w:lang w:val="en-US"/>
              </w:rPr>
            </w:pPr>
          </w:p>
        </w:tc>
        <w:tc>
          <w:tcPr>
            <w:tcW w:w="956" w:type="dxa"/>
          </w:tcPr>
          <w:p w:rsidR="00B3550D" w:rsidRPr="002E3027" w:rsidRDefault="00B3550D" w:rsidP="00CC659F">
            <w:pPr>
              <w:cnfStyle w:val="100000000000" w:firstRow="1" w:lastRow="0" w:firstColumn="0" w:lastColumn="0" w:oddVBand="0" w:evenVBand="0" w:oddHBand="0" w:evenHBand="0" w:firstRowFirstColumn="0" w:firstRowLastColumn="0" w:lastRowFirstColumn="0" w:lastRowLastColumn="0"/>
              <w:rPr>
                <w:rFonts w:ascii="Calibri" w:eastAsiaTheme="majorEastAsia" w:hAnsi="Calibri" w:cstheme="majorBidi"/>
                <w:b w:val="0"/>
                <w:bCs w:val="0"/>
                <w:noProof/>
                <w:sz w:val="18"/>
                <w:szCs w:val="26"/>
                <w:lang w:val="en-US"/>
              </w:rPr>
            </w:pPr>
          </w:p>
        </w:tc>
        <w:tc>
          <w:tcPr>
            <w:tcW w:w="860" w:type="dxa"/>
          </w:tcPr>
          <w:p w:rsidR="00B3550D" w:rsidRPr="002E3027" w:rsidRDefault="00B3550D" w:rsidP="00CC659F">
            <w:pPr>
              <w:cnfStyle w:val="100000000000" w:firstRow="1" w:lastRow="0" w:firstColumn="0" w:lastColumn="0" w:oddVBand="0" w:evenVBand="0" w:oddHBand="0" w:evenHBand="0" w:firstRowFirstColumn="0" w:firstRowLastColumn="0" w:lastRowFirstColumn="0" w:lastRowLastColumn="0"/>
              <w:rPr>
                <w:rFonts w:ascii="Calibri" w:hAnsi="Calibri"/>
                <w:noProof/>
                <w:sz w:val="18"/>
                <w:lang w:val="en-US"/>
              </w:rPr>
            </w:pPr>
          </w:p>
        </w:tc>
        <w:tc>
          <w:tcPr>
            <w:tcW w:w="1047" w:type="dxa"/>
          </w:tcPr>
          <w:p w:rsidR="00B3550D" w:rsidRPr="002E3027" w:rsidRDefault="00B3550D" w:rsidP="00CC659F">
            <w:pPr>
              <w:cnfStyle w:val="100000000000" w:firstRow="1" w:lastRow="0" w:firstColumn="0" w:lastColumn="0" w:oddVBand="0" w:evenVBand="0" w:oddHBand="0" w:evenHBand="0" w:firstRowFirstColumn="0" w:firstRowLastColumn="0" w:lastRowFirstColumn="0" w:lastRowLastColumn="0"/>
              <w:rPr>
                <w:rFonts w:ascii="Calibri" w:eastAsiaTheme="majorEastAsia" w:hAnsi="Calibri" w:cstheme="majorBidi"/>
                <w:b w:val="0"/>
                <w:bCs w:val="0"/>
                <w:noProof/>
                <w:sz w:val="18"/>
                <w:szCs w:val="26"/>
                <w:lang w:val="en-US"/>
              </w:rPr>
            </w:pPr>
          </w:p>
        </w:tc>
        <w:tc>
          <w:tcPr>
            <w:tcW w:w="720" w:type="dxa"/>
          </w:tcPr>
          <w:p w:rsidR="00B3550D" w:rsidRPr="002E3027" w:rsidRDefault="00B3550D" w:rsidP="00CC659F">
            <w:pPr>
              <w:cnfStyle w:val="100000000000" w:firstRow="1" w:lastRow="0" w:firstColumn="0" w:lastColumn="0" w:oddVBand="0" w:evenVBand="0" w:oddHBand="0" w:evenHBand="0" w:firstRowFirstColumn="0" w:firstRowLastColumn="0" w:lastRowFirstColumn="0" w:lastRowLastColumn="0"/>
              <w:rPr>
                <w:rFonts w:ascii="Calibri" w:eastAsiaTheme="majorEastAsia" w:hAnsi="Calibri" w:cstheme="majorBidi"/>
                <w:b w:val="0"/>
                <w:bCs w:val="0"/>
                <w:noProof/>
                <w:sz w:val="18"/>
                <w:szCs w:val="26"/>
                <w:lang w:val="en-US"/>
              </w:rPr>
            </w:pPr>
          </w:p>
        </w:tc>
        <w:tc>
          <w:tcPr>
            <w:tcW w:w="1059" w:type="dxa"/>
          </w:tcPr>
          <w:p w:rsidR="00B3550D" w:rsidRPr="002E3027" w:rsidRDefault="00B3550D" w:rsidP="00CC659F">
            <w:pPr>
              <w:cnfStyle w:val="100000000000" w:firstRow="1" w:lastRow="0" w:firstColumn="0" w:lastColumn="0" w:oddVBand="0" w:evenVBand="0" w:oddHBand="0" w:evenHBand="0" w:firstRowFirstColumn="0" w:firstRowLastColumn="0" w:lastRowFirstColumn="0" w:lastRowLastColumn="0"/>
              <w:rPr>
                <w:rFonts w:ascii="Calibri" w:eastAsiaTheme="majorEastAsia" w:hAnsi="Calibri" w:cstheme="majorBidi"/>
                <w:b w:val="0"/>
                <w:bCs w:val="0"/>
                <w:noProof/>
                <w:sz w:val="18"/>
                <w:szCs w:val="26"/>
                <w:lang w:val="en-US"/>
              </w:rPr>
            </w:pP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hAnsi="Calibri"/>
                <w:noProof/>
                <w:sz w:val="18"/>
                <w:lang w:val="en-US"/>
              </w:rPr>
            </w:pPr>
          </w:p>
        </w:tc>
        <w:tc>
          <w:tcPr>
            <w:tcW w:w="2040" w:type="dxa"/>
            <w:gridSpan w:val="2"/>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r w:rsidRPr="002E3027">
              <w:rPr>
                <w:rFonts w:ascii="Calibri" w:hAnsi="Calibri"/>
                <w:noProof/>
                <w:sz w:val="18"/>
                <w:lang w:val="en-US"/>
              </w:rPr>
              <w:t>(in billion $ (2015)/year)</w:t>
            </w:r>
          </w:p>
        </w:tc>
        <w:tc>
          <w:tcPr>
            <w:tcW w:w="1012"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p>
        </w:tc>
        <w:tc>
          <w:tcPr>
            <w:tcW w:w="1015"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p>
        </w:tc>
        <w:tc>
          <w:tcPr>
            <w:tcW w:w="956"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p>
        </w:tc>
        <w:tc>
          <w:tcPr>
            <w:tcW w:w="860"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1047"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p>
        </w:tc>
        <w:tc>
          <w:tcPr>
            <w:tcW w:w="720"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p>
        </w:tc>
        <w:tc>
          <w:tcPr>
            <w:tcW w:w="1059"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p>
        </w:tc>
      </w:tr>
      <w:tr w:rsidR="00B3550D" w:rsidRPr="00EE1268"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24"/>
                <w:szCs w:val="24"/>
                <w:lang w:val="en-US"/>
              </w:rPr>
            </w:pPr>
          </w:p>
        </w:tc>
        <w:tc>
          <w:tcPr>
            <w:tcW w:w="892"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Cs/>
                <w:noProof/>
                <w:sz w:val="18"/>
                <w:szCs w:val="26"/>
                <w:lang w:val="en-US"/>
              </w:rPr>
            </w:pPr>
            <w:r w:rsidRPr="002E3027">
              <w:rPr>
                <w:rFonts w:ascii="Calibri" w:eastAsiaTheme="majorEastAsia" w:hAnsi="Calibri" w:cstheme="majorBidi"/>
                <w:bCs/>
                <w:noProof/>
                <w:sz w:val="18"/>
                <w:szCs w:val="26"/>
                <w:lang w:val="en-US"/>
              </w:rPr>
              <w:t>Air quality policy costs</w:t>
            </w:r>
          </w:p>
        </w:tc>
        <w:tc>
          <w:tcPr>
            <w:tcW w:w="1148"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p>
        </w:tc>
        <w:tc>
          <w:tcPr>
            <w:tcW w:w="1012"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p>
        </w:tc>
        <w:tc>
          <w:tcPr>
            <w:tcW w:w="1015"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p>
        </w:tc>
        <w:tc>
          <w:tcPr>
            <w:tcW w:w="956"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p>
        </w:tc>
        <w:tc>
          <w:tcPr>
            <w:tcW w:w="860"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p>
        </w:tc>
        <w:tc>
          <w:tcPr>
            <w:tcW w:w="1047"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noProof/>
                <w:sz w:val="18"/>
                <w:lang w:val="en-US"/>
              </w:rPr>
              <w:t>Climate policy costs</w:t>
            </w:r>
          </w:p>
        </w:tc>
        <w:tc>
          <w:tcPr>
            <w:tcW w:w="720"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noProof/>
                <w:sz w:val="18"/>
                <w:lang w:val="en-US"/>
              </w:rPr>
              <w:t>Total policy costs</w:t>
            </w:r>
          </w:p>
        </w:tc>
        <w:tc>
          <w:tcPr>
            <w:tcW w:w="1059"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Pr>
                <w:rFonts w:ascii="Calibri" w:hAnsi="Calibri"/>
                <w:noProof/>
                <w:sz w:val="18"/>
                <w:lang w:val="en-US"/>
              </w:rPr>
              <w:t>Policy costs as share of global GDP (%)</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24"/>
                <w:szCs w:val="24"/>
                <w:lang w:val="en-US"/>
              </w:rPr>
            </w:pPr>
          </w:p>
        </w:tc>
        <w:tc>
          <w:tcPr>
            <w:tcW w:w="892"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r w:rsidRPr="002E3027">
              <w:rPr>
                <w:rFonts w:ascii="Calibri" w:hAnsi="Calibri"/>
                <w:noProof/>
                <w:sz w:val="18"/>
                <w:lang w:val="en-US"/>
              </w:rPr>
              <w:t>Industry</w:t>
            </w:r>
          </w:p>
        </w:tc>
        <w:tc>
          <w:tcPr>
            <w:tcW w:w="1148"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r w:rsidRPr="002E3027">
              <w:rPr>
                <w:rFonts w:ascii="Calibri" w:hAnsi="Calibri"/>
                <w:noProof/>
                <w:sz w:val="18"/>
                <w:lang w:val="en-US"/>
              </w:rPr>
              <w:t>Residential</w:t>
            </w:r>
          </w:p>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r w:rsidRPr="002E3027">
              <w:rPr>
                <w:rFonts w:ascii="Calibri" w:hAnsi="Calibri"/>
                <w:noProof/>
                <w:sz w:val="18"/>
                <w:lang w:val="en-US"/>
              </w:rPr>
              <w:t>/commercial</w:t>
            </w:r>
          </w:p>
        </w:tc>
        <w:tc>
          <w:tcPr>
            <w:tcW w:w="1012"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r w:rsidRPr="002E3027">
              <w:rPr>
                <w:rFonts w:ascii="Calibri" w:hAnsi="Calibri"/>
                <w:noProof/>
                <w:sz w:val="18"/>
                <w:lang w:val="en-US"/>
              </w:rPr>
              <w:t>Transport</w:t>
            </w:r>
          </w:p>
        </w:tc>
        <w:tc>
          <w:tcPr>
            <w:tcW w:w="1015"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r w:rsidRPr="002E3027">
              <w:rPr>
                <w:rFonts w:ascii="Calibri" w:hAnsi="Calibri"/>
                <w:noProof/>
                <w:sz w:val="18"/>
                <w:lang w:val="en-US"/>
              </w:rPr>
              <w:t>Power generation</w:t>
            </w:r>
          </w:p>
        </w:tc>
        <w:tc>
          <w:tcPr>
            <w:tcW w:w="956"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r w:rsidRPr="002E3027">
              <w:rPr>
                <w:rFonts w:ascii="Calibri" w:hAnsi="Calibri"/>
                <w:noProof/>
                <w:sz w:val="18"/>
                <w:lang w:val="en-US"/>
              </w:rPr>
              <w:t>Trans-formation</w:t>
            </w:r>
          </w:p>
        </w:tc>
        <w:tc>
          <w:tcPr>
            <w:tcW w:w="860"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eastAsiaTheme="majorEastAsia" w:hAnsi="Calibri" w:cstheme="majorBidi"/>
                <w:b/>
                <w:bCs/>
                <w:noProof/>
                <w:sz w:val="18"/>
                <w:szCs w:val="26"/>
                <w:lang w:val="en-US"/>
              </w:rPr>
              <w:t xml:space="preserve">Total </w:t>
            </w:r>
            <w:r w:rsidRPr="0042283B">
              <w:rPr>
                <w:rFonts w:ascii="Calibri" w:eastAsiaTheme="majorEastAsia" w:hAnsi="Calibri" w:cstheme="majorBidi"/>
                <w:b/>
                <w:bCs/>
                <w:noProof/>
                <w:sz w:val="18"/>
                <w:szCs w:val="26"/>
                <w:lang w:val="en-US"/>
              </w:rPr>
              <w:t>air quality</w:t>
            </w:r>
          </w:p>
        </w:tc>
        <w:tc>
          <w:tcPr>
            <w:tcW w:w="1047"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Pr>
                <w:rFonts w:ascii="Calibri" w:eastAsiaTheme="majorEastAsia" w:hAnsi="Calibri" w:cstheme="majorBidi"/>
                <w:b/>
                <w:bCs/>
                <w:noProof/>
                <w:sz w:val="18"/>
                <w:szCs w:val="26"/>
                <w:lang w:val="en-US"/>
              </w:rPr>
              <w:t>Total Climate</w:t>
            </w:r>
          </w:p>
        </w:tc>
        <w:tc>
          <w:tcPr>
            <w:tcW w:w="720"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eastAsiaTheme="majorEastAsia" w:hAnsi="Calibri" w:cstheme="majorBidi"/>
                <w:b/>
                <w:bCs/>
                <w:noProof/>
                <w:sz w:val="18"/>
                <w:szCs w:val="26"/>
                <w:lang w:val="en-US"/>
              </w:rPr>
              <w:t>Total</w:t>
            </w:r>
          </w:p>
        </w:tc>
        <w:tc>
          <w:tcPr>
            <w:tcW w:w="1059"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24"/>
                <w:szCs w:val="24"/>
                <w:lang w:val="en-US"/>
              </w:rPr>
            </w:pPr>
            <w:r>
              <w:rPr>
                <w:rFonts w:ascii="Calibri" w:eastAsiaTheme="majorEastAsia" w:hAnsi="Calibri" w:cstheme="majorBidi"/>
                <w:bCs w:val="0"/>
                <w:noProof/>
                <w:sz w:val="24"/>
                <w:szCs w:val="24"/>
                <w:lang w:val="en-US"/>
              </w:rPr>
              <w:t xml:space="preserve">2015 - </w:t>
            </w:r>
            <w:r w:rsidRPr="002E3027">
              <w:rPr>
                <w:rFonts w:ascii="Calibri" w:eastAsiaTheme="majorEastAsia" w:hAnsi="Calibri" w:cstheme="majorBidi"/>
                <w:bCs w:val="0"/>
                <w:noProof/>
                <w:sz w:val="24"/>
                <w:szCs w:val="24"/>
                <w:lang w:val="en-US"/>
              </w:rPr>
              <w:t>2030</w:t>
            </w:r>
          </w:p>
        </w:tc>
        <w:tc>
          <w:tcPr>
            <w:tcW w:w="892"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1148"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1012"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1015"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956"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860"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p>
        </w:tc>
        <w:tc>
          <w:tcPr>
            <w:tcW w:w="1047"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p>
        </w:tc>
        <w:tc>
          <w:tcPr>
            <w:tcW w:w="720"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p>
        </w:tc>
        <w:tc>
          <w:tcPr>
            <w:tcW w:w="1059"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SSP2</w:t>
            </w:r>
          </w:p>
        </w:tc>
        <w:tc>
          <w:tcPr>
            <w:tcW w:w="89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269</w:t>
            </w:r>
          </w:p>
        </w:tc>
        <w:tc>
          <w:tcPr>
            <w:tcW w:w="1148"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297</w:t>
            </w:r>
          </w:p>
        </w:tc>
        <w:tc>
          <w:tcPr>
            <w:tcW w:w="101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2368</w:t>
            </w:r>
          </w:p>
        </w:tc>
        <w:tc>
          <w:tcPr>
            <w:tcW w:w="1015"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876</w:t>
            </w:r>
          </w:p>
        </w:tc>
        <w:tc>
          <w:tcPr>
            <w:tcW w:w="956"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15</w:t>
            </w:r>
          </w:p>
        </w:tc>
        <w:tc>
          <w:tcPr>
            <w:tcW w:w="86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7C6853">
              <w:rPr>
                <w:sz w:val="18"/>
              </w:rPr>
              <w:t>3825</w:t>
            </w:r>
          </w:p>
        </w:tc>
        <w:tc>
          <w:tcPr>
            <w:tcW w:w="1047"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w:t>
            </w:r>
          </w:p>
        </w:tc>
        <w:tc>
          <w:tcPr>
            <w:tcW w:w="72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3825</w:t>
            </w:r>
          </w:p>
        </w:tc>
        <w:tc>
          <w:tcPr>
            <w:tcW w:w="1059"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0.3%</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SSP2_Climate</w:t>
            </w:r>
          </w:p>
        </w:tc>
        <w:tc>
          <w:tcPr>
            <w:tcW w:w="89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269</w:t>
            </w:r>
          </w:p>
        </w:tc>
        <w:tc>
          <w:tcPr>
            <w:tcW w:w="1148"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905</w:t>
            </w:r>
          </w:p>
        </w:tc>
        <w:tc>
          <w:tcPr>
            <w:tcW w:w="101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2457</w:t>
            </w:r>
          </w:p>
        </w:tc>
        <w:tc>
          <w:tcPr>
            <w:tcW w:w="1015"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876</w:t>
            </w:r>
          </w:p>
        </w:tc>
        <w:tc>
          <w:tcPr>
            <w:tcW w:w="956"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15</w:t>
            </w:r>
          </w:p>
        </w:tc>
        <w:tc>
          <w:tcPr>
            <w:tcW w:w="86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7C6853">
              <w:rPr>
                <w:sz w:val="18"/>
              </w:rPr>
              <w:t>4522</w:t>
            </w:r>
          </w:p>
        </w:tc>
        <w:tc>
          <w:tcPr>
            <w:tcW w:w="1047"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w:t>
            </w:r>
          </w:p>
        </w:tc>
        <w:tc>
          <w:tcPr>
            <w:tcW w:w="72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4522</w:t>
            </w:r>
          </w:p>
        </w:tc>
        <w:tc>
          <w:tcPr>
            <w:tcW w:w="1059"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0.3%</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SSP2_Health</w:t>
            </w:r>
          </w:p>
        </w:tc>
        <w:tc>
          <w:tcPr>
            <w:tcW w:w="89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770</w:t>
            </w:r>
          </w:p>
        </w:tc>
        <w:tc>
          <w:tcPr>
            <w:tcW w:w="1148"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905</w:t>
            </w:r>
          </w:p>
        </w:tc>
        <w:tc>
          <w:tcPr>
            <w:tcW w:w="101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2457</w:t>
            </w:r>
          </w:p>
        </w:tc>
        <w:tc>
          <w:tcPr>
            <w:tcW w:w="1015"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1584</w:t>
            </w:r>
          </w:p>
        </w:tc>
        <w:tc>
          <w:tcPr>
            <w:tcW w:w="956"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30</w:t>
            </w:r>
          </w:p>
        </w:tc>
        <w:tc>
          <w:tcPr>
            <w:tcW w:w="86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7C6853">
              <w:rPr>
                <w:sz w:val="18"/>
              </w:rPr>
              <w:t>5746</w:t>
            </w:r>
          </w:p>
        </w:tc>
        <w:tc>
          <w:tcPr>
            <w:tcW w:w="1047"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w:t>
            </w:r>
          </w:p>
        </w:tc>
        <w:tc>
          <w:tcPr>
            <w:tcW w:w="72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5746</w:t>
            </w:r>
          </w:p>
        </w:tc>
        <w:tc>
          <w:tcPr>
            <w:tcW w:w="1059"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0.4%</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SSP2_26</w:t>
            </w:r>
          </w:p>
        </w:tc>
        <w:tc>
          <w:tcPr>
            <w:tcW w:w="89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240</w:t>
            </w:r>
          </w:p>
        </w:tc>
        <w:tc>
          <w:tcPr>
            <w:tcW w:w="1148"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281</w:t>
            </w:r>
          </w:p>
        </w:tc>
        <w:tc>
          <w:tcPr>
            <w:tcW w:w="101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2208</w:t>
            </w:r>
          </w:p>
        </w:tc>
        <w:tc>
          <w:tcPr>
            <w:tcW w:w="1015"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752</w:t>
            </w:r>
          </w:p>
        </w:tc>
        <w:tc>
          <w:tcPr>
            <w:tcW w:w="956"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15</w:t>
            </w:r>
          </w:p>
        </w:tc>
        <w:tc>
          <w:tcPr>
            <w:tcW w:w="86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7C6853">
              <w:rPr>
                <w:sz w:val="18"/>
              </w:rPr>
              <w:t>3497</w:t>
            </w:r>
          </w:p>
        </w:tc>
        <w:tc>
          <w:tcPr>
            <w:tcW w:w="1047"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6292</w:t>
            </w:r>
          </w:p>
        </w:tc>
        <w:tc>
          <w:tcPr>
            <w:tcW w:w="72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9789</w:t>
            </w:r>
          </w:p>
        </w:tc>
        <w:tc>
          <w:tcPr>
            <w:tcW w:w="1059"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0.7%</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SSP2_26_Climate</w:t>
            </w:r>
          </w:p>
        </w:tc>
        <w:tc>
          <w:tcPr>
            <w:tcW w:w="89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241</w:t>
            </w:r>
          </w:p>
        </w:tc>
        <w:tc>
          <w:tcPr>
            <w:tcW w:w="1148"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856</w:t>
            </w:r>
          </w:p>
        </w:tc>
        <w:tc>
          <w:tcPr>
            <w:tcW w:w="101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2296</w:t>
            </w:r>
          </w:p>
        </w:tc>
        <w:tc>
          <w:tcPr>
            <w:tcW w:w="1015"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757</w:t>
            </w:r>
          </w:p>
        </w:tc>
        <w:tc>
          <w:tcPr>
            <w:tcW w:w="956"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15</w:t>
            </w:r>
          </w:p>
        </w:tc>
        <w:tc>
          <w:tcPr>
            <w:tcW w:w="86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7C6853">
              <w:rPr>
                <w:sz w:val="18"/>
              </w:rPr>
              <w:t>4165</w:t>
            </w:r>
          </w:p>
        </w:tc>
        <w:tc>
          <w:tcPr>
            <w:tcW w:w="1047"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5483</w:t>
            </w:r>
          </w:p>
        </w:tc>
        <w:tc>
          <w:tcPr>
            <w:tcW w:w="72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9648</w:t>
            </w:r>
          </w:p>
        </w:tc>
        <w:tc>
          <w:tcPr>
            <w:tcW w:w="1059"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0.7%</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SSP2_26_Health</w:t>
            </w:r>
          </w:p>
        </w:tc>
        <w:tc>
          <w:tcPr>
            <w:tcW w:w="89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688</w:t>
            </w:r>
          </w:p>
        </w:tc>
        <w:tc>
          <w:tcPr>
            <w:tcW w:w="1148"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855</w:t>
            </w:r>
          </w:p>
        </w:tc>
        <w:tc>
          <w:tcPr>
            <w:tcW w:w="101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2291</w:t>
            </w:r>
          </w:p>
        </w:tc>
        <w:tc>
          <w:tcPr>
            <w:tcW w:w="1015"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1359</w:t>
            </w:r>
          </w:p>
        </w:tc>
        <w:tc>
          <w:tcPr>
            <w:tcW w:w="956"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30</w:t>
            </w:r>
          </w:p>
        </w:tc>
        <w:tc>
          <w:tcPr>
            <w:tcW w:w="86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7C6853">
              <w:rPr>
                <w:sz w:val="18"/>
              </w:rPr>
              <w:t>5224</w:t>
            </w:r>
          </w:p>
        </w:tc>
        <w:tc>
          <w:tcPr>
            <w:tcW w:w="1047"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6073</w:t>
            </w:r>
          </w:p>
        </w:tc>
        <w:tc>
          <w:tcPr>
            <w:tcW w:w="72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11297</w:t>
            </w:r>
          </w:p>
        </w:tc>
        <w:tc>
          <w:tcPr>
            <w:tcW w:w="1059"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0.8%</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hAnsi="Calibri"/>
                <w:noProof/>
                <w:sz w:val="18"/>
                <w:lang w:val="en-US"/>
              </w:rPr>
            </w:pPr>
          </w:p>
        </w:tc>
        <w:tc>
          <w:tcPr>
            <w:tcW w:w="89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1148"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101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1015"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956"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86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p>
        </w:tc>
        <w:tc>
          <w:tcPr>
            <w:tcW w:w="1047"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72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1059"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SSP3</w:t>
            </w:r>
          </w:p>
        </w:tc>
        <w:tc>
          <w:tcPr>
            <w:tcW w:w="89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276</w:t>
            </w:r>
          </w:p>
        </w:tc>
        <w:tc>
          <w:tcPr>
            <w:tcW w:w="1148"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313</w:t>
            </w:r>
          </w:p>
        </w:tc>
        <w:tc>
          <w:tcPr>
            <w:tcW w:w="101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2378</w:t>
            </w:r>
          </w:p>
        </w:tc>
        <w:tc>
          <w:tcPr>
            <w:tcW w:w="1015"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882</w:t>
            </w:r>
          </w:p>
        </w:tc>
        <w:tc>
          <w:tcPr>
            <w:tcW w:w="956"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15</w:t>
            </w:r>
          </w:p>
        </w:tc>
        <w:tc>
          <w:tcPr>
            <w:tcW w:w="86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7C6853">
              <w:rPr>
                <w:sz w:val="18"/>
              </w:rPr>
              <w:t>3864</w:t>
            </w:r>
          </w:p>
        </w:tc>
        <w:tc>
          <w:tcPr>
            <w:tcW w:w="1047"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w:t>
            </w:r>
          </w:p>
        </w:tc>
        <w:tc>
          <w:tcPr>
            <w:tcW w:w="72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3864</w:t>
            </w:r>
          </w:p>
        </w:tc>
        <w:tc>
          <w:tcPr>
            <w:tcW w:w="1059"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0.3%</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SSP3_Climate</w:t>
            </w:r>
          </w:p>
        </w:tc>
        <w:tc>
          <w:tcPr>
            <w:tcW w:w="89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276</w:t>
            </w:r>
          </w:p>
        </w:tc>
        <w:tc>
          <w:tcPr>
            <w:tcW w:w="1148"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955</w:t>
            </w:r>
          </w:p>
        </w:tc>
        <w:tc>
          <w:tcPr>
            <w:tcW w:w="101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2468</w:t>
            </w:r>
          </w:p>
        </w:tc>
        <w:tc>
          <w:tcPr>
            <w:tcW w:w="1015"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882</w:t>
            </w:r>
          </w:p>
        </w:tc>
        <w:tc>
          <w:tcPr>
            <w:tcW w:w="956"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15</w:t>
            </w:r>
          </w:p>
        </w:tc>
        <w:tc>
          <w:tcPr>
            <w:tcW w:w="86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7C6853">
              <w:rPr>
                <w:sz w:val="18"/>
              </w:rPr>
              <w:t>4596</w:t>
            </w:r>
          </w:p>
        </w:tc>
        <w:tc>
          <w:tcPr>
            <w:tcW w:w="1047"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w:t>
            </w:r>
          </w:p>
        </w:tc>
        <w:tc>
          <w:tcPr>
            <w:tcW w:w="72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4596</w:t>
            </w:r>
          </w:p>
        </w:tc>
        <w:tc>
          <w:tcPr>
            <w:tcW w:w="1059"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0.3%</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SSP3_Health</w:t>
            </w:r>
          </w:p>
        </w:tc>
        <w:tc>
          <w:tcPr>
            <w:tcW w:w="89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789</w:t>
            </w:r>
          </w:p>
        </w:tc>
        <w:tc>
          <w:tcPr>
            <w:tcW w:w="1148"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955</w:t>
            </w:r>
          </w:p>
        </w:tc>
        <w:tc>
          <w:tcPr>
            <w:tcW w:w="101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2468</w:t>
            </w:r>
          </w:p>
        </w:tc>
        <w:tc>
          <w:tcPr>
            <w:tcW w:w="1015"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1595</w:t>
            </w:r>
          </w:p>
        </w:tc>
        <w:tc>
          <w:tcPr>
            <w:tcW w:w="956"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30</w:t>
            </w:r>
          </w:p>
        </w:tc>
        <w:tc>
          <w:tcPr>
            <w:tcW w:w="86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7C6853">
              <w:rPr>
                <w:sz w:val="18"/>
              </w:rPr>
              <w:t>5837</w:t>
            </w:r>
          </w:p>
        </w:tc>
        <w:tc>
          <w:tcPr>
            <w:tcW w:w="1047"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w:t>
            </w:r>
          </w:p>
        </w:tc>
        <w:tc>
          <w:tcPr>
            <w:tcW w:w="72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5837</w:t>
            </w:r>
          </w:p>
        </w:tc>
        <w:tc>
          <w:tcPr>
            <w:tcW w:w="1059"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0.4%</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SSP3_34</w:t>
            </w:r>
          </w:p>
        </w:tc>
        <w:tc>
          <w:tcPr>
            <w:tcW w:w="89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248</w:t>
            </w:r>
          </w:p>
        </w:tc>
        <w:tc>
          <w:tcPr>
            <w:tcW w:w="1148"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298</w:t>
            </w:r>
          </w:p>
        </w:tc>
        <w:tc>
          <w:tcPr>
            <w:tcW w:w="101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2247</w:t>
            </w:r>
          </w:p>
        </w:tc>
        <w:tc>
          <w:tcPr>
            <w:tcW w:w="1015"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764</w:t>
            </w:r>
          </w:p>
        </w:tc>
        <w:tc>
          <w:tcPr>
            <w:tcW w:w="956"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15</w:t>
            </w:r>
          </w:p>
        </w:tc>
        <w:tc>
          <w:tcPr>
            <w:tcW w:w="86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7C6853">
              <w:rPr>
                <w:sz w:val="18"/>
              </w:rPr>
              <w:t>3571</w:t>
            </w:r>
          </w:p>
        </w:tc>
        <w:tc>
          <w:tcPr>
            <w:tcW w:w="1047"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3598</w:t>
            </w:r>
          </w:p>
        </w:tc>
        <w:tc>
          <w:tcPr>
            <w:tcW w:w="72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7169</w:t>
            </w:r>
          </w:p>
        </w:tc>
        <w:tc>
          <w:tcPr>
            <w:tcW w:w="1059"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0.5%</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SSP3_34_Climate</w:t>
            </w:r>
          </w:p>
        </w:tc>
        <w:tc>
          <w:tcPr>
            <w:tcW w:w="89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253</w:t>
            </w:r>
          </w:p>
        </w:tc>
        <w:tc>
          <w:tcPr>
            <w:tcW w:w="1148"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916</w:t>
            </w:r>
          </w:p>
        </w:tc>
        <w:tc>
          <w:tcPr>
            <w:tcW w:w="101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2358</w:t>
            </w:r>
          </w:p>
        </w:tc>
        <w:tc>
          <w:tcPr>
            <w:tcW w:w="1015"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779</w:t>
            </w:r>
          </w:p>
        </w:tc>
        <w:tc>
          <w:tcPr>
            <w:tcW w:w="956"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15</w:t>
            </w:r>
          </w:p>
        </w:tc>
        <w:tc>
          <w:tcPr>
            <w:tcW w:w="86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7C6853">
              <w:rPr>
                <w:sz w:val="18"/>
              </w:rPr>
              <w:t>4320</w:t>
            </w:r>
          </w:p>
        </w:tc>
        <w:tc>
          <w:tcPr>
            <w:tcW w:w="1047"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2409</w:t>
            </w:r>
          </w:p>
        </w:tc>
        <w:tc>
          <w:tcPr>
            <w:tcW w:w="72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6729</w:t>
            </w:r>
          </w:p>
        </w:tc>
        <w:tc>
          <w:tcPr>
            <w:tcW w:w="1059"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0.5%</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SSP3_34_Health</w:t>
            </w:r>
          </w:p>
        </w:tc>
        <w:tc>
          <w:tcPr>
            <w:tcW w:w="89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724</w:t>
            </w:r>
          </w:p>
        </w:tc>
        <w:tc>
          <w:tcPr>
            <w:tcW w:w="1148"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916</w:t>
            </w:r>
          </w:p>
        </w:tc>
        <w:tc>
          <w:tcPr>
            <w:tcW w:w="101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2360</w:t>
            </w:r>
          </w:p>
        </w:tc>
        <w:tc>
          <w:tcPr>
            <w:tcW w:w="1015"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1409</w:t>
            </w:r>
          </w:p>
        </w:tc>
        <w:tc>
          <w:tcPr>
            <w:tcW w:w="956"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30</w:t>
            </w:r>
          </w:p>
        </w:tc>
        <w:tc>
          <w:tcPr>
            <w:tcW w:w="86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7C6853">
              <w:rPr>
                <w:sz w:val="18"/>
              </w:rPr>
              <w:t>5439</w:t>
            </w:r>
          </w:p>
        </w:tc>
        <w:tc>
          <w:tcPr>
            <w:tcW w:w="1047"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2566</w:t>
            </w:r>
          </w:p>
        </w:tc>
        <w:tc>
          <w:tcPr>
            <w:tcW w:w="72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8005</w:t>
            </w:r>
          </w:p>
        </w:tc>
        <w:tc>
          <w:tcPr>
            <w:tcW w:w="1059"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0.6%</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hAnsi="Calibri"/>
                <w:noProof/>
                <w:sz w:val="18"/>
                <w:szCs w:val="18"/>
                <w:lang w:val="en-US"/>
              </w:rPr>
            </w:pPr>
          </w:p>
        </w:tc>
        <w:tc>
          <w:tcPr>
            <w:tcW w:w="89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p>
        </w:tc>
        <w:tc>
          <w:tcPr>
            <w:tcW w:w="1148"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p>
        </w:tc>
        <w:tc>
          <w:tcPr>
            <w:tcW w:w="101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p>
        </w:tc>
        <w:tc>
          <w:tcPr>
            <w:tcW w:w="1015"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p>
        </w:tc>
        <w:tc>
          <w:tcPr>
            <w:tcW w:w="956"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p>
        </w:tc>
        <w:tc>
          <w:tcPr>
            <w:tcW w:w="86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p>
        </w:tc>
        <w:tc>
          <w:tcPr>
            <w:tcW w:w="1047"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p>
        </w:tc>
        <w:tc>
          <w:tcPr>
            <w:tcW w:w="72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p>
        </w:tc>
        <w:tc>
          <w:tcPr>
            <w:tcW w:w="1059"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hAnsi="Calibri"/>
                <w:noProof/>
                <w:sz w:val="24"/>
                <w:lang w:val="en-US"/>
              </w:rPr>
            </w:pPr>
            <w:r>
              <w:rPr>
                <w:rFonts w:ascii="Calibri" w:hAnsi="Calibri"/>
                <w:noProof/>
                <w:sz w:val="24"/>
                <w:lang w:val="en-US"/>
              </w:rPr>
              <w:t xml:space="preserve">2015 - </w:t>
            </w:r>
            <w:r w:rsidRPr="002E3027">
              <w:rPr>
                <w:rFonts w:ascii="Calibri" w:hAnsi="Calibri"/>
                <w:noProof/>
                <w:sz w:val="24"/>
                <w:lang w:val="en-US"/>
              </w:rPr>
              <w:t>2100</w:t>
            </w:r>
          </w:p>
        </w:tc>
        <w:tc>
          <w:tcPr>
            <w:tcW w:w="89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1148"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101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1015"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956"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86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p>
        </w:tc>
        <w:tc>
          <w:tcPr>
            <w:tcW w:w="1047"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72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1059"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SSP2</w:t>
            </w:r>
          </w:p>
        </w:tc>
        <w:tc>
          <w:tcPr>
            <w:tcW w:w="89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567</w:t>
            </w:r>
          </w:p>
        </w:tc>
        <w:tc>
          <w:tcPr>
            <w:tcW w:w="1148"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620</w:t>
            </w:r>
          </w:p>
        </w:tc>
        <w:tc>
          <w:tcPr>
            <w:tcW w:w="101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4817</w:t>
            </w:r>
          </w:p>
        </w:tc>
        <w:tc>
          <w:tcPr>
            <w:tcW w:w="1015"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1590</w:t>
            </w:r>
          </w:p>
        </w:tc>
        <w:tc>
          <w:tcPr>
            <w:tcW w:w="956"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27</w:t>
            </w:r>
          </w:p>
        </w:tc>
        <w:tc>
          <w:tcPr>
            <w:tcW w:w="86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7C6853">
              <w:rPr>
                <w:sz w:val="18"/>
              </w:rPr>
              <w:t>7622</w:t>
            </w:r>
          </w:p>
        </w:tc>
        <w:tc>
          <w:tcPr>
            <w:tcW w:w="1047"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w:t>
            </w:r>
          </w:p>
        </w:tc>
        <w:tc>
          <w:tcPr>
            <w:tcW w:w="72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7622</w:t>
            </w:r>
          </w:p>
        </w:tc>
        <w:tc>
          <w:tcPr>
            <w:tcW w:w="1059"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0.2%</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SSP2_Climate</w:t>
            </w:r>
          </w:p>
        </w:tc>
        <w:tc>
          <w:tcPr>
            <w:tcW w:w="89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567</w:t>
            </w:r>
          </w:p>
        </w:tc>
        <w:tc>
          <w:tcPr>
            <w:tcW w:w="1148"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1877</w:t>
            </w:r>
          </w:p>
        </w:tc>
        <w:tc>
          <w:tcPr>
            <w:tcW w:w="101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5024</w:t>
            </w:r>
          </w:p>
        </w:tc>
        <w:tc>
          <w:tcPr>
            <w:tcW w:w="1015"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1591</w:t>
            </w:r>
          </w:p>
        </w:tc>
        <w:tc>
          <w:tcPr>
            <w:tcW w:w="956"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27</w:t>
            </w:r>
          </w:p>
        </w:tc>
        <w:tc>
          <w:tcPr>
            <w:tcW w:w="86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7C6853">
              <w:rPr>
                <w:sz w:val="18"/>
              </w:rPr>
              <w:t>9086</w:t>
            </w:r>
          </w:p>
        </w:tc>
        <w:tc>
          <w:tcPr>
            <w:tcW w:w="1047"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w:t>
            </w:r>
          </w:p>
        </w:tc>
        <w:tc>
          <w:tcPr>
            <w:tcW w:w="72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9086</w:t>
            </w:r>
          </w:p>
        </w:tc>
        <w:tc>
          <w:tcPr>
            <w:tcW w:w="1059"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0.2%</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SSP2_Health</w:t>
            </w:r>
          </w:p>
        </w:tc>
        <w:tc>
          <w:tcPr>
            <w:tcW w:w="89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1699</w:t>
            </w:r>
          </w:p>
        </w:tc>
        <w:tc>
          <w:tcPr>
            <w:tcW w:w="1148"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1877</w:t>
            </w:r>
          </w:p>
        </w:tc>
        <w:tc>
          <w:tcPr>
            <w:tcW w:w="101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5024</w:t>
            </w:r>
          </w:p>
        </w:tc>
        <w:tc>
          <w:tcPr>
            <w:tcW w:w="1015"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2962</w:t>
            </w:r>
          </w:p>
        </w:tc>
        <w:tc>
          <w:tcPr>
            <w:tcW w:w="956"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56</w:t>
            </w:r>
          </w:p>
        </w:tc>
        <w:tc>
          <w:tcPr>
            <w:tcW w:w="86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7C6853">
              <w:rPr>
                <w:sz w:val="18"/>
              </w:rPr>
              <w:t>11618</w:t>
            </w:r>
          </w:p>
        </w:tc>
        <w:tc>
          <w:tcPr>
            <w:tcW w:w="1047"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w:t>
            </w:r>
          </w:p>
        </w:tc>
        <w:tc>
          <w:tcPr>
            <w:tcW w:w="72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11618</w:t>
            </w:r>
          </w:p>
        </w:tc>
        <w:tc>
          <w:tcPr>
            <w:tcW w:w="1059"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0.2%</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SSP2_26</w:t>
            </w:r>
          </w:p>
        </w:tc>
        <w:tc>
          <w:tcPr>
            <w:tcW w:w="89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473</w:t>
            </w:r>
          </w:p>
        </w:tc>
        <w:tc>
          <w:tcPr>
            <w:tcW w:w="1148"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561</w:t>
            </w:r>
          </w:p>
        </w:tc>
        <w:tc>
          <w:tcPr>
            <w:tcW w:w="101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4117</w:t>
            </w:r>
          </w:p>
        </w:tc>
        <w:tc>
          <w:tcPr>
            <w:tcW w:w="1015"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1119</w:t>
            </w:r>
          </w:p>
        </w:tc>
        <w:tc>
          <w:tcPr>
            <w:tcW w:w="956"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27</w:t>
            </w:r>
          </w:p>
        </w:tc>
        <w:tc>
          <w:tcPr>
            <w:tcW w:w="86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7C6853">
              <w:rPr>
                <w:sz w:val="18"/>
              </w:rPr>
              <w:t>6296</w:t>
            </w:r>
          </w:p>
        </w:tc>
        <w:tc>
          <w:tcPr>
            <w:tcW w:w="1047"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39576</w:t>
            </w:r>
          </w:p>
        </w:tc>
        <w:tc>
          <w:tcPr>
            <w:tcW w:w="72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45872</w:t>
            </w:r>
          </w:p>
        </w:tc>
        <w:tc>
          <w:tcPr>
            <w:tcW w:w="1059"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1.0%</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SSP2_26_Climate</w:t>
            </w:r>
          </w:p>
        </w:tc>
        <w:tc>
          <w:tcPr>
            <w:tcW w:w="89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473</w:t>
            </w:r>
          </w:p>
        </w:tc>
        <w:tc>
          <w:tcPr>
            <w:tcW w:w="1148"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1678</w:t>
            </w:r>
          </w:p>
        </w:tc>
        <w:tc>
          <w:tcPr>
            <w:tcW w:w="101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4315</w:t>
            </w:r>
          </w:p>
        </w:tc>
        <w:tc>
          <w:tcPr>
            <w:tcW w:w="1015"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1129</w:t>
            </w:r>
          </w:p>
        </w:tc>
        <w:tc>
          <w:tcPr>
            <w:tcW w:w="956"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27</w:t>
            </w:r>
          </w:p>
        </w:tc>
        <w:tc>
          <w:tcPr>
            <w:tcW w:w="86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7C6853">
              <w:rPr>
                <w:sz w:val="18"/>
              </w:rPr>
              <w:t>7623</w:t>
            </w:r>
          </w:p>
        </w:tc>
        <w:tc>
          <w:tcPr>
            <w:tcW w:w="1047"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37000</w:t>
            </w:r>
          </w:p>
        </w:tc>
        <w:tc>
          <w:tcPr>
            <w:tcW w:w="72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44623</w:t>
            </w:r>
          </w:p>
        </w:tc>
        <w:tc>
          <w:tcPr>
            <w:tcW w:w="1059"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0.9%</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SSP2_26_Health</w:t>
            </w:r>
          </w:p>
        </w:tc>
        <w:tc>
          <w:tcPr>
            <w:tcW w:w="89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1409</w:t>
            </w:r>
          </w:p>
        </w:tc>
        <w:tc>
          <w:tcPr>
            <w:tcW w:w="1148"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1677</w:t>
            </w:r>
          </w:p>
        </w:tc>
        <w:tc>
          <w:tcPr>
            <w:tcW w:w="101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4290</w:t>
            </w:r>
          </w:p>
        </w:tc>
        <w:tc>
          <w:tcPr>
            <w:tcW w:w="1015"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2062</w:t>
            </w:r>
          </w:p>
        </w:tc>
        <w:tc>
          <w:tcPr>
            <w:tcW w:w="956"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56</w:t>
            </w:r>
          </w:p>
        </w:tc>
        <w:tc>
          <w:tcPr>
            <w:tcW w:w="86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7C6853">
              <w:rPr>
                <w:sz w:val="18"/>
              </w:rPr>
              <w:t>9495</w:t>
            </w:r>
          </w:p>
        </w:tc>
        <w:tc>
          <w:tcPr>
            <w:tcW w:w="1047"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38987</w:t>
            </w:r>
          </w:p>
        </w:tc>
        <w:tc>
          <w:tcPr>
            <w:tcW w:w="72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48481</w:t>
            </w:r>
          </w:p>
        </w:tc>
        <w:tc>
          <w:tcPr>
            <w:tcW w:w="1059"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1.0%</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hAnsi="Calibri"/>
                <w:noProof/>
                <w:sz w:val="18"/>
                <w:lang w:val="en-US"/>
              </w:rPr>
            </w:pPr>
          </w:p>
        </w:tc>
        <w:tc>
          <w:tcPr>
            <w:tcW w:w="89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1148"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101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1015"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956"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86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p>
        </w:tc>
        <w:tc>
          <w:tcPr>
            <w:tcW w:w="1047"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72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1059"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SSP3</w:t>
            </w:r>
          </w:p>
        </w:tc>
        <w:tc>
          <w:tcPr>
            <w:tcW w:w="89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587</w:t>
            </w:r>
          </w:p>
        </w:tc>
        <w:tc>
          <w:tcPr>
            <w:tcW w:w="1148"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689</w:t>
            </w:r>
          </w:p>
        </w:tc>
        <w:tc>
          <w:tcPr>
            <w:tcW w:w="101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4773</w:t>
            </w:r>
          </w:p>
        </w:tc>
        <w:tc>
          <w:tcPr>
            <w:tcW w:w="1015"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1617</w:t>
            </w:r>
          </w:p>
        </w:tc>
        <w:tc>
          <w:tcPr>
            <w:tcW w:w="956"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27</w:t>
            </w:r>
          </w:p>
        </w:tc>
        <w:tc>
          <w:tcPr>
            <w:tcW w:w="86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7C6853">
              <w:rPr>
                <w:sz w:val="18"/>
              </w:rPr>
              <w:t>7693</w:t>
            </w:r>
          </w:p>
        </w:tc>
        <w:tc>
          <w:tcPr>
            <w:tcW w:w="1047"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w:t>
            </w:r>
          </w:p>
        </w:tc>
        <w:tc>
          <w:tcPr>
            <w:tcW w:w="72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7693</w:t>
            </w:r>
          </w:p>
        </w:tc>
        <w:tc>
          <w:tcPr>
            <w:tcW w:w="1059"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0.2%</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SSP3_Climate</w:t>
            </w:r>
          </w:p>
        </w:tc>
        <w:tc>
          <w:tcPr>
            <w:tcW w:w="89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587</w:t>
            </w:r>
          </w:p>
        </w:tc>
        <w:tc>
          <w:tcPr>
            <w:tcW w:w="1148"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2037</w:t>
            </w:r>
          </w:p>
        </w:tc>
        <w:tc>
          <w:tcPr>
            <w:tcW w:w="101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4977</w:t>
            </w:r>
          </w:p>
        </w:tc>
        <w:tc>
          <w:tcPr>
            <w:tcW w:w="1015"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1620</w:t>
            </w:r>
          </w:p>
        </w:tc>
        <w:tc>
          <w:tcPr>
            <w:tcW w:w="956"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27</w:t>
            </w:r>
          </w:p>
        </w:tc>
        <w:tc>
          <w:tcPr>
            <w:tcW w:w="86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7C6853">
              <w:rPr>
                <w:sz w:val="18"/>
              </w:rPr>
              <w:t>9248</w:t>
            </w:r>
          </w:p>
        </w:tc>
        <w:tc>
          <w:tcPr>
            <w:tcW w:w="1047"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w:t>
            </w:r>
          </w:p>
        </w:tc>
        <w:tc>
          <w:tcPr>
            <w:tcW w:w="72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9248</w:t>
            </w:r>
          </w:p>
        </w:tc>
        <w:tc>
          <w:tcPr>
            <w:tcW w:w="1059"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0.2%</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SSP3_Health</w:t>
            </w:r>
          </w:p>
        </w:tc>
        <w:tc>
          <w:tcPr>
            <w:tcW w:w="89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1758</w:t>
            </w:r>
          </w:p>
        </w:tc>
        <w:tc>
          <w:tcPr>
            <w:tcW w:w="1148"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2037</w:t>
            </w:r>
          </w:p>
        </w:tc>
        <w:tc>
          <w:tcPr>
            <w:tcW w:w="101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4977</w:t>
            </w:r>
          </w:p>
        </w:tc>
        <w:tc>
          <w:tcPr>
            <w:tcW w:w="1015"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3017</w:t>
            </w:r>
          </w:p>
        </w:tc>
        <w:tc>
          <w:tcPr>
            <w:tcW w:w="956"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56</w:t>
            </w:r>
          </w:p>
        </w:tc>
        <w:tc>
          <w:tcPr>
            <w:tcW w:w="86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7C6853">
              <w:rPr>
                <w:sz w:val="18"/>
              </w:rPr>
              <w:t>11845</w:t>
            </w:r>
          </w:p>
        </w:tc>
        <w:tc>
          <w:tcPr>
            <w:tcW w:w="1047"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w:t>
            </w:r>
          </w:p>
        </w:tc>
        <w:tc>
          <w:tcPr>
            <w:tcW w:w="72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11845</w:t>
            </w:r>
          </w:p>
        </w:tc>
        <w:tc>
          <w:tcPr>
            <w:tcW w:w="1059"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0.3%</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SSP3_34</w:t>
            </w:r>
          </w:p>
        </w:tc>
        <w:tc>
          <w:tcPr>
            <w:tcW w:w="89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492</w:t>
            </w:r>
          </w:p>
        </w:tc>
        <w:tc>
          <w:tcPr>
            <w:tcW w:w="1148"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616</w:t>
            </w:r>
          </w:p>
        </w:tc>
        <w:tc>
          <w:tcPr>
            <w:tcW w:w="101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4271</w:t>
            </w:r>
          </w:p>
        </w:tc>
        <w:tc>
          <w:tcPr>
            <w:tcW w:w="1015"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1169</w:t>
            </w:r>
          </w:p>
        </w:tc>
        <w:tc>
          <w:tcPr>
            <w:tcW w:w="956"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27</w:t>
            </w:r>
          </w:p>
        </w:tc>
        <w:tc>
          <w:tcPr>
            <w:tcW w:w="86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7C6853">
              <w:rPr>
                <w:sz w:val="18"/>
              </w:rPr>
              <w:t>6575</w:t>
            </w:r>
          </w:p>
        </w:tc>
        <w:tc>
          <w:tcPr>
            <w:tcW w:w="1047"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26162</w:t>
            </w:r>
          </w:p>
        </w:tc>
        <w:tc>
          <w:tcPr>
            <w:tcW w:w="72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32738</w:t>
            </w:r>
          </w:p>
        </w:tc>
        <w:tc>
          <w:tcPr>
            <w:tcW w:w="1059"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0.8%</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SSP3_34_Climate</w:t>
            </w:r>
          </w:p>
        </w:tc>
        <w:tc>
          <w:tcPr>
            <w:tcW w:w="89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505</w:t>
            </w:r>
          </w:p>
        </w:tc>
        <w:tc>
          <w:tcPr>
            <w:tcW w:w="1148"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1836</w:t>
            </w:r>
          </w:p>
        </w:tc>
        <w:tc>
          <w:tcPr>
            <w:tcW w:w="1012"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4538</w:t>
            </w:r>
          </w:p>
        </w:tc>
        <w:tc>
          <w:tcPr>
            <w:tcW w:w="1015"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1207</w:t>
            </w:r>
          </w:p>
        </w:tc>
        <w:tc>
          <w:tcPr>
            <w:tcW w:w="956"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27</w:t>
            </w:r>
          </w:p>
        </w:tc>
        <w:tc>
          <w:tcPr>
            <w:tcW w:w="86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7C6853">
              <w:rPr>
                <w:sz w:val="18"/>
              </w:rPr>
              <w:t>8113</w:t>
            </w:r>
          </w:p>
        </w:tc>
        <w:tc>
          <w:tcPr>
            <w:tcW w:w="1047"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20326</w:t>
            </w:r>
          </w:p>
        </w:tc>
        <w:tc>
          <w:tcPr>
            <w:tcW w:w="720"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28439</w:t>
            </w:r>
          </w:p>
        </w:tc>
        <w:tc>
          <w:tcPr>
            <w:tcW w:w="1059" w:type="dxa"/>
          </w:tcPr>
          <w:p w:rsidR="00B3550D" w:rsidRPr="007C6853"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0.7%</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SSP3_34_Health</w:t>
            </w:r>
          </w:p>
        </w:tc>
        <w:tc>
          <w:tcPr>
            <w:tcW w:w="89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1509</w:t>
            </w:r>
          </w:p>
        </w:tc>
        <w:tc>
          <w:tcPr>
            <w:tcW w:w="1148"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1833</w:t>
            </w:r>
          </w:p>
        </w:tc>
        <w:tc>
          <w:tcPr>
            <w:tcW w:w="1012"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4529</w:t>
            </w:r>
          </w:p>
        </w:tc>
        <w:tc>
          <w:tcPr>
            <w:tcW w:w="1015"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2234</w:t>
            </w:r>
          </w:p>
        </w:tc>
        <w:tc>
          <w:tcPr>
            <w:tcW w:w="956"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56</w:t>
            </w:r>
          </w:p>
        </w:tc>
        <w:tc>
          <w:tcPr>
            <w:tcW w:w="86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7C6853">
              <w:rPr>
                <w:sz w:val="18"/>
              </w:rPr>
              <w:t>10161</w:t>
            </w:r>
          </w:p>
        </w:tc>
        <w:tc>
          <w:tcPr>
            <w:tcW w:w="1047"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23271</w:t>
            </w:r>
          </w:p>
        </w:tc>
        <w:tc>
          <w:tcPr>
            <w:tcW w:w="720"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33432</w:t>
            </w:r>
          </w:p>
        </w:tc>
        <w:tc>
          <w:tcPr>
            <w:tcW w:w="1059" w:type="dxa"/>
          </w:tcPr>
          <w:p w:rsidR="00B3550D" w:rsidRPr="007C6853"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C6853">
              <w:rPr>
                <w:sz w:val="18"/>
              </w:rPr>
              <w:t>0.8%</w:t>
            </w:r>
          </w:p>
        </w:tc>
      </w:tr>
    </w:tbl>
    <w:p w:rsidR="00B3550D" w:rsidRPr="002E3027" w:rsidRDefault="00B3550D" w:rsidP="00B3550D">
      <w:pPr>
        <w:rPr>
          <w:rFonts w:ascii="Calibri" w:eastAsiaTheme="majorEastAsia" w:hAnsi="Calibri" w:cstheme="majorBidi"/>
          <w:b/>
          <w:bCs/>
          <w:noProof/>
          <w:sz w:val="24"/>
          <w:szCs w:val="26"/>
          <w:lang w:val="en-US"/>
        </w:rPr>
      </w:pPr>
      <w:r w:rsidRPr="002E3027">
        <w:rPr>
          <w:rFonts w:ascii="Calibri" w:eastAsiaTheme="majorEastAsia" w:hAnsi="Calibri" w:cstheme="majorBidi"/>
          <w:b/>
          <w:bCs/>
          <w:noProof/>
          <w:sz w:val="24"/>
          <w:szCs w:val="26"/>
          <w:lang w:val="en-US"/>
        </w:rPr>
        <w:br w:type="page"/>
      </w:r>
    </w:p>
    <w:p w:rsidR="00B3550D" w:rsidRPr="002E3027" w:rsidRDefault="00B3550D" w:rsidP="00B3550D">
      <w:pPr>
        <w:pStyle w:val="NoSpacing"/>
        <w:jc w:val="both"/>
        <w:rPr>
          <w:rFonts w:ascii="Calibri" w:hAnsi="Calibri"/>
          <w:noProof/>
          <w:sz w:val="20"/>
          <w:szCs w:val="20"/>
          <w:lang w:val="en-US"/>
        </w:rPr>
      </w:pPr>
      <w:r w:rsidRPr="0014522D">
        <w:rPr>
          <w:rFonts w:ascii="Calibri" w:hAnsi="Calibri"/>
          <w:b/>
          <w:noProof/>
          <w:sz w:val="20"/>
          <w:szCs w:val="20"/>
          <w:lang w:val="en-US"/>
        </w:rPr>
        <w:lastRenderedPageBreak/>
        <w:t>Table</w:t>
      </w:r>
      <w:r>
        <w:rPr>
          <w:rFonts w:ascii="Calibri" w:hAnsi="Calibri"/>
          <w:b/>
          <w:noProof/>
          <w:sz w:val="20"/>
          <w:szCs w:val="20"/>
          <w:lang w:val="en-US"/>
        </w:rPr>
        <w:t xml:space="preserve"> S5.2</w:t>
      </w:r>
      <w:r w:rsidRPr="0014522D">
        <w:rPr>
          <w:rFonts w:ascii="Calibri" w:hAnsi="Calibri"/>
          <w:b/>
          <w:noProof/>
          <w:sz w:val="20"/>
          <w:szCs w:val="20"/>
          <w:lang w:val="en-US"/>
        </w:rPr>
        <w:t>: Global air quality and climate policy costs by scenario</w:t>
      </w:r>
      <w:r>
        <w:rPr>
          <w:rFonts w:ascii="Calibri" w:hAnsi="Calibri"/>
          <w:b/>
          <w:noProof/>
          <w:sz w:val="20"/>
          <w:szCs w:val="20"/>
          <w:lang w:val="en-US"/>
        </w:rPr>
        <w:t xml:space="preserve"> in 2030 and 2100</w:t>
      </w:r>
      <w:r w:rsidRPr="0014522D">
        <w:rPr>
          <w:rFonts w:ascii="Calibri" w:hAnsi="Calibri"/>
          <w:b/>
          <w:noProof/>
          <w:sz w:val="20"/>
          <w:szCs w:val="20"/>
          <w:lang w:val="en-US"/>
        </w:rPr>
        <w:t>.</w:t>
      </w:r>
      <w:r w:rsidRPr="002E3027">
        <w:rPr>
          <w:rFonts w:ascii="Calibri" w:hAnsi="Calibri"/>
          <w:noProof/>
          <w:sz w:val="20"/>
          <w:szCs w:val="20"/>
          <w:lang w:val="en-US"/>
        </w:rPr>
        <w:t xml:space="preserve"> Air quality policy</w:t>
      </w:r>
      <w:r>
        <w:rPr>
          <w:rFonts w:ascii="Calibri" w:hAnsi="Calibri"/>
          <w:noProof/>
          <w:sz w:val="20"/>
          <w:szCs w:val="20"/>
          <w:lang w:val="en-US"/>
        </w:rPr>
        <w:t xml:space="preserve"> costs represent air pollutant control via</w:t>
      </w:r>
      <w:r w:rsidRPr="002E3027">
        <w:rPr>
          <w:rFonts w:ascii="Calibri" w:hAnsi="Calibri"/>
          <w:noProof/>
          <w:sz w:val="20"/>
          <w:szCs w:val="20"/>
          <w:lang w:val="en-US"/>
        </w:rPr>
        <w:t xml:space="preserve"> all BC measures and includes the co-mitigation of OC, SO</w:t>
      </w:r>
      <w:r w:rsidRPr="002E3027">
        <w:rPr>
          <w:rFonts w:ascii="Calibri" w:hAnsi="Calibri"/>
          <w:noProof/>
          <w:sz w:val="20"/>
          <w:szCs w:val="20"/>
          <w:vertAlign w:val="subscript"/>
          <w:lang w:val="en-US"/>
        </w:rPr>
        <w:t>2</w:t>
      </w:r>
      <w:r w:rsidRPr="002E3027">
        <w:rPr>
          <w:rFonts w:ascii="Calibri" w:hAnsi="Calibri"/>
          <w:noProof/>
          <w:sz w:val="20"/>
          <w:szCs w:val="20"/>
          <w:lang w:val="en-US"/>
        </w:rPr>
        <w:t xml:space="preserve"> and NOx.</w:t>
      </w:r>
      <w:r>
        <w:rPr>
          <w:rFonts w:ascii="Calibri" w:hAnsi="Calibri"/>
          <w:noProof/>
          <w:sz w:val="20"/>
          <w:szCs w:val="20"/>
          <w:lang w:val="en-US"/>
        </w:rPr>
        <w:t xml:space="preserve"> A</w:t>
      </w:r>
      <w:r w:rsidRPr="00754965">
        <w:rPr>
          <w:rFonts w:ascii="Calibri" w:hAnsi="Calibri"/>
          <w:noProof/>
          <w:sz w:val="20"/>
          <w:szCs w:val="20"/>
          <w:lang w:val="en-US"/>
        </w:rPr>
        <w:t>ir pollution policy cost is the cost of pollution abatement measures only (</w:t>
      </w:r>
      <w:r>
        <w:rPr>
          <w:rFonts w:ascii="Calibri" w:hAnsi="Calibri"/>
          <w:noProof/>
          <w:sz w:val="20"/>
          <w:szCs w:val="20"/>
          <w:lang w:val="en-US"/>
        </w:rPr>
        <w:t xml:space="preserve">i.e. </w:t>
      </w:r>
      <w:r w:rsidRPr="00754965">
        <w:rPr>
          <w:rFonts w:ascii="Calibri" w:hAnsi="Calibri"/>
          <w:noProof/>
          <w:sz w:val="20"/>
          <w:szCs w:val="20"/>
          <w:lang w:val="en-US"/>
        </w:rPr>
        <w:t>not costs/benefits due to air pollution reduction or any indirect economic costs/benefits)</w:t>
      </w:r>
      <w:r>
        <w:rPr>
          <w:rFonts w:ascii="Calibri" w:hAnsi="Calibri"/>
          <w:noProof/>
          <w:sz w:val="20"/>
          <w:szCs w:val="20"/>
          <w:lang w:val="en-US"/>
        </w:rPr>
        <w:t>.</w:t>
      </w:r>
      <w:r w:rsidRPr="002E3027">
        <w:rPr>
          <w:rFonts w:ascii="Calibri" w:hAnsi="Calibri"/>
          <w:noProof/>
          <w:sz w:val="20"/>
          <w:szCs w:val="20"/>
          <w:lang w:val="en-US"/>
        </w:rPr>
        <w:t xml:space="preserve"> Reduction of forest and savannah burning are included in climate policy costs, since CO</w:t>
      </w:r>
      <w:r w:rsidRPr="002E3027">
        <w:rPr>
          <w:rFonts w:ascii="Calibri" w:hAnsi="Calibri"/>
          <w:noProof/>
          <w:sz w:val="20"/>
          <w:szCs w:val="20"/>
          <w:vertAlign w:val="subscript"/>
          <w:lang w:val="en-US"/>
        </w:rPr>
        <w:t>2</w:t>
      </w:r>
      <w:r w:rsidRPr="002E3027">
        <w:rPr>
          <w:rFonts w:ascii="Calibri" w:hAnsi="Calibri"/>
          <w:noProof/>
          <w:sz w:val="20"/>
          <w:szCs w:val="20"/>
          <w:lang w:val="en-US"/>
        </w:rPr>
        <w:t xml:space="preserve"> mitigation and ecosystem protection are considered the main mitigation drivers. The last column </w:t>
      </w:r>
      <w:r>
        <w:rPr>
          <w:rFonts w:ascii="Calibri" w:hAnsi="Calibri"/>
          <w:noProof/>
          <w:sz w:val="20"/>
          <w:szCs w:val="20"/>
          <w:lang w:val="en-US"/>
        </w:rPr>
        <w:t>represents the total policy costs are share of global GDP</w:t>
      </w:r>
      <w:r w:rsidRPr="00754965">
        <w:rPr>
          <w:rFonts w:ascii="Calibri" w:hAnsi="Calibri"/>
          <w:noProof/>
          <w:sz w:val="20"/>
          <w:szCs w:val="20"/>
          <w:lang w:val="en-US"/>
        </w:rPr>
        <w:t>.</w:t>
      </w:r>
    </w:p>
    <w:tbl>
      <w:tblPr>
        <w:tblStyle w:val="ListTable3-Accent1"/>
        <w:tblW w:w="10347" w:type="dxa"/>
        <w:tblInd w:w="-572" w:type="dxa"/>
        <w:tblLayout w:type="fixed"/>
        <w:tblLook w:val="04A0" w:firstRow="1" w:lastRow="0" w:firstColumn="1" w:lastColumn="0" w:noHBand="0" w:noVBand="1"/>
      </w:tblPr>
      <w:tblGrid>
        <w:gridCol w:w="1638"/>
        <w:gridCol w:w="892"/>
        <w:gridCol w:w="1148"/>
        <w:gridCol w:w="1012"/>
        <w:gridCol w:w="1015"/>
        <w:gridCol w:w="956"/>
        <w:gridCol w:w="860"/>
        <w:gridCol w:w="1047"/>
        <w:gridCol w:w="720"/>
        <w:gridCol w:w="1059"/>
      </w:tblGrid>
      <w:tr w:rsidR="00B3550D" w:rsidRPr="002E3027" w:rsidTr="00CC659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Cs w:val="26"/>
                <w:lang w:val="en-US"/>
              </w:rPr>
            </w:pPr>
            <w:r w:rsidRPr="002E3027">
              <w:rPr>
                <w:rFonts w:ascii="Calibri" w:hAnsi="Calibri"/>
                <w:noProof/>
                <w:lang w:val="en-US"/>
              </w:rPr>
              <w:t>Scenario</w:t>
            </w:r>
          </w:p>
        </w:tc>
        <w:tc>
          <w:tcPr>
            <w:tcW w:w="2040" w:type="dxa"/>
            <w:gridSpan w:val="2"/>
          </w:tcPr>
          <w:p w:rsidR="00B3550D" w:rsidRPr="002E3027" w:rsidRDefault="00B3550D" w:rsidP="00CC659F">
            <w:pPr>
              <w:cnfStyle w:val="100000000000" w:firstRow="1" w:lastRow="0" w:firstColumn="0" w:lastColumn="0" w:oddVBand="0" w:evenVBand="0" w:oddHBand="0" w:evenHBand="0" w:firstRowFirstColumn="0" w:firstRowLastColumn="0" w:lastRowFirstColumn="0" w:lastRowLastColumn="0"/>
              <w:rPr>
                <w:rFonts w:ascii="Calibri" w:eastAsiaTheme="majorEastAsia" w:hAnsi="Calibri" w:cstheme="majorBidi"/>
                <w:b w:val="0"/>
                <w:bCs w:val="0"/>
                <w:noProof/>
                <w:szCs w:val="26"/>
                <w:lang w:val="en-US"/>
              </w:rPr>
            </w:pPr>
            <w:r w:rsidRPr="002E3027">
              <w:rPr>
                <w:rFonts w:ascii="Calibri" w:hAnsi="Calibri"/>
                <w:noProof/>
                <w:lang w:val="en-US"/>
              </w:rPr>
              <w:t>Policy costs</w:t>
            </w:r>
          </w:p>
        </w:tc>
        <w:tc>
          <w:tcPr>
            <w:tcW w:w="1012" w:type="dxa"/>
          </w:tcPr>
          <w:p w:rsidR="00B3550D" w:rsidRPr="002E3027" w:rsidRDefault="00B3550D" w:rsidP="00CC659F">
            <w:pPr>
              <w:cnfStyle w:val="100000000000" w:firstRow="1" w:lastRow="0" w:firstColumn="0" w:lastColumn="0" w:oddVBand="0" w:evenVBand="0" w:oddHBand="0" w:evenHBand="0" w:firstRowFirstColumn="0" w:firstRowLastColumn="0" w:lastRowFirstColumn="0" w:lastRowLastColumn="0"/>
              <w:rPr>
                <w:rFonts w:ascii="Calibri" w:eastAsiaTheme="majorEastAsia" w:hAnsi="Calibri" w:cstheme="majorBidi"/>
                <w:b w:val="0"/>
                <w:bCs w:val="0"/>
                <w:noProof/>
                <w:sz w:val="18"/>
                <w:szCs w:val="26"/>
                <w:lang w:val="en-US"/>
              </w:rPr>
            </w:pPr>
          </w:p>
        </w:tc>
        <w:tc>
          <w:tcPr>
            <w:tcW w:w="1015" w:type="dxa"/>
          </w:tcPr>
          <w:p w:rsidR="00B3550D" w:rsidRPr="002E3027" w:rsidRDefault="00B3550D" w:rsidP="00CC659F">
            <w:pPr>
              <w:cnfStyle w:val="100000000000" w:firstRow="1" w:lastRow="0" w:firstColumn="0" w:lastColumn="0" w:oddVBand="0" w:evenVBand="0" w:oddHBand="0" w:evenHBand="0" w:firstRowFirstColumn="0" w:firstRowLastColumn="0" w:lastRowFirstColumn="0" w:lastRowLastColumn="0"/>
              <w:rPr>
                <w:rFonts w:ascii="Calibri" w:eastAsiaTheme="majorEastAsia" w:hAnsi="Calibri" w:cstheme="majorBidi"/>
                <w:b w:val="0"/>
                <w:bCs w:val="0"/>
                <w:noProof/>
                <w:sz w:val="18"/>
                <w:szCs w:val="26"/>
                <w:lang w:val="en-US"/>
              </w:rPr>
            </w:pPr>
          </w:p>
        </w:tc>
        <w:tc>
          <w:tcPr>
            <w:tcW w:w="956" w:type="dxa"/>
          </w:tcPr>
          <w:p w:rsidR="00B3550D" w:rsidRPr="002E3027" w:rsidRDefault="00B3550D" w:rsidP="00CC659F">
            <w:pPr>
              <w:cnfStyle w:val="100000000000" w:firstRow="1" w:lastRow="0" w:firstColumn="0" w:lastColumn="0" w:oddVBand="0" w:evenVBand="0" w:oddHBand="0" w:evenHBand="0" w:firstRowFirstColumn="0" w:firstRowLastColumn="0" w:lastRowFirstColumn="0" w:lastRowLastColumn="0"/>
              <w:rPr>
                <w:rFonts w:ascii="Calibri" w:eastAsiaTheme="majorEastAsia" w:hAnsi="Calibri" w:cstheme="majorBidi"/>
                <w:b w:val="0"/>
                <w:bCs w:val="0"/>
                <w:noProof/>
                <w:sz w:val="18"/>
                <w:szCs w:val="26"/>
                <w:lang w:val="en-US"/>
              </w:rPr>
            </w:pPr>
          </w:p>
        </w:tc>
        <w:tc>
          <w:tcPr>
            <w:tcW w:w="860" w:type="dxa"/>
          </w:tcPr>
          <w:p w:rsidR="00B3550D" w:rsidRPr="002E3027" w:rsidRDefault="00B3550D" w:rsidP="00CC659F">
            <w:pPr>
              <w:cnfStyle w:val="100000000000" w:firstRow="1" w:lastRow="0" w:firstColumn="0" w:lastColumn="0" w:oddVBand="0" w:evenVBand="0" w:oddHBand="0" w:evenHBand="0" w:firstRowFirstColumn="0" w:firstRowLastColumn="0" w:lastRowFirstColumn="0" w:lastRowLastColumn="0"/>
              <w:rPr>
                <w:rFonts w:ascii="Calibri" w:hAnsi="Calibri"/>
                <w:noProof/>
                <w:sz w:val="18"/>
                <w:lang w:val="en-US"/>
              </w:rPr>
            </w:pPr>
          </w:p>
        </w:tc>
        <w:tc>
          <w:tcPr>
            <w:tcW w:w="1047" w:type="dxa"/>
          </w:tcPr>
          <w:p w:rsidR="00B3550D" w:rsidRPr="002E3027" w:rsidRDefault="00B3550D" w:rsidP="00CC659F">
            <w:pPr>
              <w:cnfStyle w:val="100000000000" w:firstRow="1" w:lastRow="0" w:firstColumn="0" w:lastColumn="0" w:oddVBand="0" w:evenVBand="0" w:oddHBand="0" w:evenHBand="0" w:firstRowFirstColumn="0" w:firstRowLastColumn="0" w:lastRowFirstColumn="0" w:lastRowLastColumn="0"/>
              <w:rPr>
                <w:rFonts w:ascii="Calibri" w:eastAsiaTheme="majorEastAsia" w:hAnsi="Calibri" w:cstheme="majorBidi"/>
                <w:b w:val="0"/>
                <w:bCs w:val="0"/>
                <w:noProof/>
                <w:sz w:val="18"/>
                <w:szCs w:val="26"/>
                <w:lang w:val="en-US"/>
              </w:rPr>
            </w:pPr>
          </w:p>
        </w:tc>
        <w:tc>
          <w:tcPr>
            <w:tcW w:w="720" w:type="dxa"/>
          </w:tcPr>
          <w:p w:rsidR="00B3550D" w:rsidRPr="002E3027" w:rsidRDefault="00B3550D" w:rsidP="00CC659F">
            <w:pPr>
              <w:cnfStyle w:val="100000000000" w:firstRow="1" w:lastRow="0" w:firstColumn="0" w:lastColumn="0" w:oddVBand="0" w:evenVBand="0" w:oddHBand="0" w:evenHBand="0" w:firstRowFirstColumn="0" w:firstRowLastColumn="0" w:lastRowFirstColumn="0" w:lastRowLastColumn="0"/>
              <w:rPr>
                <w:rFonts w:ascii="Calibri" w:eastAsiaTheme="majorEastAsia" w:hAnsi="Calibri" w:cstheme="majorBidi"/>
                <w:b w:val="0"/>
                <w:bCs w:val="0"/>
                <w:noProof/>
                <w:sz w:val="18"/>
                <w:szCs w:val="26"/>
                <w:lang w:val="en-US"/>
              </w:rPr>
            </w:pPr>
          </w:p>
        </w:tc>
        <w:tc>
          <w:tcPr>
            <w:tcW w:w="1059" w:type="dxa"/>
          </w:tcPr>
          <w:p w:rsidR="00B3550D" w:rsidRPr="002E3027" w:rsidRDefault="00B3550D" w:rsidP="00CC659F">
            <w:pPr>
              <w:cnfStyle w:val="100000000000" w:firstRow="1" w:lastRow="0" w:firstColumn="0" w:lastColumn="0" w:oddVBand="0" w:evenVBand="0" w:oddHBand="0" w:evenHBand="0" w:firstRowFirstColumn="0" w:firstRowLastColumn="0" w:lastRowFirstColumn="0" w:lastRowLastColumn="0"/>
              <w:rPr>
                <w:rFonts w:ascii="Calibri" w:eastAsiaTheme="majorEastAsia" w:hAnsi="Calibri" w:cstheme="majorBidi"/>
                <w:b w:val="0"/>
                <w:bCs w:val="0"/>
                <w:noProof/>
                <w:sz w:val="18"/>
                <w:szCs w:val="26"/>
                <w:lang w:val="en-US"/>
              </w:rPr>
            </w:pP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hAnsi="Calibri"/>
                <w:noProof/>
                <w:sz w:val="18"/>
                <w:lang w:val="en-US"/>
              </w:rPr>
            </w:pPr>
          </w:p>
        </w:tc>
        <w:tc>
          <w:tcPr>
            <w:tcW w:w="2040" w:type="dxa"/>
            <w:gridSpan w:val="2"/>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r w:rsidRPr="002E3027">
              <w:rPr>
                <w:rFonts w:ascii="Calibri" w:hAnsi="Calibri"/>
                <w:noProof/>
                <w:sz w:val="18"/>
                <w:lang w:val="en-US"/>
              </w:rPr>
              <w:t>(in billion $ (2015)/year)</w:t>
            </w:r>
          </w:p>
        </w:tc>
        <w:tc>
          <w:tcPr>
            <w:tcW w:w="1012"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p>
        </w:tc>
        <w:tc>
          <w:tcPr>
            <w:tcW w:w="1015"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p>
        </w:tc>
        <w:tc>
          <w:tcPr>
            <w:tcW w:w="956"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p>
        </w:tc>
        <w:tc>
          <w:tcPr>
            <w:tcW w:w="860"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1047"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p>
        </w:tc>
        <w:tc>
          <w:tcPr>
            <w:tcW w:w="720"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p>
        </w:tc>
        <w:tc>
          <w:tcPr>
            <w:tcW w:w="1059"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p>
        </w:tc>
      </w:tr>
      <w:tr w:rsidR="00B3550D" w:rsidRPr="00EE1268"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24"/>
                <w:szCs w:val="24"/>
                <w:lang w:val="en-US"/>
              </w:rPr>
            </w:pPr>
          </w:p>
        </w:tc>
        <w:tc>
          <w:tcPr>
            <w:tcW w:w="892"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Cs/>
                <w:noProof/>
                <w:sz w:val="18"/>
                <w:szCs w:val="26"/>
                <w:lang w:val="en-US"/>
              </w:rPr>
            </w:pPr>
            <w:r w:rsidRPr="002E3027">
              <w:rPr>
                <w:rFonts w:ascii="Calibri" w:eastAsiaTheme="majorEastAsia" w:hAnsi="Calibri" w:cstheme="majorBidi"/>
                <w:bCs/>
                <w:noProof/>
                <w:sz w:val="18"/>
                <w:szCs w:val="26"/>
                <w:lang w:val="en-US"/>
              </w:rPr>
              <w:t>Air quality policy costs</w:t>
            </w:r>
          </w:p>
        </w:tc>
        <w:tc>
          <w:tcPr>
            <w:tcW w:w="1148"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p>
        </w:tc>
        <w:tc>
          <w:tcPr>
            <w:tcW w:w="1012"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p>
        </w:tc>
        <w:tc>
          <w:tcPr>
            <w:tcW w:w="1015"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p>
        </w:tc>
        <w:tc>
          <w:tcPr>
            <w:tcW w:w="956"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p>
        </w:tc>
        <w:tc>
          <w:tcPr>
            <w:tcW w:w="860"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p>
        </w:tc>
        <w:tc>
          <w:tcPr>
            <w:tcW w:w="1047"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noProof/>
                <w:sz w:val="18"/>
                <w:lang w:val="en-US"/>
              </w:rPr>
              <w:t>Climate policy costs</w:t>
            </w:r>
          </w:p>
        </w:tc>
        <w:tc>
          <w:tcPr>
            <w:tcW w:w="720"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noProof/>
                <w:sz w:val="18"/>
                <w:lang w:val="en-US"/>
              </w:rPr>
              <w:t>Total policy costs</w:t>
            </w:r>
          </w:p>
        </w:tc>
        <w:tc>
          <w:tcPr>
            <w:tcW w:w="1059"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Pr>
                <w:rFonts w:ascii="Calibri" w:hAnsi="Calibri"/>
                <w:noProof/>
                <w:sz w:val="18"/>
                <w:lang w:val="en-US"/>
              </w:rPr>
              <w:t>Policy costs as share of global GDP (%)</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24"/>
                <w:szCs w:val="24"/>
                <w:lang w:val="en-US"/>
              </w:rPr>
            </w:pPr>
          </w:p>
        </w:tc>
        <w:tc>
          <w:tcPr>
            <w:tcW w:w="892"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r w:rsidRPr="002E3027">
              <w:rPr>
                <w:rFonts w:ascii="Calibri" w:hAnsi="Calibri"/>
                <w:noProof/>
                <w:sz w:val="18"/>
                <w:lang w:val="en-US"/>
              </w:rPr>
              <w:t>Industry</w:t>
            </w:r>
          </w:p>
        </w:tc>
        <w:tc>
          <w:tcPr>
            <w:tcW w:w="1148"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r w:rsidRPr="002E3027">
              <w:rPr>
                <w:rFonts w:ascii="Calibri" w:hAnsi="Calibri"/>
                <w:noProof/>
                <w:sz w:val="18"/>
                <w:lang w:val="en-US"/>
              </w:rPr>
              <w:t>Residential</w:t>
            </w:r>
          </w:p>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r w:rsidRPr="002E3027">
              <w:rPr>
                <w:rFonts w:ascii="Calibri" w:hAnsi="Calibri"/>
                <w:noProof/>
                <w:sz w:val="18"/>
                <w:lang w:val="en-US"/>
              </w:rPr>
              <w:t>/commercial</w:t>
            </w:r>
          </w:p>
        </w:tc>
        <w:tc>
          <w:tcPr>
            <w:tcW w:w="1012"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r w:rsidRPr="002E3027">
              <w:rPr>
                <w:rFonts w:ascii="Calibri" w:hAnsi="Calibri"/>
                <w:noProof/>
                <w:sz w:val="18"/>
                <w:lang w:val="en-US"/>
              </w:rPr>
              <w:t>Transport</w:t>
            </w:r>
          </w:p>
        </w:tc>
        <w:tc>
          <w:tcPr>
            <w:tcW w:w="1015"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r w:rsidRPr="002E3027">
              <w:rPr>
                <w:rFonts w:ascii="Calibri" w:hAnsi="Calibri"/>
                <w:noProof/>
                <w:sz w:val="18"/>
                <w:lang w:val="en-US"/>
              </w:rPr>
              <w:t>Power generation</w:t>
            </w:r>
          </w:p>
        </w:tc>
        <w:tc>
          <w:tcPr>
            <w:tcW w:w="956"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r w:rsidRPr="002E3027">
              <w:rPr>
                <w:rFonts w:ascii="Calibri" w:hAnsi="Calibri"/>
                <w:noProof/>
                <w:sz w:val="18"/>
                <w:lang w:val="en-US"/>
              </w:rPr>
              <w:t>Trans-formation</w:t>
            </w:r>
          </w:p>
        </w:tc>
        <w:tc>
          <w:tcPr>
            <w:tcW w:w="860"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eastAsiaTheme="majorEastAsia" w:hAnsi="Calibri" w:cstheme="majorBidi"/>
                <w:b/>
                <w:bCs/>
                <w:noProof/>
                <w:sz w:val="18"/>
                <w:szCs w:val="26"/>
                <w:lang w:val="en-US"/>
              </w:rPr>
              <w:t xml:space="preserve">Total </w:t>
            </w:r>
            <w:r w:rsidRPr="00006BEF">
              <w:rPr>
                <w:rFonts w:ascii="Calibri" w:eastAsiaTheme="majorEastAsia" w:hAnsi="Calibri" w:cstheme="majorBidi"/>
                <w:b/>
                <w:bCs/>
                <w:noProof/>
                <w:sz w:val="18"/>
                <w:szCs w:val="26"/>
                <w:lang w:val="en-US"/>
              </w:rPr>
              <w:t>air quality</w:t>
            </w:r>
          </w:p>
        </w:tc>
        <w:tc>
          <w:tcPr>
            <w:tcW w:w="1047"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Pr>
                <w:rFonts w:ascii="Calibri" w:eastAsiaTheme="majorEastAsia" w:hAnsi="Calibri" w:cstheme="majorBidi"/>
                <w:b/>
                <w:bCs/>
                <w:noProof/>
                <w:sz w:val="18"/>
                <w:szCs w:val="26"/>
                <w:lang w:val="en-US"/>
              </w:rPr>
              <w:t>Total Climate</w:t>
            </w:r>
          </w:p>
        </w:tc>
        <w:tc>
          <w:tcPr>
            <w:tcW w:w="720"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eastAsiaTheme="majorEastAsia" w:hAnsi="Calibri" w:cstheme="majorBidi"/>
                <w:b/>
                <w:bCs/>
                <w:noProof/>
                <w:sz w:val="18"/>
                <w:szCs w:val="26"/>
                <w:lang w:val="en-US"/>
              </w:rPr>
              <w:t>Total</w:t>
            </w:r>
          </w:p>
        </w:tc>
        <w:tc>
          <w:tcPr>
            <w:tcW w:w="1059" w:type="dxa"/>
          </w:tcPr>
          <w:p w:rsidR="00B3550D" w:rsidRPr="002E3027" w:rsidRDefault="00B3550D" w:rsidP="00CC659F">
            <w:pPr>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24"/>
                <w:szCs w:val="24"/>
                <w:lang w:val="en-US"/>
              </w:rPr>
            </w:pPr>
            <w:r w:rsidRPr="002E3027">
              <w:rPr>
                <w:rFonts w:ascii="Calibri" w:eastAsiaTheme="majorEastAsia" w:hAnsi="Calibri" w:cstheme="majorBidi"/>
                <w:bCs w:val="0"/>
                <w:noProof/>
                <w:sz w:val="24"/>
                <w:szCs w:val="24"/>
                <w:lang w:val="en-US"/>
              </w:rPr>
              <w:t>2030</w:t>
            </w:r>
          </w:p>
        </w:tc>
        <w:tc>
          <w:tcPr>
            <w:tcW w:w="892"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1148"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1012"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1015"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956"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860"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p>
        </w:tc>
        <w:tc>
          <w:tcPr>
            <w:tcW w:w="1047"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p>
        </w:tc>
        <w:tc>
          <w:tcPr>
            <w:tcW w:w="720"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p>
        </w:tc>
        <w:tc>
          <w:tcPr>
            <w:tcW w:w="1059" w:type="dxa"/>
          </w:tcPr>
          <w:p w:rsidR="00B3550D" w:rsidRPr="002E3027" w:rsidRDefault="00B3550D" w:rsidP="00CC659F">
            <w:pPr>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SSP2</w:t>
            </w:r>
          </w:p>
        </w:tc>
        <w:tc>
          <w:tcPr>
            <w:tcW w:w="89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32</w:t>
            </w:r>
          </w:p>
        </w:tc>
        <w:tc>
          <w:tcPr>
            <w:tcW w:w="1148"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35</w:t>
            </w:r>
          </w:p>
        </w:tc>
        <w:tc>
          <w:tcPr>
            <w:tcW w:w="101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582</w:t>
            </w:r>
          </w:p>
        </w:tc>
        <w:tc>
          <w:tcPr>
            <w:tcW w:w="1015"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76</w:t>
            </w:r>
          </w:p>
        </w:tc>
        <w:tc>
          <w:tcPr>
            <w:tcW w:w="956"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w:t>
            </w:r>
          </w:p>
        </w:tc>
        <w:tc>
          <w:tcPr>
            <w:tcW w:w="86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726</w:t>
            </w:r>
          </w:p>
        </w:tc>
        <w:tc>
          <w:tcPr>
            <w:tcW w:w="1047"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0</w:t>
            </w:r>
          </w:p>
        </w:tc>
        <w:tc>
          <w:tcPr>
            <w:tcW w:w="72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726</w:t>
            </w:r>
          </w:p>
        </w:tc>
        <w:tc>
          <w:tcPr>
            <w:tcW w:w="1059" w:type="dxa"/>
          </w:tcPr>
          <w:p w:rsidR="00B3550D" w:rsidRPr="007652B4"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0.4%</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SSP2_Climate</w:t>
            </w:r>
          </w:p>
        </w:tc>
        <w:tc>
          <w:tcPr>
            <w:tcW w:w="89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32</w:t>
            </w:r>
          </w:p>
        </w:tc>
        <w:tc>
          <w:tcPr>
            <w:tcW w:w="1148"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111</w:t>
            </w:r>
          </w:p>
        </w:tc>
        <w:tc>
          <w:tcPr>
            <w:tcW w:w="101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582</w:t>
            </w:r>
          </w:p>
        </w:tc>
        <w:tc>
          <w:tcPr>
            <w:tcW w:w="1015"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140</w:t>
            </w:r>
          </w:p>
        </w:tc>
        <w:tc>
          <w:tcPr>
            <w:tcW w:w="956"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w:t>
            </w:r>
          </w:p>
        </w:tc>
        <w:tc>
          <w:tcPr>
            <w:tcW w:w="86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867</w:t>
            </w:r>
          </w:p>
        </w:tc>
        <w:tc>
          <w:tcPr>
            <w:tcW w:w="1047"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0</w:t>
            </w:r>
          </w:p>
        </w:tc>
        <w:tc>
          <w:tcPr>
            <w:tcW w:w="72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867</w:t>
            </w:r>
          </w:p>
        </w:tc>
        <w:tc>
          <w:tcPr>
            <w:tcW w:w="1059" w:type="dxa"/>
          </w:tcPr>
          <w:p w:rsidR="00B3550D" w:rsidRPr="007652B4"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0.5%</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SSP2_Health</w:t>
            </w:r>
          </w:p>
        </w:tc>
        <w:tc>
          <w:tcPr>
            <w:tcW w:w="89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100</w:t>
            </w:r>
          </w:p>
        </w:tc>
        <w:tc>
          <w:tcPr>
            <w:tcW w:w="1148"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111</w:t>
            </w:r>
          </w:p>
        </w:tc>
        <w:tc>
          <w:tcPr>
            <w:tcW w:w="101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613</w:t>
            </w:r>
          </w:p>
        </w:tc>
        <w:tc>
          <w:tcPr>
            <w:tcW w:w="1015"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140</w:t>
            </w:r>
          </w:p>
        </w:tc>
        <w:tc>
          <w:tcPr>
            <w:tcW w:w="956"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w:t>
            </w:r>
          </w:p>
        </w:tc>
        <w:tc>
          <w:tcPr>
            <w:tcW w:w="86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967</w:t>
            </w:r>
          </w:p>
        </w:tc>
        <w:tc>
          <w:tcPr>
            <w:tcW w:w="1047"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0</w:t>
            </w:r>
          </w:p>
        </w:tc>
        <w:tc>
          <w:tcPr>
            <w:tcW w:w="72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967</w:t>
            </w:r>
          </w:p>
        </w:tc>
        <w:tc>
          <w:tcPr>
            <w:tcW w:w="1059" w:type="dxa"/>
          </w:tcPr>
          <w:p w:rsidR="00B3550D" w:rsidRPr="007652B4"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0.6%</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SSP2_26</w:t>
            </w:r>
          </w:p>
        </w:tc>
        <w:tc>
          <w:tcPr>
            <w:tcW w:w="89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26</w:t>
            </w:r>
          </w:p>
        </w:tc>
        <w:tc>
          <w:tcPr>
            <w:tcW w:w="1148"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32</w:t>
            </w:r>
          </w:p>
        </w:tc>
        <w:tc>
          <w:tcPr>
            <w:tcW w:w="101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497</w:t>
            </w:r>
          </w:p>
        </w:tc>
        <w:tc>
          <w:tcPr>
            <w:tcW w:w="1015"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50</w:t>
            </w:r>
          </w:p>
        </w:tc>
        <w:tc>
          <w:tcPr>
            <w:tcW w:w="956"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w:t>
            </w:r>
          </w:p>
        </w:tc>
        <w:tc>
          <w:tcPr>
            <w:tcW w:w="86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606</w:t>
            </w:r>
          </w:p>
        </w:tc>
        <w:tc>
          <w:tcPr>
            <w:tcW w:w="1047"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3118</w:t>
            </w:r>
          </w:p>
        </w:tc>
        <w:tc>
          <w:tcPr>
            <w:tcW w:w="72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3725</w:t>
            </w:r>
          </w:p>
        </w:tc>
        <w:tc>
          <w:tcPr>
            <w:tcW w:w="1059" w:type="dxa"/>
          </w:tcPr>
          <w:p w:rsidR="00B3550D" w:rsidRPr="007652B4"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2.1%</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SSP2_26_Climate</w:t>
            </w:r>
          </w:p>
        </w:tc>
        <w:tc>
          <w:tcPr>
            <w:tcW w:w="89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26</w:t>
            </w:r>
          </w:p>
        </w:tc>
        <w:tc>
          <w:tcPr>
            <w:tcW w:w="1148"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100</w:t>
            </w:r>
          </w:p>
        </w:tc>
        <w:tc>
          <w:tcPr>
            <w:tcW w:w="101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500</w:t>
            </w:r>
          </w:p>
        </w:tc>
        <w:tc>
          <w:tcPr>
            <w:tcW w:w="1015"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93</w:t>
            </w:r>
          </w:p>
        </w:tc>
        <w:tc>
          <w:tcPr>
            <w:tcW w:w="956"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w:t>
            </w:r>
          </w:p>
        </w:tc>
        <w:tc>
          <w:tcPr>
            <w:tcW w:w="86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721</w:t>
            </w:r>
          </w:p>
        </w:tc>
        <w:tc>
          <w:tcPr>
            <w:tcW w:w="1047"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2563</w:t>
            </w:r>
          </w:p>
        </w:tc>
        <w:tc>
          <w:tcPr>
            <w:tcW w:w="72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3284</w:t>
            </w:r>
          </w:p>
        </w:tc>
        <w:tc>
          <w:tcPr>
            <w:tcW w:w="1059" w:type="dxa"/>
          </w:tcPr>
          <w:p w:rsidR="00B3550D" w:rsidRPr="007652B4"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1.9%</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SSP2_26_Health</w:t>
            </w:r>
          </w:p>
        </w:tc>
        <w:tc>
          <w:tcPr>
            <w:tcW w:w="89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82</w:t>
            </w:r>
          </w:p>
        </w:tc>
        <w:tc>
          <w:tcPr>
            <w:tcW w:w="1148"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100</w:t>
            </w:r>
          </w:p>
        </w:tc>
        <w:tc>
          <w:tcPr>
            <w:tcW w:w="101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524</w:t>
            </w:r>
          </w:p>
        </w:tc>
        <w:tc>
          <w:tcPr>
            <w:tcW w:w="1015"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92</w:t>
            </w:r>
          </w:p>
        </w:tc>
        <w:tc>
          <w:tcPr>
            <w:tcW w:w="956"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w:t>
            </w:r>
          </w:p>
        </w:tc>
        <w:tc>
          <w:tcPr>
            <w:tcW w:w="86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800</w:t>
            </w:r>
          </w:p>
        </w:tc>
        <w:tc>
          <w:tcPr>
            <w:tcW w:w="1047"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3140</w:t>
            </w:r>
          </w:p>
        </w:tc>
        <w:tc>
          <w:tcPr>
            <w:tcW w:w="72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3940</w:t>
            </w:r>
          </w:p>
        </w:tc>
        <w:tc>
          <w:tcPr>
            <w:tcW w:w="1059" w:type="dxa"/>
          </w:tcPr>
          <w:p w:rsidR="00B3550D" w:rsidRPr="007652B4"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2.2%</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hAnsi="Calibri"/>
                <w:noProof/>
                <w:sz w:val="18"/>
                <w:lang w:val="en-US"/>
              </w:rPr>
            </w:pPr>
          </w:p>
        </w:tc>
        <w:tc>
          <w:tcPr>
            <w:tcW w:w="89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1148"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101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1015"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956"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86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p>
        </w:tc>
        <w:tc>
          <w:tcPr>
            <w:tcW w:w="1047"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72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1059" w:type="dxa"/>
          </w:tcPr>
          <w:p w:rsidR="00B3550D" w:rsidRPr="007652B4"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SSP3</w:t>
            </w:r>
          </w:p>
        </w:tc>
        <w:tc>
          <w:tcPr>
            <w:tcW w:w="89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34</w:t>
            </w:r>
          </w:p>
        </w:tc>
        <w:tc>
          <w:tcPr>
            <w:tcW w:w="1148"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39</w:t>
            </w:r>
          </w:p>
        </w:tc>
        <w:tc>
          <w:tcPr>
            <w:tcW w:w="101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588</w:t>
            </w:r>
          </w:p>
        </w:tc>
        <w:tc>
          <w:tcPr>
            <w:tcW w:w="1015"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77</w:t>
            </w:r>
          </w:p>
        </w:tc>
        <w:tc>
          <w:tcPr>
            <w:tcW w:w="956"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w:t>
            </w:r>
          </w:p>
        </w:tc>
        <w:tc>
          <w:tcPr>
            <w:tcW w:w="86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739</w:t>
            </w:r>
          </w:p>
        </w:tc>
        <w:tc>
          <w:tcPr>
            <w:tcW w:w="1047"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0</w:t>
            </w:r>
          </w:p>
        </w:tc>
        <w:tc>
          <w:tcPr>
            <w:tcW w:w="72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739</w:t>
            </w:r>
          </w:p>
        </w:tc>
        <w:tc>
          <w:tcPr>
            <w:tcW w:w="1059" w:type="dxa"/>
          </w:tcPr>
          <w:p w:rsidR="00B3550D" w:rsidRPr="007652B4"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0.4%</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SSP3_Climate</w:t>
            </w:r>
          </w:p>
        </w:tc>
        <w:tc>
          <w:tcPr>
            <w:tcW w:w="89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34</w:t>
            </w:r>
          </w:p>
        </w:tc>
        <w:tc>
          <w:tcPr>
            <w:tcW w:w="1148"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124</w:t>
            </w:r>
          </w:p>
        </w:tc>
        <w:tc>
          <w:tcPr>
            <w:tcW w:w="101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588</w:t>
            </w:r>
          </w:p>
        </w:tc>
        <w:tc>
          <w:tcPr>
            <w:tcW w:w="1015"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142</w:t>
            </w:r>
          </w:p>
        </w:tc>
        <w:tc>
          <w:tcPr>
            <w:tcW w:w="956"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w:t>
            </w:r>
          </w:p>
        </w:tc>
        <w:tc>
          <w:tcPr>
            <w:tcW w:w="86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888</w:t>
            </w:r>
          </w:p>
        </w:tc>
        <w:tc>
          <w:tcPr>
            <w:tcW w:w="1047"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0</w:t>
            </w:r>
          </w:p>
        </w:tc>
        <w:tc>
          <w:tcPr>
            <w:tcW w:w="72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888</w:t>
            </w:r>
          </w:p>
        </w:tc>
        <w:tc>
          <w:tcPr>
            <w:tcW w:w="1059" w:type="dxa"/>
          </w:tcPr>
          <w:p w:rsidR="00B3550D" w:rsidRPr="007652B4"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0.5%</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SSP3_Health</w:t>
            </w:r>
          </w:p>
        </w:tc>
        <w:tc>
          <w:tcPr>
            <w:tcW w:w="89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104</w:t>
            </w:r>
          </w:p>
        </w:tc>
        <w:tc>
          <w:tcPr>
            <w:tcW w:w="1148"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124</w:t>
            </w:r>
          </w:p>
        </w:tc>
        <w:tc>
          <w:tcPr>
            <w:tcW w:w="101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619</w:t>
            </w:r>
          </w:p>
        </w:tc>
        <w:tc>
          <w:tcPr>
            <w:tcW w:w="1015"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142</w:t>
            </w:r>
          </w:p>
        </w:tc>
        <w:tc>
          <w:tcPr>
            <w:tcW w:w="956"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w:t>
            </w:r>
          </w:p>
        </w:tc>
        <w:tc>
          <w:tcPr>
            <w:tcW w:w="86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992</w:t>
            </w:r>
          </w:p>
        </w:tc>
        <w:tc>
          <w:tcPr>
            <w:tcW w:w="1047"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0</w:t>
            </w:r>
          </w:p>
        </w:tc>
        <w:tc>
          <w:tcPr>
            <w:tcW w:w="72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992</w:t>
            </w:r>
          </w:p>
        </w:tc>
        <w:tc>
          <w:tcPr>
            <w:tcW w:w="1059" w:type="dxa"/>
          </w:tcPr>
          <w:p w:rsidR="00B3550D" w:rsidRPr="007652B4"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0.6%</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SSP3_34</w:t>
            </w:r>
          </w:p>
        </w:tc>
        <w:tc>
          <w:tcPr>
            <w:tcW w:w="89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28</w:t>
            </w:r>
          </w:p>
        </w:tc>
        <w:tc>
          <w:tcPr>
            <w:tcW w:w="1148"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35</w:t>
            </w:r>
          </w:p>
        </w:tc>
        <w:tc>
          <w:tcPr>
            <w:tcW w:w="101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518</w:t>
            </w:r>
          </w:p>
        </w:tc>
        <w:tc>
          <w:tcPr>
            <w:tcW w:w="1015"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52</w:t>
            </w:r>
          </w:p>
        </w:tc>
        <w:tc>
          <w:tcPr>
            <w:tcW w:w="956"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w:t>
            </w:r>
          </w:p>
        </w:tc>
        <w:tc>
          <w:tcPr>
            <w:tcW w:w="86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634</w:t>
            </w:r>
          </w:p>
        </w:tc>
        <w:tc>
          <w:tcPr>
            <w:tcW w:w="1047"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1449</w:t>
            </w:r>
          </w:p>
        </w:tc>
        <w:tc>
          <w:tcPr>
            <w:tcW w:w="72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2083</w:t>
            </w:r>
          </w:p>
        </w:tc>
        <w:tc>
          <w:tcPr>
            <w:tcW w:w="1059" w:type="dxa"/>
          </w:tcPr>
          <w:p w:rsidR="00B3550D" w:rsidRPr="007652B4"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1.3%</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SSP3_34_Climate</w:t>
            </w:r>
          </w:p>
        </w:tc>
        <w:tc>
          <w:tcPr>
            <w:tcW w:w="89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29</w:t>
            </w:r>
          </w:p>
        </w:tc>
        <w:tc>
          <w:tcPr>
            <w:tcW w:w="1148"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114</w:t>
            </w:r>
          </w:p>
        </w:tc>
        <w:tc>
          <w:tcPr>
            <w:tcW w:w="101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531</w:t>
            </w:r>
          </w:p>
        </w:tc>
        <w:tc>
          <w:tcPr>
            <w:tcW w:w="1015"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102</w:t>
            </w:r>
          </w:p>
        </w:tc>
        <w:tc>
          <w:tcPr>
            <w:tcW w:w="956"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w:t>
            </w:r>
          </w:p>
        </w:tc>
        <w:tc>
          <w:tcPr>
            <w:tcW w:w="86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778</w:t>
            </w:r>
          </w:p>
        </w:tc>
        <w:tc>
          <w:tcPr>
            <w:tcW w:w="1047"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913</w:t>
            </w:r>
          </w:p>
        </w:tc>
        <w:tc>
          <w:tcPr>
            <w:tcW w:w="72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1691</w:t>
            </w:r>
          </w:p>
        </w:tc>
        <w:tc>
          <w:tcPr>
            <w:tcW w:w="1059" w:type="dxa"/>
          </w:tcPr>
          <w:p w:rsidR="00B3550D" w:rsidRPr="007652B4"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1.0%</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 w:val="0"/>
                <w:bCs w:val="0"/>
                <w:noProof/>
                <w:sz w:val="18"/>
                <w:szCs w:val="26"/>
                <w:lang w:val="en-US"/>
              </w:rPr>
            </w:pPr>
            <w:r w:rsidRPr="002E3027">
              <w:rPr>
                <w:rFonts w:ascii="Calibri" w:hAnsi="Calibri"/>
                <w:noProof/>
                <w:sz w:val="18"/>
                <w:lang w:val="en-US"/>
              </w:rPr>
              <w:t>SSP3_34_Health</w:t>
            </w:r>
          </w:p>
        </w:tc>
        <w:tc>
          <w:tcPr>
            <w:tcW w:w="89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90</w:t>
            </w:r>
          </w:p>
        </w:tc>
        <w:tc>
          <w:tcPr>
            <w:tcW w:w="1148"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114</w:t>
            </w:r>
          </w:p>
        </w:tc>
        <w:tc>
          <w:tcPr>
            <w:tcW w:w="101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561</w:t>
            </w:r>
          </w:p>
        </w:tc>
        <w:tc>
          <w:tcPr>
            <w:tcW w:w="1015"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102</w:t>
            </w:r>
          </w:p>
        </w:tc>
        <w:tc>
          <w:tcPr>
            <w:tcW w:w="956"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w:t>
            </w:r>
          </w:p>
        </w:tc>
        <w:tc>
          <w:tcPr>
            <w:tcW w:w="86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870</w:t>
            </w:r>
          </w:p>
        </w:tc>
        <w:tc>
          <w:tcPr>
            <w:tcW w:w="1047"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1073</w:t>
            </w:r>
          </w:p>
        </w:tc>
        <w:tc>
          <w:tcPr>
            <w:tcW w:w="72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1944</w:t>
            </w:r>
          </w:p>
        </w:tc>
        <w:tc>
          <w:tcPr>
            <w:tcW w:w="1059" w:type="dxa"/>
          </w:tcPr>
          <w:p w:rsidR="00B3550D" w:rsidRPr="007652B4"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1.2%</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hAnsi="Calibri"/>
                <w:noProof/>
                <w:sz w:val="18"/>
                <w:szCs w:val="18"/>
                <w:lang w:val="en-US"/>
              </w:rPr>
            </w:pPr>
          </w:p>
        </w:tc>
        <w:tc>
          <w:tcPr>
            <w:tcW w:w="89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p>
        </w:tc>
        <w:tc>
          <w:tcPr>
            <w:tcW w:w="1148"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p>
        </w:tc>
        <w:tc>
          <w:tcPr>
            <w:tcW w:w="101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p>
        </w:tc>
        <w:tc>
          <w:tcPr>
            <w:tcW w:w="1015"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p>
        </w:tc>
        <w:tc>
          <w:tcPr>
            <w:tcW w:w="956"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p>
        </w:tc>
        <w:tc>
          <w:tcPr>
            <w:tcW w:w="86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p>
        </w:tc>
        <w:tc>
          <w:tcPr>
            <w:tcW w:w="1047"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p>
        </w:tc>
        <w:tc>
          <w:tcPr>
            <w:tcW w:w="72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p>
        </w:tc>
        <w:tc>
          <w:tcPr>
            <w:tcW w:w="1059" w:type="dxa"/>
          </w:tcPr>
          <w:p w:rsidR="00B3550D" w:rsidRPr="007652B4"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hAnsi="Calibri"/>
                <w:noProof/>
                <w:sz w:val="24"/>
                <w:lang w:val="en-US"/>
              </w:rPr>
            </w:pPr>
            <w:r w:rsidRPr="002E3027">
              <w:rPr>
                <w:rFonts w:ascii="Calibri" w:hAnsi="Calibri"/>
                <w:noProof/>
                <w:sz w:val="24"/>
                <w:lang w:val="en-US"/>
              </w:rPr>
              <w:t>2100</w:t>
            </w:r>
          </w:p>
        </w:tc>
        <w:tc>
          <w:tcPr>
            <w:tcW w:w="89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1148"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101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1015"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956"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86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p>
        </w:tc>
        <w:tc>
          <w:tcPr>
            <w:tcW w:w="1047"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72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c>
          <w:tcPr>
            <w:tcW w:w="1059" w:type="dxa"/>
          </w:tcPr>
          <w:p w:rsidR="00B3550D" w:rsidRPr="007652B4"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lang w:val="en-US"/>
              </w:rPr>
            </w:pP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SSP2</w:t>
            </w:r>
          </w:p>
        </w:tc>
        <w:tc>
          <w:tcPr>
            <w:tcW w:w="89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26</w:t>
            </w:r>
          </w:p>
        </w:tc>
        <w:tc>
          <w:tcPr>
            <w:tcW w:w="1148"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33</w:t>
            </w:r>
          </w:p>
        </w:tc>
        <w:tc>
          <w:tcPr>
            <w:tcW w:w="101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861</w:t>
            </w:r>
          </w:p>
        </w:tc>
        <w:tc>
          <w:tcPr>
            <w:tcW w:w="1015"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82</w:t>
            </w:r>
          </w:p>
        </w:tc>
        <w:tc>
          <w:tcPr>
            <w:tcW w:w="956"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w:t>
            </w:r>
          </w:p>
        </w:tc>
        <w:tc>
          <w:tcPr>
            <w:tcW w:w="86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1004</w:t>
            </w:r>
          </w:p>
        </w:tc>
        <w:tc>
          <w:tcPr>
            <w:tcW w:w="1047"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0</w:t>
            </w:r>
          </w:p>
        </w:tc>
        <w:tc>
          <w:tcPr>
            <w:tcW w:w="72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1004</w:t>
            </w:r>
          </w:p>
        </w:tc>
        <w:tc>
          <w:tcPr>
            <w:tcW w:w="1059" w:type="dxa"/>
          </w:tcPr>
          <w:p w:rsidR="00B3550D" w:rsidRPr="007652B4"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0.2%</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SSP2_Climate</w:t>
            </w:r>
          </w:p>
        </w:tc>
        <w:tc>
          <w:tcPr>
            <w:tcW w:w="89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26</w:t>
            </w:r>
          </w:p>
        </w:tc>
        <w:tc>
          <w:tcPr>
            <w:tcW w:w="1148"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92</w:t>
            </w:r>
          </w:p>
        </w:tc>
        <w:tc>
          <w:tcPr>
            <w:tcW w:w="101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861</w:t>
            </w:r>
          </w:p>
        </w:tc>
        <w:tc>
          <w:tcPr>
            <w:tcW w:w="1015"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152</w:t>
            </w:r>
          </w:p>
        </w:tc>
        <w:tc>
          <w:tcPr>
            <w:tcW w:w="956"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w:t>
            </w:r>
          </w:p>
        </w:tc>
        <w:tc>
          <w:tcPr>
            <w:tcW w:w="86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1132</w:t>
            </w:r>
          </w:p>
        </w:tc>
        <w:tc>
          <w:tcPr>
            <w:tcW w:w="1047"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0</w:t>
            </w:r>
          </w:p>
        </w:tc>
        <w:tc>
          <w:tcPr>
            <w:tcW w:w="72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1132</w:t>
            </w:r>
          </w:p>
        </w:tc>
        <w:tc>
          <w:tcPr>
            <w:tcW w:w="1059" w:type="dxa"/>
          </w:tcPr>
          <w:p w:rsidR="00B3550D" w:rsidRPr="007652B4"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0.2%</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SSP2_Health</w:t>
            </w:r>
          </w:p>
        </w:tc>
        <w:tc>
          <w:tcPr>
            <w:tcW w:w="89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95</w:t>
            </w:r>
          </w:p>
        </w:tc>
        <w:tc>
          <w:tcPr>
            <w:tcW w:w="1148"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90</w:t>
            </w:r>
          </w:p>
        </w:tc>
        <w:tc>
          <w:tcPr>
            <w:tcW w:w="101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708</w:t>
            </w:r>
          </w:p>
        </w:tc>
        <w:tc>
          <w:tcPr>
            <w:tcW w:w="1015"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155</w:t>
            </w:r>
          </w:p>
        </w:tc>
        <w:tc>
          <w:tcPr>
            <w:tcW w:w="956"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w:t>
            </w:r>
          </w:p>
        </w:tc>
        <w:tc>
          <w:tcPr>
            <w:tcW w:w="86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1051</w:t>
            </w:r>
          </w:p>
        </w:tc>
        <w:tc>
          <w:tcPr>
            <w:tcW w:w="1047"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0</w:t>
            </w:r>
          </w:p>
        </w:tc>
        <w:tc>
          <w:tcPr>
            <w:tcW w:w="72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1051</w:t>
            </w:r>
          </w:p>
        </w:tc>
        <w:tc>
          <w:tcPr>
            <w:tcW w:w="1059" w:type="dxa"/>
          </w:tcPr>
          <w:p w:rsidR="00B3550D" w:rsidRPr="007652B4"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0.2%</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SSP2_26</w:t>
            </w:r>
          </w:p>
        </w:tc>
        <w:tc>
          <w:tcPr>
            <w:tcW w:w="89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18</w:t>
            </w:r>
          </w:p>
        </w:tc>
        <w:tc>
          <w:tcPr>
            <w:tcW w:w="1148"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26</w:t>
            </w:r>
          </w:p>
        </w:tc>
        <w:tc>
          <w:tcPr>
            <w:tcW w:w="101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520</w:t>
            </w:r>
          </w:p>
        </w:tc>
        <w:tc>
          <w:tcPr>
            <w:tcW w:w="1015"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12</w:t>
            </w:r>
          </w:p>
        </w:tc>
        <w:tc>
          <w:tcPr>
            <w:tcW w:w="956"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w:t>
            </w:r>
          </w:p>
        </w:tc>
        <w:tc>
          <w:tcPr>
            <w:tcW w:w="86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577</w:t>
            </w:r>
          </w:p>
        </w:tc>
        <w:tc>
          <w:tcPr>
            <w:tcW w:w="1047"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9119</w:t>
            </w:r>
          </w:p>
        </w:tc>
        <w:tc>
          <w:tcPr>
            <w:tcW w:w="72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9696</w:t>
            </w:r>
          </w:p>
        </w:tc>
        <w:tc>
          <w:tcPr>
            <w:tcW w:w="1059" w:type="dxa"/>
          </w:tcPr>
          <w:p w:rsidR="00B3550D" w:rsidRPr="007652B4"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1.5%</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SSP2_26_Climate</w:t>
            </w:r>
          </w:p>
        </w:tc>
        <w:tc>
          <w:tcPr>
            <w:tcW w:w="89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18</w:t>
            </w:r>
          </w:p>
        </w:tc>
        <w:tc>
          <w:tcPr>
            <w:tcW w:w="1148"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62</w:t>
            </w:r>
          </w:p>
        </w:tc>
        <w:tc>
          <w:tcPr>
            <w:tcW w:w="101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532</w:t>
            </w:r>
          </w:p>
        </w:tc>
        <w:tc>
          <w:tcPr>
            <w:tcW w:w="1015"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23</w:t>
            </w:r>
          </w:p>
        </w:tc>
        <w:tc>
          <w:tcPr>
            <w:tcW w:w="956"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w:t>
            </w:r>
          </w:p>
        </w:tc>
        <w:tc>
          <w:tcPr>
            <w:tcW w:w="86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636</w:t>
            </w:r>
          </w:p>
        </w:tc>
        <w:tc>
          <w:tcPr>
            <w:tcW w:w="1047"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9122</w:t>
            </w:r>
          </w:p>
        </w:tc>
        <w:tc>
          <w:tcPr>
            <w:tcW w:w="72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9758</w:t>
            </w:r>
          </w:p>
        </w:tc>
        <w:tc>
          <w:tcPr>
            <w:tcW w:w="1059" w:type="dxa"/>
          </w:tcPr>
          <w:p w:rsidR="00B3550D" w:rsidRPr="007652B4"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1.5%</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SSP2_26_Health</w:t>
            </w:r>
          </w:p>
        </w:tc>
        <w:tc>
          <w:tcPr>
            <w:tcW w:w="89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55</w:t>
            </w:r>
          </w:p>
        </w:tc>
        <w:tc>
          <w:tcPr>
            <w:tcW w:w="1148"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62</w:t>
            </w:r>
          </w:p>
        </w:tc>
        <w:tc>
          <w:tcPr>
            <w:tcW w:w="101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547</w:t>
            </w:r>
          </w:p>
        </w:tc>
        <w:tc>
          <w:tcPr>
            <w:tcW w:w="1015"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22</w:t>
            </w:r>
          </w:p>
        </w:tc>
        <w:tc>
          <w:tcPr>
            <w:tcW w:w="956"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w:t>
            </w:r>
          </w:p>
        </w:tc>
        <w:tc>
          <w:tcPr>
            <w:tcW w:w="86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689</w:t>
            </w:r>
          </w:p>
        </w:tc>
        <w:tc>
          <w:tcPr>
            <w:tcW w:w="1047"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9119</w:t>
            </w:r>
          </w:p>
        </w:tc>
        <w:tc>
          <w:tcPr>
            <w:tcW w:w="72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9808</w:t>
            </w:r>
          </w:p>
        </w:tc>
        <w:tc>
          <w:tcPr>
            <w:tcW w:w="1059" w:type="dxa"/>
          </w:tcPr>
          <w:p w:rsidR="00B3550D" w:rsidRPr="007652B4"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1.5%</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hAnsi="Calibri"/>
                <w:noProof/>
                <w:sz w:val="18"/>
                <w:lang w:val="en-US"/>
              </w:rPr>
            </w:pPr>
          </w:p>
        </w:tc>
        <w:tc>
          <w:tcPr>
            <w:tcW w:w="89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1148"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101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1015"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956"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86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p>
        </w:tc>
        <w:tc>
          <w:tcPr>
            <w:tcW w:w="1047"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72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c>
          <w:tcPr>
            <w:tcW w:w="1059" w:type="dxa"/>
          </w:tcPr>
          <w:p w:rsidR="00B3550D" w:rsidRPr="007652B4"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lang w:val="en-US"/>
              </w:rPr>
            </w:pP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SSP3</w:t>
            </w:r>
          </w:p>
        </w:tc>
        <w:tc>
          <w:tcPr>
            <w:tcW w:w="89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28</w:t>
            </w:r>
          </w:p>
        </w:tc>
        <w:tc>
          <w:tcPr>
            <w:tcW w:w="1148"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43</w:t>
            </w:r>
          </w:p>
        </w:tc>
        <w:tc>
          <w:tcPr>
            <w:tcW w:w="101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778</w:t>
            </w:r>
          </w:p>
        </w:tc>
        <w:tc>
          <w:tcPr>
            <w:tcW w:w="1015"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87</w:t>
            </w:r>
          </w:p>
        </w:tc>
        <w:tc>
          <w:tcPr>
            <w:tcW w:w="956"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w:t>
            </w:r>
          </w:p>
        </w:tc>
        <w:tc>
          <w:tcPr>
            <w:tcW w:w="86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938</w:t>
            </w:r>
          </w:p>
        </w:tc>
        <w:tc>
          <w:tcPr>
            <w:tcW w:w="1047"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0</w:t>
            </w:r>
          </w:p>
        </w:tc>
        <w:tc>
          <w:tcPr>
            <w:tcW w:w="72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938</w:t>
            </w:r>
          </w:p>
        </w:tc>
        <w:tc>
          <w:tcPr>
            <w:tcW w:w="1059" w:type="dxa"/>
          </w:tcPr>
          <w:p w:rsidR="00B3550D" w:rsidRPr="007652B4"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0.3%</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SSP3_Climate</w:t>
            </w:r>
          </w:p>
        </w:tc>
        <w:tc>
          <w:tcPr>
            <w:tcW w:w="89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28</w:t>
            </w:r>
          </w:p>
        </w:tc>
        <w:tc>
          <w:tcPr>
            <w:tcW w:w="1148"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103</w:t>
            </w:r>
          </w:p>
        </w:tc>
        <w:tc>
          <w:tcPr>
            <w:tcW w:w="101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777</w:t>
            </w:r>
          </w:p>
        </w:tc>
        <w:tc>
          <w:tcPr>
            <w:tcW w:w="1015"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162</w:t>
            </w:r>
          </w:p>
        </w:tc>
        <w:tc>
          <w:tcPr>
            <w:tcW w:w="956"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w:t>
            </w:r>
          </w:p>
        </w:tc>
        <w:tc>
          <w:tcPr>
            <w:tcW w:w="86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1071</w:t>
            </w:r>
          </w:p>
        </w:tc>
        <w:tc>
          <w:tcPr>
            <w:tcW w:w="1047"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0</w:t>
            </w:r>
          </w:p>
        </w:tc>
        <w:tc>
          <w:tcPr>
            <w:tcW w:w="72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1071</w:t>
            </w:r>
          </w:p>
        </w:tc>
        <w:tc>
          <w:tcPr>
            <w:tcW w:w="1059" w:type="dxa"/>
          </w:tcPr>
          <w:p w:rsidR="00B3550D" w:rsidRPr="007652B4"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0.3%</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SSP3_Health</w:t>
            </w:r>
          </w:p>
        </w:tc>
        <w:tc>
          <w:tcPr>
            <w:tcW w:w="89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86</w:t>
            </w:r>
          </w:p>
        </w:tc>
        <w:tc>
          <w:tcPr>
            <w:tcW w:w="1148"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103</w:t>
            </w:r>
          </w:p>
        </w:tc>
        <w:tc>
          <w:tcPr>
            <w:tcW w:w="101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818</w:t>
            </w:r>
          </w:p>
        </w:tc>
        <w:tc>
          <w:tcPr>
            <w:tcW w:w="1015"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162</w:t>
            </w:r>
          </w:p>
        </w:tc>
        <w:tc>
          <w:tcPr>
            <w:tcW w:w="956"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w:t>
            </w:r>
          </w:p>
        </w:tc>
        <w:tc>
          <w:tcPr>
            <w:tcW w:w="86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1172</w:t>
            </w:r>
          </w:p>
        </w:tc>
        <w:tc>
          <w:tcPr>
            <w:tcW w:w="1047"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0</w:t>
            </w:r>
          </w:p>
        </w:tc>
        <w:tc>
          <w:tcPr>
            <w:tcW w:w="72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1172</w:t>
            </w:r>
          </w:p>
        </w:tc>
        <w:tc>
          <w:tcPr>
            <w:tcW w:w="1059"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0.3%</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SSP3_34</w:t>
            </w:r>
          </w:p>
        </w:tc>
        <w:tc>
          <w:tcPr>
            <w:tcW w:w="89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18</w:t>
            </w:r>
          </w:p>
        </w:tc>
        <w:tc>
          <w:tcPr>
            <w:tcW w:w="1148"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30</w:t>
            </w:r>
          </w:p>
        </w:tc>
        <w:tc>
          <w:tcPr>
            <w:tcW w:w="101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586</w:t>
            </w:r>
          </w:p>
        </w:tc>
        <w:tc>
          <w:tcPr>
            <w:tcW w:w="1015"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22</w:t>
            </w:r>
          </w:p>
        </w:tc>
        <w:tc>
          <w:tcPr>
            <w:tcW w:w="956"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w:t>
            </w:r>
          </w:p>
        </w:tc>
        <w:tc>
          <w:tcPr>
            <w:tcW w:w="86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657</w:t>
            </w:r>
          </w:p>
        </w:tc>
        <w:tc>
          <w:tcPr>
            <w:tcW w:w="1047"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8677</w:t>
            </w:r>
          </w:p>
        </w:tc>
        <w:tc>
          <w:tcPr>
            <w:tcW w:w="72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9334</w:t>
            </w:r>
          </w:p>
        </w:tc>
        <w:tc>
          <w:tcPr>
            <w:tcW w:w="1059"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2.8%</w:t>
            </w:r>
          </w:p>
        </w:tc>
      </w:tr>
      <w:tr w:rsidR="00B3550D" w:rsidRPr="002E3027" w:rsidTr="00CC65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SSP3_34_Climate</w:t>
            </w:r>
          </w:p>
        </w:tc>
        <w:tc>
          <w:tcPr>
            <w:tcW w:w="89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19</w:t>
            </w:r>
          </w:p>
        </w:tc>
        <w:tc>
          <w:tcPr>
            <w:tcW w:w="1148"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62</w:t>
            </w:r>
          </w:p>
        </w:tc>
        <w:tc>
          <w:tcPr>
            <w:tcW w:w="1012"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603</w:t>
            </w:r>
          </w:p>
        </w:tc>
        <w:tc>
          <w:tcPr>
            <w:tcW w:w="1015"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41</w:t>
            </w:r>
          </w:p>
        </w:tc>
        <w:tc>
          <w:tcPr>
            <w:tcW w:w="956"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1</w:t>
            </w:r>
          </w:p>
        </w:tc>
        <w:tc>
          <w:tcPr>
            <w:tcW w:w="86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726</w:t>
            </w:r>
          </w:p>
        </w:tc>
        <w:tc>
          <w:tcPr>
            <w:tcW w:w="1047"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6693</w:t>
            </w:r>
          </w:p>
        </w:tc>
        <w:tc>
          <w:tcPr>
            <w:tcW w:w="720"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7419</w:t>
            </w:r>
          </w:p>
        </w:tc>
        <w:tc>
          <w:tcPr>
            <w:tcW w:w="1059" w:type="dxa"/>
          </w:tcPr>
          <w:p w:rsidR="00B3550D" w:rsidRPr="002E3027" w:rsidRDefault="00B3550D" w:rsidP="00CC659F">
            <w:pPr>
              <w:jc w:val="right"/>
              <w:cnfStyle w:val="000000100000" w:firstRow="0" w:lastRow="0" w:firstColumn="0" w:lastColumn="0" w:oddVBand="0" w:evenVBand="0" w:oddHBand="1"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2.2%</w:t>
            </w:r>
          </w:p>
        </w:tc>
      </w:tr>
      <w:tr w:rsidR="00B3550D" w:rsidRPr="002E3027" w:rsidTr="00CC659F">
        <w:tc>
          <w:tcPr>
            <w:cnfStyle w:val="001000000000" w:firstRow="0" w:lastRow="0" w:firstColumn="1" w:lastColumn="0" w:oddVBand="0" w:evenVBand="0" w:oddHBand="0" w:evenHBand="0" w:firstRowFirstColumn="0" w:firstRowLastColumn="0" w:lastRowFirstColumn="0" w:lastRowLastColumn="0"/>
            <w:tcW w:w="1638" w:type="dxa"/>
          </w:tcPr>
          <w:p w:rsidR="00B3550D" w:rsidRPr="002E3027" w:rsidRDefault="00B3550D" w:rsidP="00CC659F">
            <w:pPr>
              <w:rPr>
                <w:rFonts w:ascii="Calibri" w:eastAsiaTheme="majorEastAsia" w:hAnsi="Calibri" w:cstheme="majorBidi"/>
                <w:bCs w:val="0"/>
                <w:noProof/>
                <w:sz w:val="18"/>
                <w:szCs w:val="26"/>
                <w:lang w:val="en-US"/>
              </w:rPr>
            </w:pPr>
            <w:r w:rsidRPr="002E3027">
              <w:rPr>
                <w:rFonts w:ascii="Calibri" w:hAnsi="Calibri"/>
                <w:noProof/>
                <w:sz w:val="18"/>
                <w:lang w:val="en-US"/>
              </w:rPr>
              <w:t>SSP3_34_Health</w:t>
            </w:r>
          </w:p>
        </w:tc>
        <w:tc>
          <w:tcPr>
            <w:tcW w:w="89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57</w:t>
            </w:r>
          </w:p>
        </w:tc>
        <w:tc>
          <w:tcPr>
            <w:tcW w:w="1148"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60</w:t>
            </w:r>
          </w:p>
        </w:tc>
        <w:tc>
          <w:tcPr>
            <w:tcW w:w="1012"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619</w:t>
            </w:r>
          </w:p>
        </w:tc>
        <w:tc>
          <w:tcPr>
            <w:tcW w:w="1015"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41</w:t>
            </w:r>
          </w:p>
        </w:tc>
        <w:tc>
          <w:tcPr>
            <w:tcW w:w="956"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3</w:t>
            </w:r>
          </w:p>
        </w:tc>
        <w:tc>
          <w:tcPr>
            <w:tcW w:w="86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hAnsi="Calibri"/>
                <w:noProof/>
                <w:sz w:val="18"/>
                <w:szCs w:val="18"/>
                <w:lang w:val="en-US"/>
              </w:rPr>
            </w:pPr>
            <w:r w:rsidRPr="002E3027">
              <w:rPr>
                <w:rFonts w:ascii="Calibri" w:hAnsi="Calibri"/>
                <w:sz w:val="18"/>
                <w:lang w:val="en-US"/>
              </w:rPr>
              <w:t>780</w:t>
            </w:r>
          </w:p>
        </w:tc>
        <w:tc>
          <w:tcPr>
            <w:tcW w:w="1047"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8444</w:t>
            </w:r>
          </w:p>
        </w:tc>
        <w:tc>
          <w:tcPr>
            <w:tcW w:w="720"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2E3027">
              <w:rPr>
                <w:rFonts w:ascii="Calibri" w:hAnsi="Calibri"/>
                <w:sz w:val="18"/>
                <w:lang w:val="en-US"/>
              </w:rPr>
              <w:t>9224</w:t>
            </w:r>
          </w:p>
        </w:tc>
        <w:tc>
          <w:tcPr>
            <w:tcW w:w="1059" w:type="dxa"/>
          </w:tcPr>
          <w:p w:rsidR="00B3550D" w:rsidRPr="002E3027" w:rsidRDefault="00B3550D" w:rsidP="00CC659F">
            <w:pPr>
              <w:jc w:val="right"/>
              <w:cnfStyle w:val="000000000000" w:firstRow="0" w:lastRow="0" w:firstColumn="0" w:lastColumn="0" w:oddVBand="0" w:evenVBand="0" w:oddHBand="0" w:evenHBand="0" w:firstRowFirstColumn="0" w:firstRowLastColumn="0" w:lastRowFirstColumn="0" w:lastRowLastColumn="0"/>
              <w:rPr>
                <w:rFonts w:ascii="Calibri" w:eastAsiaTheme="majorEastAsia" w:hAnsi="Calibri" w:cstheme="majorBidi"/>
                <w:b/>
                <w:bCs/>
                <w:noProof/>
                <w:sz w:val="18"/>
                <w:szCs w:val="26"/>
                <w:lang w:val="en-US"/>
              </w:rPr>
            </w:pPr>
            <w:r w:rsidRPr="007652B4">
              <w:rPr>
                <w:sz w:val="18"/>
              </w:rPr>
              <w:t>2.7%</w:t>
            </w:r>
          </w:p>
        </w:tc>
      </w:tr>
    </w:tbl>
    <w:p w:rsidR="00B3550D" w:rsidRPr="002E3027" w:rsidRDefault="00B3550D" w:rsidP="00B3550D">
      <w:pPr>
        <w:rPr>
          <w:rFonts w:ascii="Calibri" w:eastAsiaTheme="majorEastAsia" w:hAnsi="Calibri" w:cstheme="majorBidi"/>
          <w:b/>
          <w:bCs/>
          <w:noProof/>
          <w:sz w:val="24"/>
          <w:szCs w:val="26"/>
          <w:lang w:val="en-US"/>
        </w:rPr>
      </w:pPr>
      <w:r w:rsidRPr="002E3027">
        <w:rPr>
          <w:rFonts w:ascii="Calibri" w:eastAsiaTheme="majorEastAsia" w:hAnsi="Calibri" w:cstheme="majorBidi"/>
          <w:b/>
          <w:bCs/>
          <w:noProof/>
          <w:sz w:val="24"/>
          <w:szCs w:val="26"/>
          <w:lang w:val="en-US"/>
        </w:rPr>
        <w:br w:type="page"/>
      </w:r>
    </w:p>
    <w:p w:rsidR="00B3550D" w:rsidRPr="00BE67F2" w:rsidRDefault="00B3550D" w:rsidP="00B3550D">
      <w:pPr>
        <w:pStyle w:val="Heading3"/>
        <w:rPr>
          <w:noProof/>
          <w:lang w:val="en-US"/>
        </w:rPr>
      </w:pPr>
      <w:r>
        <w:rPr>
          <w:noProof/>
          <w:lang w:val="en-US"/>
        </w:rPr>
        <w:lastRenderedPageBreak/>
        <w:t>S6</w:t>
      </w:r>
      <w:r w:rsidRPr="00CB33AF">
        <w:rPr>
          <w:noProof/>
          <w:lang w:val="en-US"/>
        </w:rPr>
        <w:t>.</w:t>
      </w:r>
      <w:r w:rsidRPr="002E3027">
        <w:rPr>
          <w:noProof/>
          <w:lang w:val="en-US"/>
        </w:rPr>
        <w:t xml:space="preserve"> </w:t>
      </w:r>
      <w:r>
        <w:rPr>
          <w:noProof/>
          <w:lang w:val="en-US"/>
        </w:rPr>
        <w:t>Uncertainty analysis climate parameters</w:t>
      </w:r>
    </w:p>
    <w:p w:rsidR="00B3550D" w:rsidRDefault="00B3550D" w:rsidP="00B3550D">
      <w:pPr>
        <w:rPr>
          <w:lang w:val="en-US"/>
        </w:rPr>
      </w:pPr>
    </w:p>
    <w:p w:rsidR="00B3550D" w:rsidRDefault="00B3550D" w:rsidP="00B3550D">
      <w:pPr>
        <w:spacing w:line="276" w:lineRule="auto"/>
        <w:jc w:val="both"/>
        <w:rPr>
          <w:rFonts w:ascii="Calibri" w:hAnsi="Calibri"/>
          <w:lang w:val="en-US"/>
        </w:rPr>
      </w:pPr>
      <w:r>
        <w:rPr>
          <w:rFonts w:ascii="Calibri" w:hAnsi="Calibri"/>
          <w:lang w:val="en-US"/>
        </w:rPr>
        <w:t xml:space="preserve">This section </w:t>
      </w:r>
      <w:r w:rsidRPr="00AC5479">
        <w:rPr>
          <w:rFonts w:ascii="Calibri" w:hAnsi="Calibri"/>
          <w:lang w:val="en-US"/>
        </w:rPr>
        <w:t>provides an uncertain</w:t>
      </w:r>
      <w:r>
        <w:rPr>
          <w:rFonts w:ascii="Calibri" w:hAnsi="Calibri"/>
          <w:lang w:val="en-US"/>
        </w:rPr>
        <w:t>ty analysis of the climate focu</w:t>
      </w:r>
      <w:r w:rsidRPr="00AC5479">
        <w:rPr>
          <w:rFonts w:ascii="Calibri" w:hAnsi="Calibri"/>
          <w:lang w:val="en-US"/>
        </w:rPr>
        <w:t>sed BC measures in SSP2 and SSP3 to determine the GMT reduction under different climate assumptions. In a Monte Carlo analysis, SSP2, SSP3, SSP2_Climate and SSP3_Climate have been run with a probabilistic version of MAGICC6</w:t>
      </w:r>
      <w:r>
        <w:rPr>
          <w:rFonts w:ascii="Calibri" w:hAnsi="Calibri"/>
          <w:lang w:val="en-US"/>
        </w:rPr>
        <w:t xml:space="preserve"> </w:t>
      </w:r>
      <w:r>
        <w:rPr>
          <w:rFonts w:ascii="Calibri" w:hAnsi="Calibri"/>
          <w:lang w:val="en-US"/>
        </w:rPr>
        <w:fldChar w:fldCharType="begin"/>
      </w:r>
      <w:r>
        <w:rPr>
          <w:rFonts w:ascii="Calibri" w:hAnsi="Calibri"/>
          <w:lang w:val="en-US"/>
        </w:rPr>
        <w:instrText xml:space="preserve"> ADDIN EN.CITE &lt;EndNote&gt;&lt;Cite&gt;&lt;Author&gt;Meinshausen&lt;/Author&gt;&lt;Year&gt;2011&lt;/Year&gt;&lt;RecNum&gt;12&lt;/RecNum&gt;&lt;DisplayText&gt;(Meinshausen et al., 2011)&lt;/DisplayText&gt;&lt;record&gt;&lt;rec-number&gt;12&lt;/rec-number&gt;&lt;foreign-keys&gt;&lt;key app="EN" db-id="ewxvdw52e55r2gefrsovdxwk0xrz0v2zfp2s" timestamp="1392827045"&gt;12&lt;/key&gt;&lt;/foreign-keys&gt;&lt;ref-type name="Journal Article"&gt;17&lt;/ref-type&gt;&lt;contributors&gt;&lt;authors&gt;&lt;author&gt;Meinshausen, M.&lt;/author&gt;&lt;author&gt;Raper, S.C.B.&lt;/author&gt;&lt;author&gt;Wigley, T.M.L. &lt;/author&gt;&lt;/authors&gt;&lt;/contributors&gt;&lt;titles&gt;&lt;title&gt;Emulating coupled atmosphere-ocean and carbon cycle models with a simpler model, MAGICC6: Part I - model description and calibration&lt;/title&gt;&lt;secondary-title&gt;Atmos. Chem. Phys.&lt;/secondary-title&gt;&lt;/titles&gt;&lt;periodical&gt;&lt;full-title&gt;Atmos. Chem. Phys.&lt;/full-title&gt;&lt;/periodical&gt;&lt;pages&gt;1417–1456&lt;/pages&gt;&lt;volume&gt;11&lt;/volume&gt;&lt;dates&gt;&lt;year&gt;2011&lt;/year&gt;&lt;/dates&gt;&lt;urls&gt;&lt;/urls&gt;&lt;/record&gt;&lt;/Cite&gt;&lt;/EndNote&gt;</w:instrText>
      </w:r>
      <w:r>
        <w:rPr>
          <w:rFonts w:ascii="Calibri" w:hAnsi="Calibri"/>
          <w:lang w:val="en-US"/>
        </w:rPr>
        <w:fldChar w:fldCharType="separate"/>
      </w:r>
      <w:r>
        <w:rPr>
          <w:rFonts w:ascii="Calibri" w:hAnsi="Calibri"/>
          <w:noProof/>
          <w:lang w:val="en-US"/>
        </w:rPr>
        <w:t>(Meinshausen et al., 2011)</w:t>
      </w:r>
      <w:r>
        <w:rPr>
          <w:rFonts w:ascii="Calibri" w:hAnsi="Calibri"/>
          <w:lang w:val="en-US"/>
        </w:rPr>
        <w:fldChar w:fldCharType="end"/>
      </w:r>
      <w:r w:rsidRPr="00AC5479">
        <w:rPr>
          <w:rFonts w:ascii="Calibri" w:hAnsi="Calibri"/>
          <w:lang w:val="en-US"/>
        </w:rPr>
        <w:t xml:space="preserve"> with 171 cases per scenario that represent alternate configurations of 82 climate model parameters (climate sensitivity, ocean heat diffusion rate and radiative forcing strength of aerosol and GHG species) resulting in a range of possible GMT changes.</w:t>
      </w:r>
      <w:r>
        <w:rPr>
          <w:rFonts w:ascii="Calibri" w:hAnsi="Calibri"/>
          <w:lang w:val="en-US"/>
        </w:rPr>
        <w:t xml:space="preserve"> Figure S6.1 (for the SSP2 scenarios) and Figure S6.2 (for the SSP3 scenarios) show that, although the</w:t>
      </w:r>
      <w:r w:rsidRPr="00DD3B4B">
        <w:rPr>
          <w:rFonts w:ascii="Calibri" w:hAnsi="Calibri"/>
          <w:lang w:val="en-US"/>
        </w:rPr>
        <w:t xml:space="preserve"> uncertainty in GMT change is</w:t>
      </w:r>
      <w:r>
        <w:rPr>
          <w:rFonts w:ascii="Calibri" w:hAnsi="Calibri"/>
          <w:lang w:val="en-US"/>
        </w:rPr>
        <w:t xml:space="preserve"> very large (with a range in 203</w:t>
      </w:r>
      <w:r w:rsidRPr="00DD3B4B">
        <w:rPr>
          <w:rFonts w:ascii="Calibri" w:hAnsi="Calibri"/>
          <w:lang w:val="en-US"/>
        </w:rPr>
        <w:t>0 that is larger than 0.</w:t>
      </w:r>
      <w:r>
        <w:rPr>
          <w:rFonts w:ascii="Calibri" w:hAnsi="Calibri"/>
          <w:lang w:val="en-US"/>
        </w:rPr>
        <w:t>3</w:t>
      </w:r>
      <w:r w:rsidRPr="00DD3B4B">
        <w:rPr>
          <w:rFonts w:ascii="Calibri" w:hAnsi="Calibri"/>
          <w:lang w:val="en-US"/>
        </w:rPr>
        <w:t xml:space="preserve"> </w:t>
      </w:r>
      <w:r w:rsidRPr="00005D0E">
        <w:rPr>
          <w:rFonts w:ascii="Calibri" w:hAnsi="Calibri"/>
          <w:vertAlign w:val="superscript"/>
          <w:lang w:val="en-US"/>
        </w:rPr>
        <w:t>o</w:t>
      </w:r>
      <w:r w:rsidRPr="00DD3B4B">
        <w:rPr>
          <w:rFonts w:ascii="Calibri" w:hAnsi="Calibri"/>
          <w:lang w:val="en-US"/>
        </w:rPr>
        <w:t xml:space="preserve">C for </w:t>
      </w:r>
      <w:r>
        <w:rPr>
          <w:rFonts w:ascii="Calibri" w:hAnsi="Calibri"/>
          <w:lang w:val="en-US"/>
        </w:rPr>
        <w:t>all</w:t>
      </w:r>
      <w:r w:rsidRPr="00DD3B4B">
        <w:rPr>
          <w:rFonts w:ascii="Calibri" w:hAnsi="Calibri"/>
          <w:lang w:val="en-US"/>
        </w:rPr>
        <w:t xml:space="preserve"> scenarios), the </w:t>
      </w:r>
      <w:r>
        <w:rPr>
          <w:rFonts w:ascii="Calibri" w:hAnsi="Calibri"/>
          <w:lang w:val="en-US"/>
        </w:rPr>
        <w:t xml:space="preserve">range in </w:t>
      </w:r>
      <w:r w:rsidRPr="00DD3B4B">
        <w:rPr>
          <w:rFonts w:ascii="Calibri" w:hAnsi="Calibri"/>
          <w:lang w:val="en-US"/>
        </w:rPr>
        <w:t>GMT difference</w:t>
      </w:r>
      <w:r>
        <w:rPr>
          <w:rFonts w:ascii="Calibri" w:hAnsi="Calibri"/>
          <w:lang w:val="en-US"/>
        </w:rPr>
        <w:t xml:space="preserve"> (i.e. uncertainty in the effect of climate focused BC measures)</w:t>
      </w:r>
      <w:r w:rsidRPr="00DD3B4B">
        <w:rPr>
          <w:rFonts w:ascii="Calibri" w:hAnsi="Calibri"/>
          <w:lang w:val="en-US"/>
        </w:rPr>
        <w:t xml:space="preserve"> </w:t>
      </w:r>
      <w:r>
        <w:rPr>
          <w:rFonts w:ascii="Calibri" w:hAnsi="Calibri"/>
          <w:lang w:val="en-US"/>
        </w:rPr>
        <w:t xml:space="preserve">is much smaller. In the SSP2 case, this amounts to </w:t>
      </w:r>
      <w:r w:rsidRPr="00005D0E">
        <w:rPr>
          <w:rFonts w:ascii="Calibri" w:hAnsi="Calibri"/>
          <w:lang w:val="en-US"/>
        </w:rPr>
        <w:t xml:space="preserve">-0.009 </w:t>
      </w:r>
      <w:r w:rsidRPr="00005D0E">
        <w:rPr>
          <w:rFonts w:ascii="Calibri" w:hAnsi="Calibri"/>
          <w:vertAlign w:val="superscript"/>
          <w:lang w:val="en-US"/>
        </w:rPr>
        <w:t>o</w:t>
      </w:r>
      <w:r w:rsidRPr="00DD3B4B">
        <w:rPr>
          <w:rFonts w:ascii="Calibri" w:hAnsi="Calibri"/>
          <w:lang w:val="en-US"/>
        </w:rPr>
        <w:t>C</w:t>
      </w:r>
      <w:r w:rsidRPr="00005D0E">
        <w:rPr>
          <w:rFonts w:ascii="Calibri" w:hAnsi="Calibri"/>
          <w:lang w:val="en-US"/>
        </w:rPr>
        <w:t xml:space="preserve"> to -0.014</w:t>
      </w:r>
      <w:r w:rsidRPr="00005D0E">
        <w:rPr>
          <w:rFonts w:ascii="Calibri" w:hAnsi="Calibri"/>
          <w:vertAlign w:val="superscript"/>
          <w:lang w:val="en-US"/>
        </w:rPr>
        <w:t xml:space="preserve"> o</w:t>
      </w:r>
      <w:r w:rsidRPr="00DD3B4B">
        <w:rPr>
          <w:rFonts w:ascii="Calibri" w:hAnsi="Calibri"/>
          <w:lang w:val="en-US"/>
        </w:rPr>
        <w:t>C</w:t>
      </w:r>
      <w:r>
        <w:rPr>
          <w:rFonts w:ascii="Calibri" w:hAnsi="Calibri"/>
          <w:lang w:val="en-US"/>
        </w:rPr>
        <w:t xml:space="preserve"> in 2030. In SSP3, this is projected to be </w:t>
      </w:r>
      <w:r w:rsidRPr="00005D0E">
        <w:rPr>
          <w:rFonts w:ascii="Calibri" w:hAnsi="Calibri"/>
          <w:lang w:val="en-US"/>
        </w:rPr>
        <w:t>-0.0</w:t>
      </w:r>
      <w:r>
        <w:rPr>
          <w:rFonts w:ascii="Calibri" w:hAnsi="Calibri"/>
          <w:lang w:val="en-US"/>
        </w:rPr>
        <w:t>13</w:t>
      </w:r>
      <w:r w:rsidRPr="00005D0E">
        <w:rPr>
          <w:rFonts w:ascii="Calibri" w:hAnsi="Calibri"/>
          <w:lang w:val="en-US"/>
        </w:rPr>
        <w:t xml:space="preserve"> </w:t>
      </w:r>
      <w:r w:rsidRPr="00005D0E">
        <w:rPr>
          <w:rFonts w:ascii="Calibri" w:hAnsi="Calibri"/>
          <w:vertAlign w:val="superscript"/>
          <w:lang w:val="en-US"/>
        </w:rPr>
        <w:t>o</w:t>
      </w:r>
      <w:r w:rsidRPr="00DD3B4B">
        <w:rPr>
          <w:rFonts w:ascii="Calibri" w:hAnsi="Calibri"/>
          <w:lang w:val="en-US"/>
        </w:rPr>
        <w:t>C</w:t>
      </w:r>
      <w:r w:rsidRPr="00005D0E">
        <w:rPr>
          <w:rFonts w:ascii="Calibri" w:hAnsi="Calibri"/>
          <w:lang w:val="en-US"/>
        </w:rPr>
        <w:t xml:space="preserve"> to -0.0</w:t>
      </w:r>
      <w:r>
        <w:rPr>
          <w:rFonts w:ascii="Calibri" w:hAnsi="Calibri"/>
          <w:lang w:val="en-US"/>
        </w:rPr>
        <w:t>22</w:t>
      </w:r>
      <w:r w:rsidRPr="00005D0E">
        <w:rPr>
          <w:rFonts w:ascii="Calibri" w:hAnsi="Calibri"/>
          <w:vertAlign w:val="superscript"/>
          <w:lang w:val="en-US"/>
        </w:rPr>
        <w:t xml:space="preserve"> o</w:t>
      </w:r>
      <w:r w:rsidRPr="00DD3B4B">
        <w:rPr>
          <w:rFonts w:ascii="Calibri" w:hAnsi="Calibri"/>
          <w:lang w:val="en-US"/>
        </w:rPr>
        <w:t>C</w:t>
      </w:r>
      <w:r>
        <w:rPr>
          <w:rFonts w:ascii="Calibri" w:hAnsi="Calibri"/>
          <w:lang w:val="en-US"/>
        </w:rPr>
        <w:t xml:space="preserve"> in 2030 (and leading to a maximum difference in 2060 (not shown): </w:t>
      </w:r>
      <w:r w:rsidRPr="00005D0E">
        <w:rPr>
          <w:rFonts w:ascii="Calibri" w:hAnsi="Calibri"/>
          <w:lang w:val="en-US"/>
        </w:rPr>
        <w:t>-0.0</w:t>
      </w:r>
      <w:r>
        <w:rPr>
          <w:rFonts w:ascii="Calibri" w:hAnsi="Calibri"/>
          <w:lang w:val="en-US"/>
        </w:rPr>
        <w:t>21</w:t>
      </w:r>
      <w:r w:rsidRPr="00005D0E">
        <w:rPr>
          <w:rFonts w:ascii="Calibri" w:hAnsi="Calibri"/>
          <w:lang w:val="en-US"/>
        </w:rPr>
        <w:t xml:space="preserve"> </w:t>
      </w:r>
      <w:r w:rsidRPr="00005D0E">
        <w:rPr>
          <w:rFonts w:ascii="Calibri" w:hAnsi="Calibri"/>
          <w:vertAlign w:val="superscript"/>
          <w:lang w:val="en-US"/>
        </w:rPr>
        <w:t>o</w:t>
      </w:r>
      <w:r w:rsidRPr="00DD3B4B">
        <w:rPr>
          <w:rFonts w:ascii="Calibri" w:hAnsi="Calibri"/>
          <w:lang w:val="en-US"/>
        </w:rPr>
        <w:t>C</w:t>
      </w:r>
      <w:r w:rsidRPr="00005D0E">
        <w:rPr>
          <w:rFonts w:ascii="Calibri" w:hAnsi="Calibri"/>
          <w:lang w:val="en-US"/>
        </w:rPr>
        <w:t xml:space="preserve"> to -0.0</w:t>
      </w:r>
      <w:r>
        <w:rPr>
          <w:rFonts w:ascii="Calibri" w:hAnsi="Calibri"/>
          <w:lang w:val="en-US"/>
        </w:rPr>
        <w:t>38</w:t>
      </w:r>
      <w:r w:rsidRPr="00005D0E">
        <w:rPr>
          <w:rFonts w:ascii="Calibri" w:hAnsi="Calibri"/>
          <w:vertAlign w:val="superscript"/>
          <w:lang w:val="en-US"/>
        </w:rPr>
        <w:t xml:space="preserve"> o</w:t>
      </w:r>
      <w:r w:rsidRPr="00DD3B4B">
        <w:rPr>
          <w:rFonts w:ascii="Calibri" w:hAnsi="Calibri"/>
          <w:lang w:val="en-US"/>
        </w:rPr>
        <w:t>C</w:t>
      </w:r>
      <w:r>
        <w:rPr>
          <w:rFonts w:ascii="Calibri" w:hAnsi="Calibri"/>
          <w:lang w:val="en-US"/>
        </w:rPr>
        <w:t>). The GMT estimates as projected with the default version of MAGICC6 used in this study fit well within these ranges. This suggest that, despite uncertainties, there is likely a small temperature-reducing potential from the climate-focused BC measures here. Furthermore, the projected GMT reducing effect from BC measures is likely not much larger than presented in this study.</w:t>
      </w:r>
    </w:p>
    <w:p w:rsidR="00B3550D" w:rsidRDefault="00B3550D" w:rsidP="00B3550D">
      <w:pPr>
        <w:rPr>
          <w:b/>
          <w:sz w:val="20"/>
          <w:szCs w:val="20"/>
          <w:lang w:val="en-US"/>
        </w:rPr>
      </w:pPr>
      <w:r>
        <w:rPr>
          <w:b/>
          <w:sz w:val="20"/>
          <w:szCs w:val="20"/>
          <w:lang w:val="en-US"/>
        </w:rPr>
        <w:br w:type="page"/>
      </w:r>
    </w:p>
    <w:p w:rsidR="00B3550D" w:rsidRPr="00DD3B4B" w:rsidRDefault="00B3550D" w:rsidP="00B3550D">
      <w:pPr>
        <w:jc w:val="both"/>
        <w:rPr>
          <w:sz w:val="20"/>
          <w:szCs w:val="20"/>
          <w:lang w:val="en-US"/>
        </w:rPr>
      </w:pPr>
      <w:r w:rsidRPr="00DD3B4B">
        <w:rPr>
          <w:b/>
          <w:sz w:val="20"/>
          <w:szCs w:val="20"/>
          <w:lang w:val="en-US"/>
        </w:rPr>
        <w:lastRenderedPageBreak/>
        <w:t>Figure S6.1: Result probabilistic MAGICC6 runs for the SSP2 and SSP2_Climate scenarios.</w:t>
      </w:r>
      <w:r w:rsidRPr="00DD3B4B">
        <w:rPr>
          <w:sz w:val="20"/>
          <w:szCs w:val="20"/>
          <w:lang w:val="en-US"/>
        </w:rPr>
        <w:t xml:space="preserve"> </w:t>
      </w:r>
      <w:r w:rsidRPr="00DD3B4B">
        <w:rPr>
          <w:b/>
          <w:sz w:val="20"/>
          <w:szCs w:val="20"/>
          <w:u w:val="single"/>
          <w:lang w:val="en-US"/>
        </w:rPr>
        <w:t>Upper panel:</w:t>
      </w:r>
      <w:r w:rsidRPr="00DD3B4B">
        <w:rPr>
          <w:sz w:val="20"/>
          <w:szCs w:val="20"/>
          <w:lang w:val="en-US"/>
        </w:rPr>
        <w:t xml:space="preserve"> GMT change range (line represents median scenario). </w:t>
      </w:r>
      <w:r w:rsidRPr="00DD3B4B">
        <w:rPr>
          <w:b/>
          <w:sz w:val="20"/>
          <w:szCs w:val="20"/>
          <w:u w:val="single"/>
          <w:lang w:val="en-US"/>
        </w:rPr>
        <w:t>Lower panel:</w:t>
      </w:r>
      <w:r w:rsidRPr="00DD3B4B">
        <w:rPr>
          <w:sz w:val="20"/>
          <w:szCs w:val="20"/>
          <w:lang w:val="en-US"/>
        </w:rPr>
        <w:t xml:space="preserve"> range in GMT difference between the two scenarios (line represents difference in median case). </w:t>
      </w:r>
    </w:p>
    <w:p w:rsidR="00B3550D" w:rsidRDefault="00B3550D" w:rsidP="00B3550D">
      <w:pPr>
        <w:rPr>
          <w:lang w:val="en-US"/>
        </w:rPr>
      </w:pPr>
      <w:r w:rsidRPr="00F9765C">
        <w:rPr>
          <w:noProof/>
          <w:lang w:eastAsia="nl-NL"/>
        </w:rPr>
        <w:drawing>
          <wp:inline distT="0" distB="0" distL="0" distR="0" wp14:anchorId="3EFBDB97" wp14:editId="5F2404AC">
            <wp:extent cx="5760720" cy="2877321"/>
            <wp:effectExtent l="0" t="0" r="0" b="0"/>
            <wp:docPr id="3" name="Picture 3" descr="Y:\ontwapps\Timer\Users\Mathijs\Projects\EMF30\EMF30 - info\BC paper\Essential files copy (use this!)\Probabilistic MACICC\TEMP_SS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ntwapps\Timer\Users\Mathijs\Projects\EMF30\EMF30 - info\BC paper\Essential files copy (use this!)\Probabilistic MACICC\TEMP_SSP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2877321"/>
                    </a:xfrm>
                    <a:prstGeom prst="rect">
                      <a:avLst/>
                    </a:prstGeom>
                    <a:noFill/>
                    <a:ln>
                      <a:noFill/>
                    </a:ln>
                  </pic:spPr>
                </pic:pic>
              </a:graphicData>
            </a:graphic>
          </wp:inline>
        </w:drawing>
      </w:r>
    </w:p>
    <w:p w:rsidR="00B3550D" w:rsidRDefault="00B3550D" w:rsidP="00B3550D">
      <w:pPr>
        <w:rPr>
          <w:rFonts w:asciiTheme="majorHAnsi" w:eastAsiaTheme="majorEastAsia" w:hAnsiTheme="majorHAnsi" w:cstheme="majorBidi"/>
          <w:color w:val="2F5496" w:themeColor="accent1" w:themeShade="BF"/>
          <w:sz w:val="26"/>
          <w:szCs w:val="26"/>
          <w:lang w:val="en-US"/>
        </w:rPr>
      </w:pPr>
      <w:r w:rsidRPr="00F56C21">
        <w:rPr>
          <w:rFonts w:asciiTheme="majorHAnsi" w:eastAsiaTheme="majorEastAsia" w:hAnsiTheme="majorHAnsi" w:cstheme="majorBidi"/>
          <w:noProof/>
          <w:color w:val="2F5496" w:themeColor="accent1" w:themeShade="BF"/>
          <w:sz w:val="26"/>
          <w:szCs w:val="26"/>
          <w:lang w:eastAsia="nl-NL"/>
        </w:rPr>
        <w:drawing>
          <wp:inline distT="0" distB="0" distL="0" distR="0" wp14:anchorId="03D42C01" wp14:editId="7DA8DCF4">
            <wp:extent cx="6143625" cy="3071813"/>
            <wp:effectExtent l="0" t="0" r="0" b="0"/>
            <wp:docPr id="10" name="Picture 10" descr="Y:\ontwapps\Timer\Users\Mathijs\Projects\EMF30\EMF30 - info\BC paper\Essential files copy (use this!)\Probabilistic MACICC\GMT difference_SS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ontwapps\Timer\Users\Mathijs\Projects\EMF30\EMF30 - info\BC paper\Essential files copy (use this!)\Probabilistic MACICC\GMT difference_SSP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55254" cy="3077628"/>
                    </a:xfrm>
                    <a:prstGeom prst="rect">
                      <a:avLst/>
                    </a:prstGeom>
                    <a:noFill/>
                    <a:ln>
                      <a:noFill/>
                    </a:ln>
                  </pic:spPr>
                </pic:pic>
              </a:graphicData>
            </a:graphic>
          </wp:inline>
        </w:drawing>
      </w:r>
    </w:p>
    <w:p w:rsidR="00B3550D" w:rsidRDefault="00B3550D" w:rsidP="00B3550D">
      <w:pPr>
        <w:rPr>
          <w:rFonts w:asciiTheme="majorHAnsi" w:eastAsiaTheme="majorEastAsia" w:hAnsiTheme="majorHAnsi" w:cstheme="majorBidi"/>
          <w:color w:val="2F5496" w:themeColor="accent1" w:themeShade="BF"/>
          <w:sz w:val="26"/>
          <w:szCs w:val="26"/>
          <w:lang w:val="en-US"/>
        </w:rPr>
      </w:pPr>
      <w:r>
        <w:rPr>
          <w:rFonts w:asciiTheme="majorHAnsi" w:eastAsiaTheme="majorEastAsia" w:hAnsiTheme="majorHAnsi" w:cstheme="majorBidi"/>
          <w:color w:val="2F5496" w:themeColor="accent1" w:themeShade="BF"/>
          <w:sz w:val="26"/>
          <w:szCs w:val="26"/>
          <w:lang w:val="en-US"/>
        </w:rPr>
        <w:br w:type="page"/>
      </w:r>
      <w:bookmarkStart w:id="0" w:name="_GoBack"/>
      <w:bookmarkEnd w:id="0"/>
    </w:p>
    <w:p w:rsidR="00B3550D" w:rsidRPr="00DD3B4B" w:rsidRDefault="00B3550D" w:rsidP="00B3550D">
      <w:pPr>
        <w:jc w:val="both"/>
        <w:rPr>
          <w:sz w:val="20"/>
          <w:szCs w:val="20"/>
          <w:lang w:val="en-US"/>
        </w:rPr>
      </w:pPr>
      <w:r w:rsidRPr="00DD3B4B">
        <w:rPr>
          <w:b/>
          <w:sz w:val="20"/>
          <w:szCs w:val="20"/>
          <w:lang w:val="en-US"/>
        </w:rPr>
        <w:lastRenderedPageBreak/>
        <w:t>Figure S6</w:t>
      </w:r>
      <w:r>
        <w:rPr>
          <w:b/>
          <w:sz w:val="20"/>
          <w:szCs w:val="20"/>
          <w:lang w:val="en-US"/>
        </w:rPr>
        <w:t>.2</w:t>
      </w:r>
      <w:r w:rsidRPr="00DD3B4B">
        <w:rPr>
          <w:b/>
          <w:sz w:val="20"/>
          <w:szCs w:val="20"/>
          <w:lang w:val="en-US"/>
        </w:rPr>
        <w:t>: Result probabilistic MAGICC6 runs for the SSP</w:t>
      </w:r>
      <w:r>
        <w:rPr>
          <w:b/>
          <w:sz w:val="20"/>
          <w:szCs w:val="20"/>
          <w:lang w:val="en-US"/>
        </w:rPr>
        <w:t>3</w:t>
      </w:r>
      <w:r w:rsidRPr="00DD3B4B">
        <w:rPr>
          <w:b/>
          <w:sz w:val="20"/>
          <w:szCs w:val="20"/>
          <w:lang w:val="en-US"/>
        </w:rPr>
        <w:t xml:space="preserve"> and SSP</w:t>
      </w:r>
      <w:r>
        <w:rPr>
          <w:b/>
          <w:sz w:val="20"/>
          <w:szCs w:val="20"/>
          <w:lang w:val="en-US"/>
        </w:rPr>
        <w:t>3</w:t>
      </w:r>
      <w:r w:rsidRPr="00DD3B4B">
        <w:rPr>
          <w:b/>
          <w:sz w:val="20"/>
          <w:szCs w:val="20"/>
          <w:lang w:val="en-US"/>
        </w:rPr>
        <w:t>_Climate scenarios.</w:t>
      </w:r>
      <w:r w:rsidRPr="00DD3B4B">
        <w:rPr>
          <w:sz w:val="20"/>
          <w:szCs w:val="20"/>
          <w:lang w:val="en-US"/>
        </w:rPr>
        <w:t xml:space="preserve"> </w:t>
      </w:r>
      <w:r w:rsidRPr="00DD3B4B">
        <w:rPr>
          <w:b/>
          <w:sz w:val="20"/>
          <w:szCs w:val="20"/>
          <w:u w:val="single"/>
          <w:lang w:val="en-US"/>
        </w:rPr>
        <w:t>Upper panel:</w:t>
      </w:r>
      <w:r w:rsidRPr="00DD3B4B">
        <w:rPr>
          <w:sz w:val="20"/>
          <w:szCs w:val="20"/>
          <w:lang w:val="en-US"/>
        </w:rPr>
        <w:t xml:space="preserve"> GMT change range (line represents median scenario). </w:t>
      </w:r>
      <w:r w:rsidRPr="00DD3B4B">
        <w:rPr>
          <w:b/>
          <w:sz w:val="20"/>
          <w:szCs w:val="20"/>
          <w:u w:val="single"/>
          <w:lang w:val="en-US"/>
        </w:rPr>
        <w:t>Lower panel:</w:t>
      </w:r>
      <w:r w:rsidRPr="00DD3B4B">
        <w:rPr>
          <w:sz w:val="20"/>
          <w:szCs w:val="20"/>
          <w:lang w:val="en-US"/>
        </w:rPr>
        <w:t xml:space="preserve"> range in GMT difference between the two scenarios (line represents difference in median case). </w:t>
      </w:r>
    </w:p>
    <w:p w:rsidR="00B3550D" w:rsidRDefault="00B3550D" w:rsidP="00B3550D">
      <w:pPr>
        <w:rPr>
          <w:lang w:val="en-US"/>
        </w:rPr>
      </w:pPr>
      <w:r w:rsidRPr="00F56C21">
        <w:rPr>
          <w:noProof/>
          <w:lang w:eastAsia="nl-NL"/>
        </w:rPr>
        <w:drawing>
          <wp:inline distT="0" distB="0" distL="0" distR="0" wp14:anchorId="52317E7E" wp14:editId="4FCE795F">
            <wp:extent cx="5760720" cy="2880360"/>
            <wp:effectExtent l="0" t="0" r="0" b="0"/>
            <wp:docPr id="12" name="Picture 12" descr="Y:\ontwapps\Timer\Users\Mathijs\Projects\EMF30\EMF30 - info\BC paper\Essential files copy (use this!)\Probabilistic MACICC\TEMP_SS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ntwapps\Timer\Users\Mathijs\Projects\EMF30\EMF30 - info\BC paper\Essential files copy (use this!)\Probabilistic MACICC\TEMP_SSP3.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2880360"/>
                    </a:xfrm>
                    <a:prstGeom prst="rect">
                      <a:avLst/>
                    </a:prstGeom>
                    <a:noFill/>
                    <a:ln>
                      <a:noFill/>
                    </a:ln>
                  </pic:spPr>
                </pic:pic>
              </a:graphicData>
            </a:graphic>
          </wp:inline>
        </w:drawing>
      </w:r>
    </w:p>
    <w:p w:rsidR="00B3550D" w:rsidRDefault="00B3550D" w:rsidP="00B3550D">
      <w:pPr>
        <w:rPr>
          <w:lang w:val="en-US"/>
        </w:rPr>
      </w:pPr>
      <w:r w:rsidRPr="00F56C21">
        <w:rPr>
          <w:noProof/>
          <w:lang w:eastAsia="nl-NL"/>
        </w:rPr>
        <w:drawing>
          <wp:inline distT="0" distB="0" distL="0" distR="0" wp14:anchorId="3F1303EF" wp14:editId="578ABA2B">
            <wp:extent cx="6115050" cy="3057525"/>
            <wp:effectExtent l="0" t="0" r="0" b="9525"/>
            <wp:docPr id="23" name="Picture 23" descr="Y:\ontwapps\Timer\Users\Mathijs\Projects\EMF30\EMF30 - info\BC paper\Essential files copy (use this!)\Probabilistic MACICC\GMT difference_SS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ontwapps\Timer\Users\Mathijs\Projects\EMF30\EMF30 - info\BC paper\Essential files copy (use this!)\Probabilistic MACICC\GMT difference_SSP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2846" cy="3061423"/>
                    </a:xfrm>
                    <a:prstGeom prst="rect">
                      <a:avLst/>
                    </a:prstGeom>
                    <a:noFill/>
                    <a:ln>
                      <a:noFill/>
                    </a:ln>
                  </pic:spPr>
                </pic:pic>
              </a:graphicData>
            </a:graphic>
          </wp:inline>
        </w:drawing>
      </w:r>
    </w:p>
    <w:p w:rsidR="00B3550D" w:rsidRDefault="00B3550D" w:rsidP="00B3550D">
      <w:pPr>
        <w:rPr>
          <w:lang w:val="en-US"/>
        </w:rPr>
      </w:pPr>
      <w:r>
        <w:rPr>
          <w:lang w:val="en-US"/>
        </w:rPr>
        <w:br w:type="page"/>
      </w:r>
    </w:p>
    <w:p w:rsidR="00B3550D" w:rsidRPr="00BE67F2" w:rsidRDefault="00B3550D" w:rsidP="00B3550D">
      <w:pPr>
        <w:pStyle w:val="Heading3"/>
        <w:rPr>
          <w:noProof/>
          <w:lang w:val="en-US"/>
        </w:rPr>
      </w:pPr>
      <w:r>
        <w:rPr>
          <w:noProof/>
          <w:lang w:val="en-US"/>
        </w:rPr>
        <w:lastRenderedPageBreak/>
        <w:t>S7</w:t>
      </w:r>
      <w:r w:rsidRPr="00CB33AF">
        <w:rPr>
          <w:noProof/>
          <w:lang w:val="en-US"/>
        </w:rPr>
        <w:t>.</w:t>
      </w:r>
      <w:r w:rsidRPr="002E3027">
        <w:rPr>
          <w:noProof/>
          <w:lang w:val="en-US"/>
        </w:rPr>
        <w:t xml:space="preserve"> </w:t>
      </w:r>
      <w:r>
        <w:rPr>
          <w:noProof/>
          <w:lang w:val="en-US"/>
        </w:rPr>
        <w:t>Literature co-benefits climate and air pollution policy</w:t>
      </w:r>
    </w:p>
    <w:p w:rsidR="00B3550D" w:rsidRDefault="00B3550D" w:rsidP="00B3550D">
      <w:pPr>
        <w:rPr>
          <w:lang w:val="en-US"/>
        </w:rPr>
      </w:pPr>
    </w:p>
    <w:p w:rsidR="00B3550D" w:rsidRPr="003C7F06" w:rsidRDefault="00B3550D" w:rsidP="00B3550D">
      <w:pPr>
        <w:jc w:val="both"/>
        <w:rPr>
          <w:sz w:val="20"/>
          <w:szCs w:val="20"/>
          <w:lang w:val="en-US"/>
        </w:rPr>
      </w:pPr>
      <w:r w:rsidRPr="003C7F06">
        <w:rPr>
          <w:b/>
          <w:bCs/>
          <w:sz w:val="20"/>
          <w:szCs w:val="20"/>
          <w:lang w:val="en-US"/>
        </w:rPr>
        <w:t>Table S7.1 Literature overview co-benefits</w:t>
      </w:r>
      <w:r>
        <w:rPr>
          <w:b/>
          <w:bCs/>
          <w:sz w:val="20"/>
          <w:szCs w:val="20"/>
          <w:lang w:val="en-US"/>
        </w:rPr>
        <w:t xml:space="preserve"> between</w:t>
      </w:r>
      <w:r w:rsidRPr="003C7F06">
        <w:rPr>
          <w:b/>
          <w:bCs/>
          <w:sz w:val="20"/>
          <w:szCs w:val="20"/>
          <w:lang w:val="en-US"/>
        </w:rPr>
        <w:t xml:space="preserve"> climate</w:t>
      </w:r>
      <w:r>
        <w:rPr>
          <w:b/>
          <w:bCs/>
          <w:sz w:val="20"/>
          <w:szCs w:val="20"/>
          <w:lang w:val="en-US"/>
        </w:rPr>
        <w:t xml:space="preserve"> and </w:t>
      </w:r>
      <w:r w:rsidRPr="003C7F06">
        <w:rPr>
          <w:b/>
          <w:bCs/>
          <w:sz w:val="20"/>
          <w:szCs w:val="20"/>
          <w:lang w:val="en-US"/>
        </w:rPr>
        <w:t xml:space="preserve">air quality. </w:t>
      </w:r>
      <w:r w:rsidRPr="003C7F06">
        <w:rPr>
          <w:sz w:val="20"/>
          <w:szCs w:val="20"/>
          <w:lang w:val="en-US"/>
        </w:rPr>
        <w:t>The studies depicted here have been selected based on the following requirements: they are peer-reviewed journal papers, analyze global synergies and/or trade-offs between climate and air pollution policy and offer quantitative results</w:t>
      </w:r>
      <w:r>
        <w:rPr>
          <w:sz w:val="20"/>
          <w:szCs w:val="20"/>
          <w:lang w:val="en-US"/>
        </w:rPr>
        <w:t xml:space="preserve"> (CC = climate change, AQ = air quality)</w:t>
      </w:r>
    </w:p>
    <w:tbl>
      <w:tblPr>
        <w:tblStyle w:val="GridTable4-Accent5"/>
        <w:tblW w:w="10503" w:type="dxa"/>
        <w:tblInd w:w="-714" w:type="dxa"/>
        <w:tblLayout w:type="fixed"/>
        <w:tblLook w:val="04A0" w:firstRow="1" w:lastRow="0" w:firstColumn="1" w:lastColumn="0" w:noHBand="0" w:noVBand="1"/>
      </w:tblPr>
      <w:tblGrid>
        <w:gridCol w:w="567"/>
        <w:gridCol w:w="1717"/>
        <w:gridCol w:w="591"/>
        <w:gridCol w:w="836"/>
        <w:gridCol w:w="735"/>
        <w:gridCol w:w="654"/>
        <w:gridCol w:w="771"/>
        <w:gridCol w:w="764"/>
        <w:gridCol w:w="1683"/>
        <w:gridCol w:w="1144"/>
        <w:gridCol w:w="1041"/>
      </w:tblGrid>
      <w:tr w:rsidR="00B3550D" w:rsidTr="00CC659F">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567" w:type="dxa"/>
          </w:tcPr>
          <w:p w:rsidR="00B3550D" w:rsidRPr="00C97763" w:rsidRDefault="00B3550D" w:rsidP="00CC659F">
            <w:pPr>
              <w:rPr>
                <w:sz w:val="10"/>
                <w:szCs w:val="10"/>
                <w:lang w:val="en-US"/>
              </w:rPr>
            </w:pPr>
          </w:p>
        </w:tc>
        <w:tc>
          <w:tcPr>
            <w:tcW w:w="1717" w:type="dxa"/>
          </w:tcPr>
          <w:p w:rsidR="00B3550D" w:rsidRPr="00C97763" w:rsidRDefault="00B3550D" w:rsidP="00CC659F">
            <w:pPr>
              <w:jc w:val="center"/>
              <w:cnfStyle w:val="100000000000" w:firstRow="1" w:lastRow="0" w:firstColumn="0" w:lastColumn="0" w:oddVBand="0" w:evenVBand="0" w:oddHBand="0" w:evenHBand="0" w:firstRowFirstColumn="0" w:firstRowLastColumn="0" w:lastRowFirstColumn="0" w:lastRowLastColumn="0"/>
              <w:rPr>
                <w:sz w:val="10"/>
                <w:szCs w:val="10"/>
                <w:lang w:val="en-US"/>
              </w:rPr>
            </w:pPr>
            <w:r w:rsidRPr="00C97763">
              <w:rPr>
                <w:rFonts w:ascii="Calibri" w:hAnsi="Calibri" w:cs="Calibri"/>
                <w:b w:val="0"/>
                <w:bCs w:val="0"/>
                <w:sz w:val="10"/>
                <w:szCs w:val="10"/>
              </w:rPr>
              <w:t>Description</w:t>
            </w:r>
          </w:p>
        </w:tc>
        <w:tc>
          <w:tcPr>
            <w:tcW w:w="591" w:type="dxa"/>
          </w:tcPr>
          <w:p w:rsidR="00B3550D" w:rsidRPr="00C97763" w:rsidRDefault="00B3550D" w:rsidP="00CC659F">
            <w:pPr>
              <w:jc w:val="center"/>
              <w:cnfStyle w:val="100000000000" w:firstRow="1" w:lastRow="0" w:firstColumn="0" w:lastColumn="0" w:oddVBand="0" w:evenVBand="0" w:oddHBand="0" w:evenHBand="0" w:firstRowFirstColumn="0" w:firstRowLastColumn="0" w:lastRowFirstColumn="0" w:lastRowLastColumn="0"/>
              <w:rPr>
                <w:sz w:val="10"/>
                <w:szCs w:val="10"/>
                <w:lang w:val="en-US"/>
              </w:rPr>
            </w:pPr>
            <w:r w:rsidRPr="00C97763">
              <w:rPr>
                <w:rFonts w:ascii="Calibri" w:hAnsi="Calibri" w:cs="Calibri"/>
                <w:b w:val="0"/>
                <w:bCs w:val="0"/>
                <w:sz w:val="10"/>
                <w:szCs w:val="10"/>
              </w:rPr>
              <w:t>Primary policy goal</w:t>
            </w:r>
          </w:p>
        </w:tc>
        <w:tc>
          <w:tcPr>
            <w:tcW w:w="836" w:type="dxa"/>
          </w:tcPr>
          <w:p w:rsidR="00B3550D" w:rsidRPr="00C97763" w:rsidRDefault="00B3550D" w:rsidP="00CC659F">
            <w:pPr>
              <w:jc w:val="center"/>
              <w:cnfStyle w:val="100000000000" w:firstRow="1" w:lastRow="0" w:firstColumn="0" w:lastColumn="0" w:oddVBand="0" w:evenVBand="0" w:oddHBand="0" w:evenHBand="0" w:firstRowFirstColumn="0" w:firstRowLastColumn="0" w:lastRowFirstColumn="0" w:lastRowLastColumn="0"/>
              <w:rPr>
                <w:sz w:val="10"/>
                <w:szCs w:val="10"/>
                <w:lang w:val="en-US"/>
              </w:rPr>
            </w:pPr>
            <w:r w:rsidRPr="00C97763">
              <w:rPr>
                <w:rFonts w:ascii="Calibri" w:hAnsi="Calibri" w:cs="Calibri"/>
                <w:b w:val="0"/>
                <w:bCs w:val="0"/>
                <w:sz w:val="10"/>
                <w:szCs w:val="10"/>
              </w:rPr>
              <w:t>Benefits</w:t>
            </w:r>
          </w:p>
        </w:tc>
        <w:tc>
          <w:tcPr>
            <w:tcW w:w="735" w:type="dxa"/>
          </w:tcPr>
          <w:p w:rsidR="00B3550D" w:rsidRPr="00C97763" w:rsidRDefault="00B3550D" w:rsidP="00CC659F">
            <w:pPr>
              <w:jc w:val="center"/>
              <w:cnfStyle w:val="100000000000" w:firstRow="1" w:lastRow="0" w:firstColumn="0" w:lastColumn="0" w:oddVBand="0" w:evenVBand="0" w:oddHBand="0" w:evenHBand="0" w:firstRowFirstColumn="0" w:firstRowLastColumn="0" w:lastRowFirstColumn="0" w:lastRowLastColumn="0"/>
              <w:rPr>
                <w:sz w:val="10"/>
                <w:szCs w:val="10"/>
                <w:lang w:val="en-US"/>
              </w:rPr>
            </w:pPr>
            <w:r w:rsidRPr="00C97763">
              <w:rPr>
                <w:rFonts w:ascii="Calibri" w:hAnsi="Calibri" w:cs="Calibri"/>
                <w:b w:val="0"/>
                <w:bCs w:val="0"/>
                <w:sz w:val="10"/>
                <w:szCs w:val="10"/>
              </w:rPr>
              <w:t>Climate effects by forcer:</w:t>
            </w:r>
          </w:p>
        </w:tc>
        <w:tc>
          <w:tcPr>
            <w:tcW w:w="654" w:type="dxa"/>
          </w:tcPr>
          <w:p w:rsidR="00B3550D" w:rsidRPr="00C97763" w:rsidRDefault="00B3550D" w:rsidP="00CC659F">
            <w:pPr>
              <w:jc w:val="center"/>
              <w:cnfStyle w:val="100000000000" w:firstRow="1" w:lastRow="0" w:firstColumn="0" w:lastColumn="0" w:oddVBand="0" w:evenVBand="0" w:oddHBand="0" w:evenHBand="0" w:firstRowFirstColumn="0" w:firstRowLastColumn="0" w:lastRowFirstColumn="0" w:lastRowLastColumn="0"/>
              <w:rPr>
                <w:sz w:val="10"/>
                <w:szCs w:val="10"/>
                <w:lang w:val="en-US"/>
              </w:rPr>
            </w:pPr>
            <w:r w:rsidRPr="00C97763">
              <w:rPr>
                <w:rFonts w:ascii="Calibri" w:hAnsi="Calibri" w:cs="Calibri"/>
                <w:b w:val="0"/>
                <w:bCs w:val="0"/>
                <w:sz w:val="10"/>
                <w:szCs w:val="10"/>
                <w:lang w:val="en-US"/>
              </w:rPr>
              <w:t>Air quality / health effects by pollutant:</w:t>
            </w:r>
          </w:p>
        </w:tc>
        <w:tc>
          <w:tcPr>
            <w:tcW w:w="771" w:type="dxa"/>
          </w:tcPr>
          <w:p w:rsidR="00B3550D" w:rsidRPr="00C97763" w:rsidRDefault="00B3550D" w:rsidP="00CC659F">
            <w:pPr>
              <w:jc w:val="center"/>
              <w:cnfStyle w:val="100000000000" w:firstRow="1" w:lastRow="0" w:firstColumn="0" w:lastColumn="0" w:oddVBand="0" w:evenVBand="0" w:oddHBand="0" w:evenHBand="0" w:firstRowFirstColumn="0" w:firstRowLastColumn="0" w:lastRowFirstColumn="0" w:lastRowLastColumn="0"/>
              <w:rPr>
                <w:sz w:val="10"/>
                <w:szCs w:val="10"/>
                <w:lang w:val="en-US"/>
              </w:rPr>
            </w:pPr>
            <w:r w:rsidRPr="00C97763">
              <w:rPr>
                <w:rFonts w:ascii="Calibri" w:hAnsi="Calibri" w:cs="Calibri"/>
                <w:b w:val="0"/>
                <w:bCs w:val="0"/>
                <w:sz w:val="10"/>
                <w:szCs w:val="10"/>
              </w:rPr>
              <w:t>Cost metrics</w:t>
            </w:r>
          </w:p>
        </w:tc>
        <w:tc>
          <w:tcPr>
            <w:tcW w:w="764" w:type="dxa"/>
          </w:tcPr>
          <w:p w:rsidR="00B3550D" w:rsidRPr="00C97763" w:rsidRDefault="00B3550D" w:rsidP="00CC659F">
            <w:pPr>
              <w:jc w:val="center"/>
              <w:cnfStyle w:val="100000000000" w:firstRow="1" w:lastRow="0" w:firstColumn="0" w:lastColumn="0" w:oddVBand="0" w:evenVBand="0" w:oddHBand="0" w:evenHBand="0" w:firstRowFirstColumn="0" w:firstRowLastColumn="0" w:lastRowFirstColumn="0" w:lastRowLastColumn="0"/>
              <w:rPr>
                <w:sz w:val="10"/>
                <w:szCs w:val="10"/>
                <w:lang w:val="en-US"/>
              </w:rPr>
            </w:pPr>
            <w:r w:rsidRPr="00C97763">
              <w:rPr>
                <w:rFonts w:ascii="Calibri" w:hAnsi="Calibri" w:cs="Calibri"/>
                <w:b w:val="0"/>
                <w:bCs w:val="0"/>
                <w:sz w:val="10"/>
                <w:szCs w:val="10"/>
              </w:rPr>
              <w:t>Health metrics</w:t>
            </w:r>
          </w:p>
        </w:tc>
        <w:tc>
          <w:tcPr>
            <w:tcW w:w="1683" w:type="dxa"/>
          </w:tcPr>
          <w:p w:rsidR="00B3550D" w:rsidRPr="00C97763" w:rsidRDefault="00B3550D" w:rsidP="00CC659F">
            <w:pPr>
              <w:jc w:val="center"/>
              <w:cnfStyle w:val="100000000000" w:firstRow="1" w:lastRow="0" w:firstColumn="0" w:lastColumn="0" w:oddVBand="0" w:evenVBand="0" w:oddHBand="0" w:evenHBand="0" w:firstRowFirstColumn="0" w:firstRowLastColumn="0" w:lastRowFirstColumn="0" w:lastRowLastColumn="0"/>
              <w:rPr>
                <w:sz w:val="10"/>
                <w:szCs w:val="10"/>
                <w:lang w:val="en-US"/>
              </w:rPr>
            </w:pPr>
            <w:r w:rsidRPr="00C97763">
              <w:rPr>
                <w:rFonts w:ascii="Calibri" w:hAnsi="Calibri" w:cs="Calibri"/>
                <w:b w:val="0"/>
                <w:bCs w:val="0"/>
                <w:sz w:val="10"/>
                <w:szCs w:val="10"/>
              </w:rPr>
              <w:t>Type of scenarios</w:t>
            </w:r>
          </w:p>
        </w:tc>
        <w:tc>
          <w:tcPr>
            <w:tcW w:w="1144" w:type="dxa"/>
          </w:tcPr>
          <w:p w:rsidR="00B3550D" w:rsidRPr="00C97763" w:rsidRDefault="00B3550D" w:rsidP="00CC659F">
            <w:pPr>
              <w:jc w:val="center"/>
              <w:cnfStyle w:val="100000000000" w:firstRow="1" w:lastRow="0" w:firstColumn="0" w:lastColumn="0" w:oddVBand="0" w:evenVBand="0" w:oddHBand="0" w:evenHBand="0" w:firstRowFirstColumn="0" w:firstRowLastColumn="0" w:lastRowFirstColumn="0" w:lastRowLastColumn="0"/>
              <w:rPr>
                <w:sz w:val="10"/>
                <w:szCs w:val="10"/>
                <w:lang w:val="en-US"/>
              </w:rPr>
            </w:pPr>
            <w:r w:rsidRPr="00C97763">
              <w:rPr>
                <w:rFonts w:ascii="Calibri" w:hAnsi="Calibri" w:cs="Calibri"/>
                <w:b w:val="0"/>
                <w:bCs w:val="0"/>
                <w:sz w:val="10"/>
                <w:szCs w:val="10"/>
              </w:rPr>
              <w:t>Models</w:t>
            </w:r>
          </w:p>
        </w:tc>
        <w:tc>
          <w:tcPr>
            <w:tcW w:w="1041" w:type="dxa"/>
          </w:tcPr>
          <w:p w:rsidR="00B3550D" w:rsidRPr="00C97763" w:rsidRDefault="00B3550D" w:rsidP="00CC659F">
            <w:pPr>
              <w:jc w:val="center"/>
              <w:cnfStyle w:val="100000000000" w:firstRow="1" w:lastRow="0" w:firstColumn="0" w:lastColumn="0" w:oddVBand="0" w:evenVBand="0" w:oddHBand="0" w:evenHBand="0" w:firstRowFirstColumn="0" w:firstRowLastColumn="0" w:lastRowFirstColumn="0" w:lastRowLastColumn="0"/>
              <w:rPr>
                <w:sz w:val="10"/>
                <w:szCs w:val="10"/>
                <w:lang w:val="en-US"/>
              </w:rPr>
            </w:pPr>
            <w:r w:rsidRPr="00C97763">
              <w:rPr>
                <w:rFonts w:ascii="Calibri" w:hAnsi="Calibri" w:cs="Calibri"/>
                <w:b w:val="0"/>
                <w:bCs w:val="0"/>
                <w:sz w:val="10"/>
                <w:szCs w:val="10"/>
              </w:rPr>
              <w:t>Description</w:t>
            </w:r>
          </w:p>
        </w:tc>
      </w:tr>
      <w:tr w:rsidR="00B3550D" w:rsidRPr="00B80309" w:rsidTr="00CC659F">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567" w:type="dxa"/>
          </w:tcPr>
          <w:p w:rsidR="00B3550D" w:rsidRPr="00B80309" w:rsidRDefault="00B3550D" w:rsidP="00CC659F">
            <w:pPr>
              <w:rPr>
                <w:sz w:val="10"/>
                <w:szCs w:val="16"/>
                <w:lang w:val="en-US"/>
              </w:rPr>
            </w:pPr>
            <w:r w:rsidRPr="00B80309">
              <w:rPr>
                <w:sz w:val="10"/>
                <w:szCs w:val="16"/>
              </w:rPr>
              <w:t>Anenberg et al., 2012</w:t>
            </w:r>
          </w:p>
        </w:tc>
        <w:tc>
          <w:tcPr>
            <w:tcW w:w="1717" w:type="dxa"/>
          </w:tcPr>
          <w:p w:rsidR="00B3550D" w:rsidRPr="00B80309" w:rsidRDefault="00B3550D" w:rsidP="00CC659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0"/>
                <w:szCs w:val="16"/>
                <w:lang w:val="en-US"/>
              </w:rPr>
            </w:pPr>
            <w:r w:rsidRPr="00B80309">
              <w:rPr>
                <w:sz w:val="10"/>
                <w:szCs w:val="16"/>
                <w:lang w:val="en-US"/>
              </w:rPr>
              <w:t>Analysis of health co-benefits resulting from methane and black carbon mitigation</w:t>
            </w:r>
          </w:p>
        </w:tc>
        <w:tc>
          <w:tcPr>
            <w:tcW w:w="591" w:type="dxa"/>
          </w:tcPr>
          <w:p w:rsidR="00B3550D" w:rsidRPr="00B80309" w:rsidRDefault="00B3550D" w:rsidP="00CC659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0"/>
                <w:szCs w:val="16"/>
                <w:lang w:val="en-US"/>
              </w:rPr>
            </w:pPr>
            <w:r w:rsidRPr="00B80309">
              <w:rPr>
                <w:sz w:val="10"/>
                <w:szCs w:val="16"/>
              </w:rPr>
              <w:t>CC&amp;AQ</w:t>
            </w:r>
          </w:p>
        </w:tc>
        <w:tc>
          <w:tcPr>
            <w:tcW w:w="836" w:type="dxa"/>
          </w:tcPr>
          <w:p w:rsidR="00B3550D" w:rsidRPr="00B80309" w:rsidRDefault="00B3550D" w:rsidP="00CC659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0"/>
                <w:szCs w:val="16"/>
                <w:lang w:val="en-US"/>
              </w:rPr>
            </w:pPr>
            <w:r w:rsidRPr="00B80309">
              <w:rPr>
                <w:sz w:val="10"/>
                <w:szCs w:val="16"/>
              </w:rPr>
              <w:t>AQ (health)</w:t>
            </w:r>
          </w:p>
        </w:tc>
        <w:tc>
          <w:tcPr>
            <w:tcW w:w="735" w:type="dxa"/>
          </w:tcPr>
          <w:p w:rsidR="00B3550D" w:rsidRPr="00B80309" w:rsidRDefault="00B3550D" w:rsidP="00CC659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0"/>
                <w:szCs w:val="16"/>
                <w:lang w:val="en-US"/>
              </w:rPr>
            </w:pPr>
            <w:r w:rsidRPr="00B80309">
              <w:rPr>
                <w:sz w:val="10"/>
                <w:szCs w:val="16"/>
                <w:lang w:val="en-US"/>
              </w:rPr>
              <w:t>Climate effects not analyzed (stringent BC and CH4 measures)</w:t>
            </w:r>
          </w:p>
        </w:tc>
        <w:tc>
          <w:tcPr>
            <w:tcW w:w="654" w:type="dxa"/>
          </w:tcPr>
          <w:p w:rsidR="00B3550D" w:rsidRPr="00B80309" w:rsidRDefault="00B3550D" w:rsidP="00CC659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0"/>
                <w:szCs w:val="16"/>
                <w:lang w:val="en-US"/>
              </w:rPr>
            </w:pPr>
            <w:r w:rsidRPr="00B80309">
              <w:rPr>
                <w:sz w:val="10"/>
                <w:szCs w:val="16"/>
              </w:rPr>
              <w:t>PM2.5, trop03</w:t>
            </w:r>
          </w:p>
        </w:tc>
        <w:tc>
          <w:tcPr>
            <w:tcW w:w="771" w:type="dxa"/>
          </w:tcPr>
          <w:p w:rsidR="00B3550D" w:rsidRPr="00B80309" w:rsidRDefault="00B3550D" w:rsidP="00CC659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0"/>
                <w:szCs w:val="16"/>
                <w:lang w:val="en-US"/>
              </w:rPr>
            </w:pPr>
            <w:r w:rsidRPr="00B80309">
              <w:rPr>
                <w:sz w:val="10"/>
                <w:szCs w:val="16"/>
              </w:rPr>
              <w:t>None</w:t>
            </w:r>
          </w:p>
        </w:tc>
        <w:tc>
          <w:tcPr>
            <w:tcW w:w="764" w:type="dxa"/>
          </w:tcPr>
          <w:p w:rsidR="00B3550D" w:rsidRPr="00B80309" w:rsidRDefault="00B3550D" w:rsidP="00CC659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0"/>
                <w:szCs w:val="16"/>
                <w:lang w:val="en-US"/>
              </w:rPr>
            </w:pPr>
            <w:r w:rsidRPr="00B80309">
              <w:rPr>
                <w:sz w:val="10"/>
                <w:szCs w:val="16"/>
              </w:rPr>
              <w:t>Premature deaths</w:t>
            </w:r>
          </w:p>
        </w:tc>
        <w:tc>
          <w:tcPr>
            <w:tcW w:w="1683" w:type="dxa"/>
          </w:tcPr>
          <w:p w:rsidR="00B3550D" w:rsidRPr="00B80309" w:rsidRDefault="00B3550D" w:rsidP="00CC659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0"/>
                <w:szCs w:val="16"/>
                <w:lang w:val="en-US"/>
              </w:rPr>
            </w:pPr>
            <w:r w:rsidRPr="00B80309">
              <w:rPr>
                <w:sz w:val="10"/>
                <w:szCs w:val="16"/>
              </w:rPr>
              <w:t>Baseline, stringent measures scenario</w:t>
            </w:r>
          </w:p>
        </w:tc>
        <w:tc>
          <w:tcPr>
            <w:tcW w:w="1144" w:type="dxa"/>
          </w:tcPr>
          <w:p w:rsidR="00B3550D" w:rsidRPr="00B80309" w:rsidRDefault="00B3550D" w:rsidP="00CC659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0"/>
                <w:szCs w:val="16"/>
                <w:lang w:val="en-US"/>
              </w:rPr>
            </w:pPr>
            <w:r w:rsidRPr="00B80309">
              <w:rPr>
                <w:sz w:val="10"/>
                <w:szCs w:val="16"/>
                <w:lang w:val="en-US"/>
              </w:rPr>
              <w:t>Other studies/GAINS (emission pathways), GISS-PUCCINI/ECHAM-HAMMOZ (pollutant concentrations), own study (health)</w:t>
            </w:r>
          </w:p>
        </w:tc>
        <w:tc>
          <w:tcPr>
            <w:tcW w:w="1041" w:type="dxa"/>
          </w:tcPr>
          <w:p w:rsidR="00B3550D" w:rsidRPr="00B80309" w:rsidRDefault="00B3550D" w:rsidP="00CC659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0"/>
                <w:szCs w:val="16"/>
                <w:lang w:val="en-US"/>
              </w:rPr>
            </w:pPr>
            <w:r w:rsidRPr="00B80309">
              <w:rPr>
                <w:sz w:val="10"/>
                <w:szCs w:val="16"/>
              </w:rPr>
              <w:t>doi:10.1289/ehp.1104301</w:t>
            </w:r>
          </w:p>
        </w:tc>
      </w:tr>
      <w:tr w:rsidR="00B3550D" w:rsidTr="00CC659F">
        <w:trPr>
          <w:trHeight w:val="364"/>
        </w:trPr>
        <w:tc>
          <w:tcPr>
            <w:cnfStyle w:val="001000000000" w:firstRow="0" w:lastRow="0" w:firstColumn="1" w:lastColumn="0" w:oddVBand="0" w:evenVBand="0" w:oddHBand="0" w:evenHBand="0" w:firstRowFirstColumn="0" w:firstRowLastColumn="0" w:lastRowFirstColumn="0" w:lastRowLastColumn="0"/>
            <w:tcW w:w="567" w:type="dxa"/>
          </w:tcPr>
          <w:p w:rsidR="00B3550D" w:rsidRPr="000E47C7" w:rsidRDefault="00B3550D" w:rsidP="00CC659F">
            <w:pPr>
              <w:rPr>
                <w:sz w:val="10"/>
                <w:szCs w:val="10"/>
              </w:rPr>
            </w:pPr>
            <w:r w:rsidRPr="000E47C7">
              <w:rPr>
                <w:sz w:val="10"/>
                <w:szCs w:val="10"/>
              </w:rPr>
              <w:t>Bertram et al., 2018</w:t>
            </w:r>
          </w:p>
        </w:tc>
        <w:tc>
          <w:tcPr>
            <w:tcW w:w="1717"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Analysis of synergies between multiple SDG policy goals in a 1.5dC scenario.</w:t>
            </w:r>
          </w:p>
        </w:tc>
        <w:tc>
          <w:tcPr>
            <w:tcW w:w="59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rPr>
            </w:pPr>
            <w:r w:rsidRPr="000E47C7">
              <w:rPr>
                <w:sz w:val="10"/>
                <w:szCs w:val="10"/>
              </w:rPr>
              <w:t>CC</w:t>
            </w:r>
          </w:p>
        </w:tc>
        <w:tc>
          <w:tcPr>
            <w:tcW w:w="836"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rPr>
            </w:pPr>
            <w:r w:rsidRPr="000E47C7">
              <w:rPr>
                <w:sz w:val="10"/>
                <w:szCs w:val="10"/>
              </w:rPr>
              <w:t>AQ (emissions)</w:t>
            </w:r>
          </w:p>
        </w:tc>
        <w:tc>
          <w:tcPr>
            <w:tcW w:w="735"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Combined effect of all forcers</w:t>
            </w:r>
          </w:p>
        </w:tc>
        <w:tc>
          <w:tcPr>
            <w:tcW w:w="65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rPr>
            </w:pPr>
            <w:r w:rsidRPr="000E47C7">
              <w:rPr>
                <w:sz w:val="10"/>
                <w:szCs w:val="10"/>
              </w:rPr>
              <w:t>SO2 (from energy supply)</w:t>
            </w:r>
          </w:p>
        </w:tc>
        <w:tc>
          <w:tcPr>
            <w:tcW w:w="77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rPr>
            </w:pPr>
            <w:r w:rsidRPr="000E47C7">
              <w:rPr>
                <w:sz w:val="10"/>
                <w:szCs w:val="10"/>
              </w:rPr>
              <w:t>None</w:t>
            </w:r>
          </w:p>
        </w:tc>
        <w:tc>
          <w:tcPr>
            <w:tcW w:w="76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rPr>
            </w:pPr>
            <w:r w:rsidRPr="000E47C7">
              <w:rPr>
                <w:sz w:val="10"/>
                <w:szCs w:val="10"/>
              </w:rPr>
              <w:t>Air pollutant emissions</w:t>
            </w:r>
          </w:p>
        </w:tc>
        <w:tc>
          <w:tcPr>
            <w:tcW w:w="1683"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Baseline, 2dC, 1.5dC, for different combinations of climate policies</w:t>
            </w:r>
          </w:p>
        </w:tc>
        <w:tc>
          <w:tcPr>
            <w:tcW w:w="114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rPr>
            </w:pPr>
            <w:r w:rsidRPr="000E47C7">
              <w:rPr>
                <w:sz w:val="10"/>
                <w:szCs w:val="10"/>
              </w:rPr>
              <w:t xml:space="preserve">REMIND-MAGPIE (emission pathways), </w:t>
            </w:r>
          </w:p>
        </w:tc>
        <w:tc>
          <w:tcPr>
            <w:tcW w:w="104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rPr>
            </w:pPr>
            <w:r w:rsidRPr="000E47C7">
              <w:rPr>
                <w:sz w:val="10"/>
                <w:szCs w:val="10"/>
              </w:rPr>
              <w:t>doi:10.1088/1748-9326/aac3ec</w:t>
            </w:r>
          </w:p>
        </w:tc>
      </w:tr>
      <w:tr w:rsidR="00B3550D" w:rsidTr="00CC659F">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567" w:type="dxa"/>
          </w:tcPr>
          <w:p w:rsidR="00B3550D" w:rsidRPr="000E47C7" w:rsidRDefault="00B3550D" w:rsidP="00CC659F">
            <w:pPr>
              <w:rPr>
                <w:sz w:val="10"/>
                <w:szCs w:val="10"/>
                <w:lang w:val="en-US"/>
              </w:rPr>
            </w:pPr>
            <w:r w:rsidRPr="000E47C7">
              <w:rPr>
                <w:sz w:val="10"/>
                <w:szCs w:val="10"/>
              </w:rPr>
              <w:t>Bollen et al., 2009</w:t>
            </w:r>
          </w:p>
        </w:tc>
        <w:tc>
          <w:tcPr>
            <w:tcW w:w="1717"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Cost-benefit analysis of</w:t>
            </w:r>
            <w:r>
              <w:rPr>
                <w:sz w:val="10"/>
                <w:szCs w:val="10"/>
                <w:lang w:val="en-US"/>
              </w:rPr>
              <w:t xml:space="preserve"> </w:t>
            </w:r>
            <w:r w:rsidRPr="000E47C7">
              <w:rPr>
                <w:sz w:val="10"/>
                <w:szCs w:val="10"/>
                <w:lang w:val="en-US"/>
              </w:rPr>
              <w:t xml:space="preserve">air quality and climate policy </w:t>
            </w:r>
          </w:p>
        </w:tc>
        <w:tc>
          <w:tcPr>
            <w:tcW w:w="59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CC&amp;AQ</w:t>
            </w:r>
          </w:p>
        </w:tc>
        <w:tc>
          <w:tcPr>
            <w:tcW w:w="836"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AQ (health), CC (avoided damages)</w:t>
            </w:r>
          </w:p>
        </w:tc>
        <w:tc>
          <w:tcPr>
            <w:tcW w:w="735"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CO2 (PM10 for AQ)</w:t>
            </w:r>
          </w:p>
        </w:tc>
        <w:tc>
          <w:tcPr>
            <w:tcW w:w="65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Combined effect of all pollutants</w:t>
            </w:r>
          </w:p>
        </w:tc>
        <w:tc>
          <w:tcPr>
            <w:tcW w:w="77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Costs and benefits CC&amp;AQ</w:t>
            </w:r>
          </w:p>
        </w:tc>
        <w:tc>
          <w:tcPr>
            <w:tcW w:w="76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Premature deaths and VSL</w:t>
            </w:r>
          </w:p>
        </w:tc>
        <w:tc>
          <w:tcPr>
            <w:tcW w:w="1683"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Baseline, &gt;3dC climate targets, AQ only, AQ+Climate</w:t>
            </w:r>
          </w:p>
        </w:tc>
        <w:tc>
          <w:tcPr>
            <w:tcW w:w="114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MERGE (emission pathways, Health)</w:t>
            </w:r>
          </w:p>
        </w:tc>
        <w:tc>
          <w:tcPr>
            <w:tcW w:w="104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doi:10.1016/j.reseneeco.2009.03.001</w:t>
            </w:r>
          </w:p>
        </w:tc>
      </w:tr>
      <w:tr w:rsidR="00B3550D" w:rsidTr="00CC659F">
        <w:trPr>
          <w:trHeight w:val="483"/>
        </w:trPr>
        <w:tc>
          <w:tcPr>
            <w:cnfStyle w:val="001000000000" w:firstRow="0" w:lastRow="0" w:firstColumn="1" w:lastColumn="0" w:oddVBand="0" w:evenVBand="0" w:oddHBand="0" w:evenHBand="0" w:firstRowFirstColumn="0" w:firstRowLastColumn="0" w:lastRowFirstColumn="0" w:lastRowLastColumn="0"/>
            <w:tcW w:w="567" w:type="dxa"/>
          </w:tcPr>
          <w:p w:rsidR="00B3550D" w:rsidRPr="000E47C7" w:rsidRDefault="00B3550D" w:rsidP="00CC659F">
            <w:pPr>
              <w:rPr>
                <w:sz w:val="10"/>
                <w:szCs w:val="10"/>
                <w:lang w:val="en-US"/>
              </w:rPr>
            </w:pPr>
            <w:r w:rsidRPr="000E47C7">
              <w:rPr>
                <w:sz w:val="10"/>
                <w:szCs w:val="10"/>
              </w:rPr>
              <w:t>Braspenning Radu et al., 2016</w:t>
            </w:r>
          </w:p>
        </w:tc>
        <w:tc>
          <w:tcPr>
            <w:tcW w:w="1717"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Analysis of synergies between climate policy and air pollution policy</w:t>
            </w:r>
          </w:p>
        </w:tc>
        <w:tc>
          <w:tcPr>
            <w:tcW w:w="59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CC&amp;AQ</w:t>
            </w:r>
          </w:p>
        </w:tc>
        <w:tc>
          <w:tcPr>
            <w:tcW w:w="836"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AQ (emissions)</w:t>
            </w:r>
          </w:p>
        </w:tc>
        <w:tc>
          <w:tcPr>
            <w:tcW w:w="735"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Combined effect of all forcers</w:t>
            </w:r>
          </w:p>
        </w:tc>
        <w:tc>
          <w:tcPr>
            <w:tcW w:w="65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SO2, NOx, BC, OC, VOC, CO</w:t>
            </w:r>
          </w:p>
        </w:tc>
        <w:tc>
          <w:tcPr>
            <w:tcW w:w="77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None</w:t>
            </w:r>
          </w:p>
        </w:tc>
        <w:tc>
          <w:tcPr>
            <w:tcW w:w="76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Air pollutant emissions</w:t>
            </w:r>
          </w:p>
        </w:tc>
        <w:tc>
          <w:tcPr>
            <w:tcW w:w="1683"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Baseline, 2dC, combined with different levels of air pollution policy ambitions</w:t>
            </w:r>
          </w:p>
        </w:tc>
        <w:tc>
          <w:tcPr>
            <w:tcW w:w="114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IMAGE / GAINS (emission pathways)</w:t>
            </w:r>
          </w:p>
        </w:tc>
        <w:tc>
          <w:tcPr>
            <w:tcW w:w="104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doi:10.1016/j.atmosenv.2016.05.021</w:t>
            </w:r>
          </w:p>
        </w:tc>
      </w:tr>
      <w:tr w:rsidR="00B3550D" w:rsidTr="00CC659F">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567" w:type="dxa"/>
          </w:tcPr>
          <w:p w:rsidR="00B3550D" w:rsidRPr="000E47C7" w:rsidRDefault="00B3550D" w:rsidP="00CC659F">
            <w:pPr>
              <w:rPr>
                <w:sz w:val="10"/>
                <w:szCs w:val="10"/>
                <w:lang w:val="en-US"/>
              </w:rPr>
            </w:pPr>
            <w:r w:rsidRPr="000E47C7">
              <w:rPr>
                <w:sz w:val="10"/>
                <w:szCs w:val="10"/>
              </w:rPr>
              <w:t>Chuwah et al, 2013</w:t>
            </w:r>
          </w:p>
        </w:tc>
        <w:tc>
          <w:tcPr>
            <w:tcW w:w="1717"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Analysis alternative pollution control assumptions in the RCP scenarios</w:t>
            </w:r>
          </w:p>
        </w:tc>
        <w:tc>
          <w:tcPr>
            <w:tcW w:w="59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CC&amp;AQ</w:t>
            </w:r>
          </w:p>
        </w:tc>
        <w:tc>
          <w:tcPr>
            <w:tcW w:w="836"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CC&amp;AQ</w:t>
            </w:r>
          </w:p>
        </w:tc>
        <w:tc>
          <w:tcPr>
            <w:tcW w:w="735"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Combined effect of all forcers</w:t>
            </w:r>
          </w:p>
        </w:tc>
        <w:tc>
          <w:tcPr>
            <w:tcW w:w="65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CH4, CO, NOx, VOC, SO2, BC, tropO3</w:t>
            </w:r>
          </w:p>
        </w:tc>
        <w:tc>
          <w:tcPr>
            <w:tcW w:w="77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None</w:t>
            </w:r>
          </w:p>
        </w:tc>
        <w:tc>
          <w:tcPr>
            <w:tcW w:w="76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Air pollutant emissions and concentrations</w:t>
            </w:r>
          </w:p>
        </w:tc>
        <w:tc>
          <w:tcPr>
            <w:tcW w:w="1683"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RCP2.6 and RCP6.0 combined with high and low pollution control assumptions</w:t>
            </w:r>
          </w:p>
        </w:tc>
        <w:tc>
          <w:tcPr>
            <w:tcW w:w="114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IMAGE (emission pathways), TM5 (atmospheric chemistry and climate)</w:t>
            </w:r>
          </w:p>
        </w:tc>
        <w:tc>
          <w:tcPr>
            <w:tcW w:w="104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doi:10.1016/j.atmosenv.2013.07.008</w:t>
            </w:r>
          </w:p>
        </w:tc>
      </w:tr>
      <w:tr w:rsidR="00B3550D" w:rsidTr="00CC659F">
        <w:trPr>
          <w:trHeight w:val="371"/>
        </w:trPr>
        <w:tc>
          <w:tcPr>
            <w:cnfStyle w:val="001000000000" w:firstRow="0" w:lastRow="0" w:firstColumn="1" w:lastColumn="0" w:oddVBand="0" w:evenVBand="0" w:oddHBand="0" w:evenHBand="0" w:firstRowFirstColumn="0" w:firstRowLastColumn="0" w:lastRowFirstColumn="0" w:lastRowLastColumn="0"/>
            <w:tcW w:w="567" w:type="dxa"/>
          </w:tcPr>
          <w:p w:rsidR="00B3550D" w:rsidRPr="000E47C7" w:rsidRDefault="00B3550D" w:rsidP="00CC659F">
            <w:pPr>
              <w:rPr>
                <w:sz w:val="10"/>
                <w:szCs w:val="10"/>
                <w:lang w:val="en-US"/>
              </w:rPr>
            </w:pPr>
            <w:r w:rsidRPr="000E47C7">
              <w:rPr>
                <w:sz w:val="10"/>
                <w:szCs w:val="10"/>
              </w:rPr>
              <w:t>Harmsen et al. 2019</w:t>
            </w:r>
          </w:p>
        </w:tc>
        <w:tc>
          <w:tcPr>
            <w:tcW w:w="1717"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Assessment of climate change mitigation potential of short-lived forcers, addtional to the NDCs</w:t>
            </w:r>
          </w:p>
        </w:tc>
        <w:tc>
          <w:tcPr>
            <w:tcW w:w="59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CC&amp;AQ</w:t>
            </w:r>
          </w:p>
        </w:tc>
        <w:tc>
          <w:tcPr>
            <w:tcW w:w="836"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CC (GMT)</w:t>
            </w:r>
          </w:p>
        </w:tc>
        <w:tc>
          <w:tcPr>
            <w:tcW w:w="735"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CH4, BC/OC SO2, Trop O3, HFCs</w:t>
            </w:r>
          </w:p>
        </w:tc>
        <w:tc>
          <w:tcPr>
            <w:tcW w:w="65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n.a.</w:t>
            </w:r>
          </w:p>
        </w:tc>
        <w:tc>
          <w:tcPr>
            <w:tcW w:w="77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n.a.</w:t>
            </w:r>
          </w:p>
        </w:tc>
        <w:tc>
          <w:tcPr>
            <w:tcW w:w="76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n.a.</w:t>
            </w:r>
          </w:p>
        </w:tc>
        <w:tc>
          <w:tcPr>
            <w:tcW w:w="1683"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Baseline, NDC, 2dC, either with or without additional SLCF mitigation</w:t>
            </w:r>
          </w:p>
        </w:tc>
        <w:tc>
          <w:tcPr>
            <w:tcW w:w="114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Multiple IAMs (emission pathways), MAGICC (climate)</w:t>
            </w:r>
          </w:p>
        </w:tc>
        <w:tc>
          <w:tcPr>
            <w:tcW w:w="104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doi:10.1007/s10584-019-02436-3)</w:t>
            </w:r>
          </w:p>
        </w:tc>
      </w:tr>
      <w:tr w:rsidR="00B3550D" w:rsidTr="00CC659F">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567" w:type="dxa"/>
          </w:tcPr>
          <w:p w:rsidR="00B3550D" w:rsidRPr="000E47C7" w:rsidRDefault="00B3550D" w:rsidP="00CC659F">
            <w:pPr>
              <w:rPr>
                <w:sz w:val="10"/>
                <w:szCs w:val="10"/>
                <w:lang w:val="en-US"/>
              </w:rPr>
            </w:pPr>
            <w:r w:rsidRPr="000E47C7">
              <w:rPr>
                <w:sz w:val="10"/>
                <w:szCs w:val="10"/>
              </w:rPr>
              <w:t>Kitous et al., 2017</w:t>
            </w:r>
          </w:p>
        </w:tc>
        <w:tc>
          <w:tcPr>
            <w:tcW w:w="1717"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Analysis of climate policy air quality co-benefits</w:t>
            </w:r>
          </w:p>
        </w:tc>
        <w:tc>
          <w:tcPr>
            <w:tcW w:w="59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CC</w:t>
            </w:r>
          </w:p>
        </w:tc>
        <w:tc>
          <w:tcPr>
            <w:tcW w:w="836"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AQ (health &amp; agricultural production)</w:t>
            </w:r>
          </w:p>
        </w:tc>
        <w:tc>
          <w:tcPr>
            <w:tcW w:w="735"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Combined effect of all forcers</w:t>
            </w:r>
          </w:p>
        </w:tc>
        <w:tc>
          <w:tcPr>
            <w:tcW w:w="65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SO2, NOx, PM2.5, VOC, CO, NH3</w:t>
            </w:r>
          </w:p>
        </w:tc>
        <w:tc>
          <w:tcPr>
            <w:tcW w:w="77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Climate policy cost, Air quality benefits</w:t>
            </w:r>
          </w:p>
        </w:tc>
        <w:tc>
          <w:tcPr>
            <w:tcW w:w="76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Premature deaths and VSL</w:t>
            </w:r>
          </w:p>
        </w:tc>
        <w:tc>
          <w:tcPr>
            <w:tcW w:w="1683"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Baseline, NDC, 2dC, combined with different levels of air pollution policy ambitions</w:t>
            </w:r>
          </w:p>
        </w:tc>
        <w:tc>
          <w:tcPr>
            <w:tcW w:w="114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POLES (emission pathways), MAGICC (climate), FASST / GEM-E3 (health, agriculture)</w:t>
            </w:r>
          </w:p>
        </w:tc>
        <w:tc>
          <w:tcPr>
            <w:tcW w:w="104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doi:10.2760/474356</w:t>
            </w:r>
          </w:p>
        </w:tc>
      </w:tr>
      <w:tr w:rsidR="00B3550D" w:rsidTr="00CC659F">
        <w:trPr>
          <w:trHeight w:val="728"/>
        </w:trPr>
        <w:tc>
          <w:tcPr>
            <w:cnfStyle w:val="001000000000" w:firstRow="0" w:lastRow="0" w:firstColumn="1" w:lastColumn="0" w:oddVBand="0" w:evenVBand="0" w:oddHBand="0" w:evenHBand="0" w:firstRowFirstColumn="0" w:firstRowLastColumn="0" w:lastRowFirstColumn="0" w:lastRowLastColumn="0"/>
            <w:tcW w:w="567" w:type="dxa"/>
          </w:tcPr>
          <w:p w:rsidR="00B3550D" w:rsidRPr="000E47C7" w:rsidRDefault="00B3550D" w:rsidP="00CC659F">
            <w:pPr>
              <w:rPr>
                <w:sz w:val="10"/>
                <w:szCs w:val="10"/>
                <w:lang w:val="en-US"/>
              </w:rPr>
            </w:pPr>
            <w:r w:rsidRPr="000E47C7">
              <w:rPr>
                <w:sz w:val="10"/>
                <w:szCs w:val="10"/>
              </w:rPr>
              <w:t>Markandya et al., 2018</w:t>
            </w:r>
          </w:p>
        </w:tc>
        <w:tc>
          <w:tcPr>
            <w:tcW w:w="1717"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Comparison of climate policy costs with AQ related health co-benefits</w:t>
            </w:r>
          </w:p>
        </w:tc>
        <w:tc>
          <w:tcPr>
            <w:tcW w:w="59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CC</w:t>
            </w:r>
          </w:p>
        </w:tc>
        <w:tc>
          <w:tcPr>
            <w:tcW w:w="836"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AQ (health)</w:t>
            </w:r>
          </w:p>
        </w:tc>
        <w:tc>
          <w:tcPr>
            <w:tcW w:w="735"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Combined effect of all forcers</w:t>
            </w:r>
          </w:p>
        </w:tc>
        <w:tc>
          <w:tcPr>
            <w:tcW w:w="65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Combined effect of all pollutants</w:t>
            </w:r>
          </w:p>
        </w:tc>
        <w:tc>
          <w:tcPr>
            <w:tcW w:w="77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Climate policy cost, Air quality health benefits</w:t>
            </w:r>
          </w:p>
        </w:tc>
        <w:tc>
          <w:tcPr>
            <w:tcW w:w="76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Premature deaths and VSL</w:t>
            </w:r>
          </w:p>
        </w:tc>
        <w:tc>
          <w:tcPr>
            <w:tcW w:w="1683"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Baseline, NDC, 2dC, 1.5dC</w:t>
            </w:r>
          </w:p>
        </w:tc>
        <w:tc>
          <w:tcPr>
            <w:tcW w:w="114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GCAM (emission pathways), MAGICC (climate), FASST (health)</w:t>
            </w:r>
          </w:p>
        </w:tc>
        <w:tc>
          <w:tcPr>
            <w:tcW w:w="104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doi:10.1016/S2542-5196(18)30029-9</w:t>
            </w:r>
          </w:p>
        </w:tc>
      </w:tr>
      <w:tr w:rsidR="00B3550D" w:rsidTr="00CC659F">
        <w:trPr>
          <w:cnfStyle w:val="000000100000" w:firstRow="0" w:lastRow="0" w:firstColumn="0" w:lastColumn="0" w:oddVBand="0" w:evenVBand="0" w:oddHBand="1" w:evenHBand="0" w:firstRowFirstColumn="0" w:firstRowLastColumn="0" w:lastRowFirstColumn="0" w:lastRowLastColumn="0"/>
          <w:trHeight w:val="661"/>
        </w:trPr>
        <w:tc>
          <w:tcPr>
            <w:cnfStyle w:val="001000000000" w:firstRow="0" w:lastRow="0" w:firstColumn="1" w:lastColumn="0" w:oddVBand="0" w:evenVBand="0" w:oddHBand="0" w:evenHBand="0" w:firstRowFirstColumn="0" w:firstRowLastColumn="0" w:lastRowFirstColumn="0" w:lastRowLastColumn="0"/>
            <w:tcW w:w="567" w:type="dxa"/>
          </w:tcPr>
          <w:p w:rsidR="00B3550D" w:rsidRPr="000E47C7" w:rsidRDefault="00B3550D" w:rsidP="00CC659F">
            <w:pPr>
              <w:rPr>
                <w:sz w:val="10"/>
                <w:szCs w:val="10"/>
                <w:lang w:val="en-US"/>
              </w:rPr>
            </w:pPr>
            <w:r w:rsidRPr="000E47C7">
              <w:rPr>
                <w:sz w:val="10"/>
                <w:szCs w:val="10"/>
              </w:rPr>
              <w:t>McCollum et al., 2013</w:t>
            </w:r>
          </w:p>
        </w:tc>
        <w:tc>
          <w:tcPr>
            <w:tcW w:w="1717"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Analysis of synergies between climate policy, energy security and air pollution control</w:t>
            </w:r>
          </w:p>
        </w:tc>
        <w:tc>
          <w:tcPr>
            <w:tcW w:w="59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CC</w:t>
            </w:r>
          </w:p>
        </w:tc>
        <w:tc>
          <w:tcPr>
            <w:tcW w:w="836"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 xml:space="preserve">AQ </w:t>
            </w:r>
          </w:p>
        </w:tc>
        <w:tc>
          <w:tcPr>
            <w:tcW w:w="735"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Combined effect of all forcers</w:t>
            </w:r>
          </w:p>
        </w:tc>
        <w:tc>
          <w:tcPr>
            <w:tcW w:w="65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Combined effect of all pollutants</w:t>
            </w:r>
          </w:p>
        </w:tc>
        <w:tc>
          <w:tcPr>
            <w:tcW w:w="77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Climate policy cost, pollution control policy costs</w:t>
            </w:r>
          </w:p>
        </w:tc>
        <w:tc>
          <w:tcPr>
            <w:tcW w:w="76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Air pollutant emissions</w:t>
            </w:r>
          </w:p>
        </w:tc>
        <w:tc>
          <w:tcPr>
            <w:tcW w:w="1683"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Several hundreds, representing different combinations of climate, air pollution and energy security policy ambition.</w:t>
            </w:r>
          </w:p>
        </w:tc>
        <w:tc>
          <w:tcPr>
            <w:tcW w:w="114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MESSAGE/GAINS (emission pathways), TM5 followed by applying WHO CRA method (health)</w:t>
            </w:r>
          </w:p>
        </w:tc>
        <w:tc>
          <w:tcPr>
            <w:tcW w:w="104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doi:10.1007/s10584-013-0710-y</w:t>
            </w:r>
          </w:p>
        </w:tc>
      </w:tr>
      <w:tr w:rsidR="00B3550D" w:rsidTr="00CC659F">
        <w:trPr>
          <w:trHeight w:val="483"/>
        </w:trPr>
        <w:tc>
          <w:tcPr>
            <w:cnfStyle w:val="001000000000" w:firstRow="0" w:lastRow="0" w:firstColumn="1" w:lastColumn="0" w:oddVBand="0" w:evenVBand="0" w:oddHBand="0" w:evenHBand="0" w:firstRowFirstColumn="0" w:firstRowLastColumn="0" w:lastRowFirstColumn="0" w:lastRowLastColumn="0"/>
            <w:tcW w:w="567" w:type="dxa"/>
          </w:tcPr>
          <w:p w:rsidR="00B3550D" w:rsidRPr="000E47C7" w:rsidRDefault="00B3550D" w:rsidP="00CC659F">
            <w:pPr>
              <w:rPr>
                <w:sz w:val="10"/>
                <w:szCs w:val="10"/>
                <w:lang w:val="en-US"/>
              </w:rPr>
            </w:pPr>
            <w:r w:rsidRPr="000E47C7">
              <w:rPr>
                <w:sz w:val="10"/>
                <w:szCs w:val="10"/>
              </w:rPr>
              <w:t>Nemet et al., 2010</w:t>
            </w:r>
          </w:p>
        </w:tc>
        <w:tc>
          <w:tcPr>
            <w:tcW w:w="1717"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Meta-analysis of earlier co-benefit studies.</w:t>
            </w:r>
          </w:p>
        </w:tc>
        <w:tc>
          <w:tcPr>
            <w:tcW w:w="59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CC</w:t>
            </w:r>
          </w:p>
        </w:tc>
        <w:tc>
          <w:tcPr>
            <w:tcW w:w="836"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AQ (health), CC (avoided damages)</w:t>
            </w:r>
          </w:p>
        </w:tc>
        <w:tc>
          <w:tcPr>
            <w:tcW w:w="735"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Combined effect of all forcers</w:t>
            </w:r>
          </w:p>
        </w:tc>
        <w:tc>
          <w:tcPr>
            <w:tcW w:w="65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Combined effect of all pollutants</w:t>
            </w:r>
          </w:p>
        </w:tc>
        <w:tc>
          <w:tcPr>
            <w:tcW w:w="77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Benefits AQ&amp;CC</w:t>
            </w:r>
          </w:p>
        </w:tc>
        <w:tc>
          <w:tcPr>
            <w:tcW w:w="76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(Avoided) costs</w:t>
            </w:r>
          </w:p>
        </w:tc>
        <w:tc>
          <w:tcPr>
            <w:tcW w:w="1683"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n.a.</w:t>
            </w:r>
          </w:p>
        </w:tc>
        <w:tc>
          <w:tcPr>
            <w:tcW w:w="114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The meta-analysis includes several reduced-complexity IAMs for cost-benefit analysis</w:t>
            </w:r>
          </w:p>
        </w:tc>
        <w:tc>
          <w:tcPr>
            <w:tcW w:w="104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doi:10.1088/1748-9326/5/1/014007</w:t>
            </w:r>
          </w:p>
        </w:tc>
      </w:tr>
      <w:tr w:rsidR="00B3550D" w:rsidTr="00CC659F">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567" w:type="dxa"/>
          </w:tcPr>
          <w:p w:rsidR="00B3550D" w:rsidRPr="000E47C7" w:rsidRDefault="00B3550D" w:rsidP="00CC659F">
            <w:pPr>
              <w:rPr>
                <w:sz w:val="10"/>
                <w:szCs w:val="10"/>
                <w:lang w:val="en-US"/>
              </w:rPr>
            </w:pPr>
            <w:r w:rsidRPr="000E47C7">
              <w:rPr>
                <w:sz w:val="10"/>
                <w:szCs w:val="10"/>
              </w:rPr>
              <w:t>Rafaj et al., 2018</w:t>
            </w:r>
          </w:p>
        </w:tc>
        <w:tc>
          <w:tcPr>
            <w:tcW w:w="1717"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Analysis of synergies between air quality and the SDG goals</w:t>
            </w:r>
          </w:p>
        </w:tc>
        <w:tc>
          <w:tcPr>
            <w:tcW w:w="59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CC&amp;AQ</w:t>
            </w:r>
          </w:p>
        </w:tc>
        <w:tc>
          <w:tcPr>
            <w:tcW w:w="836"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AQ (health)</w:t>
            </w:r>
          </w:p>
        </w:tc>
        <w:tc>
          <w:tcPr>
            <w:tcW w:w="735"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Combined effect of all forcers</w:t>
            </w:r>
          </w:p>
        </w:tc>
        <w:tc>
          <w:tcPr>
            <w:tcW w:w="65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SO2, NOx, PM2.5, NH3</w:t>
            </w:r>
          </w:p>
        </w:tc>
        <w:tc>
          <w:tcPr>
            <w:tcW w:w="77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Climate policy cost, pollution control policy costs</w:t>
            </w:r>
          </w:p>
        </w:tc>
        <w:tc>
          <w:tcPr>
            <w:tcW w:w="76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Premature deaths</w:t>
            </w:r>
          </w:p>
        </w:tc>
        <w:tc>
          <w:tcPr>
            <w:tcW w:w="1683"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Baseline, stringent pollutant control, strong SDG scenario</w:t>
            </w:r>
          </w:p>
        </w:tc>
        <w:tc>
          <w:tcPr>
            <w:tcW w:w="114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GAINS, own study (emission pathways), own study (health)</w:t>
            </w:r>
          </w:p>
        </w:tc>
        <w:tc>
          <w:tcPr>
            <w:tcW w:w="104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doi:10.1016/j.gloenvcha.2018.08.008</w:t>
            </w:r>
          </w:p>
        </w:tc>
      </w:tr>
      <w:tr w:rsidR="00B3550D" w:rsidTr="00CC659F">
        <w:trPr>
          <w:trHeight w:val="490"/>
        </w:trPr>
        <w:tc>
          <w:tcPr>
            <w:cnfStyle w:val="001000000000" w:firstRow="0" w:lastRow="0" w:firstColumn="1" w:lastColumn="0" w:oddVBand="0" w:evenVBand="0" w:oddHBand="0" w:evenHBand="0" w:firstRowFirstColumn="0" w:firstRowLastColumn="0" w:lastRowFirstColumn="0" w:lastRowLastColumn="0"/>
            <w:tcW w:w="567" w:type="dxa"/>
          </w:tcPr>
          <w:p w:rsidR="00B3550D" w:rsidRPr="000E47C7" w:rsidRDefault="00B3550D" w:rsidP="00CC659F">
            <w:pPr>
              <w:rPr>
                <w:sz w:val="10"/>
                <w:szCs w:val="10"/>
                <w:lang w:val="en-US"/>
              </w:rPr>
            </w:pPr>
            <w:r w:rsidRPr="000E47C7">
              <w:rPr>
                <w:sz w:val="10"/>
                <w:szCs w:val="10"/>
              </w:rPr>
              <w:t>Rao et al. 2016</w:t>
            </w:r>
          </w:p>
        </w:tc>
        <w:tc>
          <w:tcPr>
            <w:tcW w:w="1717"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Analysis of co-benefits between climate policy and air pollution policy</w:t>
            </w:r>
          </w:p>
        </w:tc>
        <w:tc>
          <w:tcPr>
            <w:tcW w:w="59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CC&amp;AQ</w:t>
            </w:r>
          </w:p>
        </w:tc>
        <w:tc>
          <w:tcPr>
            <w:tcW w:w="836"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AQ (health)</w:t>
            </w:r>
          </w:p>
        </w:tc>
        <w:tc>
          <w:tcPr>
            <w:tcW w:w="735"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Combined effect of all forcers</w:t>
            </w:r>
          </w:p>
        </w:tc>
        <w:tc>
          <w:tcPr>
            <w:tcW w:w="65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SO2, NOx, BC, OC, VOC, CO, NH3</w:t>
            </w:r>
          </w:p>
        </w:tc>
        <w:tc>
          <w:tcPr>
            <w:tcW w:w="77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None</w:t>
            </w:r>
          </w:p>
        </w:tc>
        <w:tc>
          <w:tcPr>
            <w:tcW w:w="76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Air pollutant concentrations</w:t>
            </w:r>
          </w:p>
        </w:tc>
        <w:tc>
          <w:tcPr>
            <w:tcW w:w="1683"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Baseline, 2dC, combined with different levels of air pollution policy</w:t>
            </w:r>
          </w:p>
        </w:tc>
        <w:tc>
          <w:tcPr>
            <w:tcW w:w="114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Multiple IAMs (emission pathways), MAGICC (climate), FASST (health)</w:t>
            </w:r>
          </w:p>
        </w:tc>
        <w:tc>
          <w:tcPr>
            <w:tcW w:w="104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doi:10.1088/1748-9326/11/12/124013</w:t>
            </w:r>
          </w:p>
        </w:tc>
      </w:tr>
      <w:tr w:rsidR="00B3550D" w:rsidTr="00CC659F">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567" w:type="dxa"/>
          </w:tcPr>
          <w:p w:rsidR="00B3550D" w:rsidRPr="000E47C7" w:rsidRDefault="00B3550D" w:rsidP="00CC659F">
            <w:pPr>
              <w:rPr>
                <w:sz w:val="10"/>
                <w:szCs w:val="10"/>
                <w:lang w:val="en-US"/>
              </w:rPr>
            </w:pPr>
            <w:r w:rsidRPr="000E47C7">
              <w:rPr>
                <w:sz w:val="10"/>
                <w:szCs w:val="10"/>
              </w:rPr>
              <w:t>Rao et al., 2017</w:t>
            </w:r>
          </w:p>
        </w:tc>
        <w:tc>
          <w:tcPr>
            <w:tcW w:w="1717"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Analysis of air pollution pathways in the SSPs (limited co-benefit analysis)</w:t>
            </w:r>
          </w:p>
        </w:tc>
        <w:tc>
          <w:tcPr>
            <w:tcW w:w="59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CC&amp;AQ</w:t>
            </w:r>
          </w:p>
        </w:tc>
        <w:tc>
          <w:tcPr>
            <w:tcW w:w="836"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AQ (emissions)</w:t>
            </w:r>
          </w:p>
        </w:tc>
        <w:tc>
          <w:tcPr>
            <w:tcW w:w="735"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Combined effect of all forcers</w:t>
            </w:r>
          </w:p>
        </w:tc>
        <w:tc>
          <w:tcPr>
            <w:tcW w:w="65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SO2, NOx, BC, OC, VOC, CO, NH3</w:t>
            </w:r>
          </w:p>
        </w:tc>
        <w:tc>
          <w:tcPr>
            <w:tcW w:w="77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None</w:t>
            </w:r>
          </w:p>
        </w:tc>
        <w:tc>
          <w:tcPr>
            <w:tcW w:w="76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Air pollutant emissions</w:t>
            </w:r>
          </w:p>
        </w:tc>
        <w:tc>
          <w:tcPr>
            <w:tcW w:w="1683"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Baseline, 2dC, 3dC, combined with different levels of air pollution policy ambitions and socio-economic conditions</w:t>
            </w:r>
          </w:p>
        </w:tc>
        <w:tc>
          <w:tcPr>
            <w:tcW w:w="114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Multiple IAMs (emission pathways), MAGICC (climate)</w:t>
            </w:r>
          </w:p>
        </w:tc>
        <w:tc>
          <w:tcPr>
            <w:tcW w:w="104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doi:10.1016/j.gloenvcha.2016.05.012</w:t>
            </w:r>
          </w:p>
        </w:tc>
      </w:tr>
      <w:tr w:rsidR="00B3550D" w:rsidTr="00CC659F">
        <w:trPr>
          <w:trHeight w:val="490"/>
        </w:trPr>
        <w:tc>
          <w:tcPr>
            <w:cnfStyle w:val="001000000000" w:firstRow="0" w:lastRow="0" w:firstColumn="1" w:lastColumn="0" w:oddVBand="0" w:evenVBand="0" w:oddHBand="0" w:evenHBand="0" w:firstRowFirstColumn="0" w:firstRowLastColumn="0" w:lastRowFirstColumn="0" w:lastRowLastColumn="0"/>
            <w:tcW w:w="567" w:type="dxa"/>
          </w:tcPr>
          <w:p w:rsidR="00B3550D" w:rsidRPr="000E47C7" w:rsidRDefault="00B3550D" w:rsidP="00CC659F">
            <w:pPr>
              <w:rPr>
                <w:sz w:val="10"/>
                <w:szCs w:val="10"/>
                <w:lang w:val="en-US"/>
              </w:rPr>
            </w:pPr>
            <w:r w:rsidRPr="000E47C7">
              <w:rPr>
                <w:sz w:val="10"/>
                <w:szCs w:val="10"/>
              </w:rPr>
              <w:t>Reis et al., 2018</w:t>
            </w:r>
          </w:p>
        </w:tc>
        <w:tc>
          <w:tcPr>
            <w:tcW w:w="1717"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 xml:space="preserve">Analysis of all 5 SSPs (with different climate targets) and the heath benefits using FASST. </w:t>
            </w:r>
            <w:r w:rsidRPr="000E47C7">
              <w:rPr>
                <w:sz w:val="10"/>
                <w:szCs w:val="10"/>
              </w:rPr>
              <w:t xml:space="preserve">Health benefits expressed in different indicators. </w:t>
            </w:r>
          </w:p>
        </w:tc>
        <w:tc>
          <w:tcPr>
            <w:tcW w:w="59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CC</w:t>
            </w:r>
          </w:p>
        </w:tc>
        <w:tc>
          <w:tcPr>
            <w:tcW w:w="836"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 xml:space="preserve">AQ </w:t>
            </w:r>
          </w:p>
        </w:tc>
        <w:tc>
          <w:tcPr>
            <w:tcW w:w="735"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Combined effect of all forcers</w:t>
            </w:r>
          </w:p>
        </w:tc>
        <w:tc>
          <w:tcPr>
            <w:tcW w:w="65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Combined effect of all pollutants</w:t>
            </w:r>
          </w:p>
        </w:tc>
        <w:tc>
          <w:tcPr>
            <w:tcW w:w="77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None</w:t>
            </w:r>
          </w:p>
        </w:tc>
        <w:tc>
          <w:tcPr>
            <w:tcW w:w="76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Multiple metrics</w:t>
            </w:r>
          </w:p>
        </w:tc>
        <w:tc>
          <w:tcPr>
            <w:tcW w:w="1683"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Baseline, 1.5-3dC, under different socio-economic assumptions</w:t>
            </w:r>
          </w:p>
        </w:tc>
        <w:tc>
          <w:tcPr>
            <w:tcW w:w="114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Multiple IAMs (emission pathways), MAGICC (climate), FASST (health)</w:t>
            </w:r>
          </w:p>
        </w:tc>
        <w:tc>
          <w:tcPr>
            <w:tcW w:w="104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doi:10.3390/su10103645</w:t>
            </w:r>
          </w:p>
        </w:tc>
      </w:tr>
      <w:tr w:rsidR="00B3550D" w:rsidTr="00CC659F">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567" w:type="dxa"/>
          </w:tcPr>
          <w:p w:rsidR="00B3550D" w:rsidRPr="000E47C7" w:rsidRDefault="00B3550D" w:rsidP="00CC659F">
            <w:pPr>
              <w:rPr>
                <w:sz w:val="10"/>
                <w:szCs w:val="10"/>
                <w:lang w:val="en-US"/>
              </w:rPr>
            </w:pPr>
            <w:r w:rsidRPr="000E47C7">
              <w:rPr>
                <w:sz w:val="10"/>
                <w:szCs w:val="10"/>
              </w:rPr>
              <w:t>Rogelj et al., 2014</w:t>
            </w:r>
          </w:p>
        </w:tc>
        <w:tc>
          <w:tcPr>
            <w:tcW w:w="1717"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Analysis of indirect non-CO2 reduction resulting from CO2 mitigation.</w:t>
            </w:r>
          </w:p>
        </w:tc>
        <w:tc>
          <w:tcPr>
            <w:tcW w:w="59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CC&amp;AQ</w:t>
            </w:r>
          </w:p>
        </w:tc>
        <w:tc>
          <w:tcPr>
            <w:tcW w:w="836"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CC (GMT)</w:t>
            </w:r>
          </w:p>
        </w:tc>
        <w:tc>
          <w:tcPr>
            <w:tcW w:w="735"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 xml:space="preserve">CO2, CH4, BC, HFC, SO2 </w:t>
            </w:r>
          </w:p>
        </w:tc>
        <w:tc>
          <w:tcPr>
            <w:tcW w:w="65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n.a</w:t>
            </w:r>
          </w:p>
        </w:tc>
        <w:tc>
          <w:tcPr>
            <w:tcW w:w="77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None</w:t>
            </w:r>
          </w:p>
        </w:tc>
        <w:tc>
          <w:tcPr>
            <w:tcW w:w="76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n.a.</w:t>
            </w:r>
          </w:p>
        </w:tc>
        <w:tc>
          <w:tcPr>
            <w:tcW w:w="1683"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Baseline, 2dC, combined with combinations of CH4, BC, HFC and SO2 measures</w:t>
            </w:r>
          </w:p>
        </w:tc>
        <w:tc>
          <w:tcPr>
            <w:tcW w:w="114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AR4/5 scenario ensemble (emission pathways), MAGICC probabilistic (climate)</w:t>
            </w:r>
          </w:p>
        </w:tc>
        <w:tc>
          <w:tcPr>
            <w:tcW w:w="104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doi:10.1073/pnas.1415631111</w:t>
            </w:r>
          </w:p>
        </w:tc>
      </w:tr>
      <w:tr w:rsidR="00B3550D" w:rsidTr="00CC659F">
        <w:trPr>
          <w:trHeight w:val="364"/>
        </w:trPr>
        <w:tc>
          <w:tcPr>
            <w:cnfStyle w:val="001000000000" w:firstRow="0" w:lastRow="0" w:firstColumn="1" w:lastColumn="0" w:oddVBand="0" w:evenVBand="0" w:oddHBand="0" w:evenHBand="0" w:firstRowFirstColumn="0" w:firstRowLastColumn="0" w:lastRowFirstColumn="0" w:lastRowLastColumn="0"/>
            <w:tcW w:w="567" w:type="dxa"/>
          </w:tcPr>
          <w:p w:rsidR="00B3550D" w:rsidRPr="000E47C7" w:rsidRDefault="00B3550D" w:rsidP="00CC659F">
            <w:pPr>
              <w:rPr>
                <w:sz w:val="10"/>
                <w:szCs w:val="10"/>
                <w:lang w:val="en-US"/>
              </w:rPr>
            </w:pPr>
            <w:r w:rsidRPr="000E47C7">
              <w:rPr>
                <w:sz w:val="10"/>
                <w:szCs w:val="10"/>
              </w:rPr>
              <w:t>Rogelj et al., 2014b</w:t>
            </w:r>
          </w:p>
        </w:tc>
        <w:tc>
          <w:tcPr>
            <w:tcW w:w="1717"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Analysis of the air pollution emission ranges in the RCP sceanarios</w:t>
            </w:r>
          </w:p>
        </w:tc>
        <w:tc>
          <w:tcPr>
            <w:tcW w:w="59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CC&amp;AQ</w:t>
            </w:r>
          </w:p>
        </w:tc>
        <w:tc>
          <w:tcPr>
            <w:tcW w:w="836"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AQ</w:t>
            </w:r>
          </w:p>
        </w:tc>
        <w:tc>
          <w:tcPr>
            <w:tcW w:w="735"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Combined effect of all forcers</w:t>
            </w:r>
          </w:p>
        </w:tc>
        <w:tc>
          <w:tcPr>
            <w:tcW w:w="65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SO2, NO2, BC, OC, VOC, CO</w:t>
            </w:r>
          </w:p>
        </w:tc>
        <w:tc>
          <w:tcPr>
            <w:tcW w:w="77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None</w:t>
            </w:r>
          </w:p>
        </w:tc>
        <w:tc>
          <w:tcPr>
            <w:tcW w:w="76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Air pollutant emissions</w:t>
            </w:r>
          </w:p>
        </w:tc>
        <w:tc>
          <w:tcPr>
            <w:tcW w:w="1683"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RCP scenarios (2.6, 4.5, 8.5)</w:t>
            </w:r>
          </w:p>
        </w:tc>
        <w:tc>
          <w:tcPr>
            <w:tcW w:w="114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MESSAGE/GAINS (emission pathways), MAGICC (climate)</w:t>
            </w:r>
          </w:p>
        </w:tc>
        <w:tc>
          <w:tcPr>
            <w:tcW w:w="104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doi:10.1038/nclimate2178</w:t>
            </w:r>
          </w:p>
        </w:tc>
      </w:tr>
      <w:tr w:rsidR="00B3550D" w:rsidTr="00CC659F">
        <w:trPr>
          <w:cnfStyle w:val="000000100000" w:firstRow="0" w:lastRow="0" w:firstColumn="0" w:lastColumn="0" w:oddVBand="0" w:evenVBand="0" w:oddHBand="1" w:evenHBand="0" w:firstRowFirstColumn="0" w:firstRowLastColumn="0" w:lastRowFirstColumn="0" w:lastRowLastColumn="0"/>
          <w:trHeight w:val="742"/>
        </w:trPr>
        <w:tc>
          <w:tcPr>
            <w:cnfStyle w:val="001000000000" w:firstRow="0" w:lastRow="0" w:firstColumn="1" w:lastColumn="0" w:oddVBand="0" w:evenVBand="0" w:oddHBand="0" w:evenHBand="0" w:firstRowFirstColumn="0" w:firstRowLastColumn="0" w:lastRowFirstColumn="0" w:lastRowLastColumn="0"/>
            <w:tcW w:w="567" w:type="dxa"/>
          </w:tcPr>
          <w:p w:rsidR="00B3550D" w:rsidRPr="000E47C7" w:rsidRDefault="00B3550D" w:rsidP="00CC659F">
            <w:pPr>
              <w:rPr>
                <w:sz w:val="10"/>
                <w:szCs w:val="10"/>
                <w:lang w:val="en-US"/>
              </w:rPr>
            </w:pPr>
            <w:r w:rsidRPr="000E47C7">
              <w:rPr>
                <w:sz w:val="10"/>
                <w:szCs w:val="10"/>
              </w:rPr>
              <w:t>Shindell et al., 2012</w:t>
            </w:r>
          </w:p>
        </w:tc>
        <w:tc>
          <w:tcPr>
            <w:tcW w:w="1717"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Analysis of climate and health benefits of CH4 and BC mitigation</w:t>
            </w:r>
          </w:p>
        </w:tc>
        <w:tc>
          <w:tcPr>
            <w:tcW w:w="59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CC&amp;AQ</w:t>
            </w:r>
          </w:p>
        </w:tc>
        <w:tc>
          <w:tcPr>
            <w:tcW w:w="836"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AQ (health &amp; agricultural production), CC (GMT/impacts)</w:t>
            </w:r>
          </w:p>
        </w:tc>
        <w:tc>
          <w:tcPr>
            <w:tcW w:w="735"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CO2, CH4, BC</w:t>
            </w:r>
          </w:p>
        </w:tc>
        <w:tc>
          <w:tcPr>
            <w:tcW w:w="65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CH4, BC</w:t>
            </w:r>
          </w:p>
        </w:tc>
        <w:tc>
          <w:tcPr>
            <w:tcW w:w="77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Costs and benefits CC&amp;AQ</w:t>
            </w:r>
          </w:p>
        </w:tc>
        <w:tc>
          <w:tcPr>
            <w:tcW w:w="76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Premature deaths and VSL</w:t>
            </w:r>
          </w:p>
        </w:tc>
        <w:tc>
          <w:tcPr>
            <w:tcW w:w="1683"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Baseline, baseline combined with CO2, BC and/or CH4 measures</w:t>
            </w:r>
          </w:p>
        </w:tc>
        <w:tc>
          <w:tcPr>
            <w:tcW w:w="114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Own study (emission pathways), ECHAM / GISS / own study (climate), own study (health)</w:t>
            </w:r>
          </w:p>
        </w:tc>
        <w:tc>
          <w:tcPr>
            <w:tcW w:w="104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doi:10.1126/science.1210026</w:t>
            </w:r>
          </w:p>
        </w:tc>
      </w:tr>
      <w:tr w:rsidR="00B3550D" w:rsidTr="00CC659F">
        <w:trPr>
          <w:trHeight w:val="490"/>
        </w:trPr>
        <w:tc>
          <w:tcPr>
            <w:cnfStyle w:val="001000000000" w:firstRow="0" w:lastRow="0" w:firstColumn="1" w:lastColumn="0" w:oddVBand="0" w:evenVBand="0" w:oddHBand="0" w:evenHBand="0" w:firstRowFirstColumn="0" w:firstRowLastColumn="0" w:lastRowFirstColumn="0" w:lastRowLastColumn="0"/>
            <w:tcW w:w="567" w:type="dxa"/>
          </w:tcPr>
          <w:p w:rsidR="00B3550D" w:rsidRPr="000E47C7" w:rsidRDefault="00B3550D" w:rsidP="00CC659F">
            <w:pPr>
              <w:rPr>
                <w:sz w:val="10"/>
                <w:szCs w:val="10"/>
                <w:lang w:val="en-US"/>
              </w:rPr>
            </w:pPr>
            <w:r w:rsidRPr="000E47C7">
              <w:rPr>
                <w:sz w:val="10"/>
                <w:szCs w:val="10"/>
              </w:rPr>
              <w:t>Smith &amp; Mizrahi, 2013</w:t>
            </w:r>
          </w:p>
        </w:tc>
        <w:tc>
          <w:tcPr>
            <w:tcW w:w="1717"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Assessment of climate change mitigation potential of short-lived forcers</w:t>
            </w:r>
          </w:p>
        </w:tc>
        <w:tc>
          <w:tcPr>
            <w:tcW w:w="59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CC&amp;AQ</w:t>
            </w:r>
          </w:p>
        </w:tc>
        <w:tc>
          <w:tcPr>
            <w:tcW w:w="836"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CC (GMT)</w:t>
            </w:r>
          </w:p>
        </w:tc>
        <w:tc>
          <w:tcPr>
            <w:tcW w:w="735"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CO2, CH4, BC, OC SO2, Trop O3, StratH2O, Other Kyoto</w:t>
            </w:r>
          </w:p>
        </w:tc>
        <w:tc>
          <w:tcPr>
            <w:tcW w:w="65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n.a.</w:t>
            </w:r>
          </w:p>
        </w:tc>
        <w:tc>
          <w:tcPr>
            <w:tcW w:w="77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n.a.</w:t>
            </w:r>
          </w:p>
        </w:tc>
        <w:tc>
          <w:tcPr>
            <w:tcW w:w="76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n.a.</w:t>
            </w:r>
          </w:p>
        </w:tc>
        <w:tc>
          <w:tcPr>
            <w:tcW w:w="1683"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Baseline, RCP45</w:t>
            </w:r>
          </w:p>
        </w:tc>
        <w:tc>
          <w:tcPr>
            <w:tcW w:w="1144"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lang w:val="en-US"/>
              </w:rPr>
              <w:t>GCAM (emission pathways), MAGICC (climate)</w:t>
            </w:r>
          </w:p>
        </w:tc>
        <w:tc>
          <w:tcPr>
            <w:tcW w:w="1041" w:type="dxa"/>
          </w:tcPr>
          <w:p w:rsidR="00B3550D" w:rsidRPr="000E47C7" w:rsidRDefault="00B3550D" w:rsidP="00CC659F">
            <w:pPr>
              <w:cnfStyle w:val="000000000000" w:firstRow="0" w:lastRow="0" w:firstColumn="0" w:lastColumn="0" w:oddVBand="0" w:evenVBand="0" w:oddHBand="0" w:evenHBand="0" w:firstRowFirstColumn="0" w:firstRowLastColumn="0" w:lastRowFirstColumn="0" w:lastRowLastColumn="0"/>
              <w:rPr>
                <w:sz w:val="10"/>
                <w:szCs w:val="10"/>
                <w:lang w:val="en-US"/>
              </w:rPr>
            </w:pPr>
            <w:r w:rsidRPr="000E47C7">
              <w:rPr>
                <w:sz w:val="10"/>
                <w:szCs w:val="10"/>
              </w:rPr>
              <w:t>doi:10.1073/pnas.1308470110</w:t>
            </w:r>
          </w:p>
        </w:tc>
      </w:tr>
      <w:tr w:rsidR="00B3550D" w:rsidTr="00CC659F">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567" w:type="dxa"/>
          </w:tcPr>
          <w:p w:rsidR="00B3550D" w:rsidRPr="000E47C7" w:rsidRDefault="00B3550D" w:rsidP="00CC659F">
            <w:pPr>
              <w:rPr>
                <w:sz w:val="10"/>
                <w:szCs w:val="10"/>
                <w:lang w:val="en-US"/>
              </w:rPr>
            </w:pPr>
            <w:r w:rsidRPr="000E47C7">
              <w:rPr>
                <w:sz w:val="10"/>
                <w:szCs w:val="10"/>
              </w:rPr>
              <w:t>West et al., 2013</w:t>
            </w:r>
          </w:p>
        </w:tc>
        <w:tc>
          <w:tcPr>
            <w:tcW w:w="1717"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Assessement of health co-benefits resulting from climate policy</w:t>
            </w:r>
          </w:p>
        </w:tc>
        <w:tc>
          <w:tcPr>
            <w:tcW w:w="59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CC</w:t>
            </w:r>
          </w:p>
        </w:tc>
        <w:tc>
          <w:tcPr>
            <w:tcW w:w="836"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AQ (health)</w:t>
            </w:r>
          </w:p>
        </w:tc>
        <w:tc>
          <w:tcPr>
            <w:tcW w:w="735"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Combined effect of all forcers</w:t>
            </w:r>
          </w:p>
        </w:tc>
        <w:tc>
          <w:tcPr>
            <w:tcW w:w="65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Combined effect of all pollutants</w:t>
            </w:r>
          </w:p>
        </w:tc>
        <w:tc>
          <w:tcPr>
            <w:tcW w:w="77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Benefits AQ</w:t>
            </w:r>
          </w:p>
        </w:tc>
        <w:tc>
          <w:tcPr>
            <w:tcW w:w="76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Premature deaths and VSL</w:t>
            </w:r>
          </w:p>
        </w:tc>
        <w:tc>
          <w:tcPr>
            <w:tcW w:w="1683"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Baseline, RCP45</w:t>
            </w:r>
          </w:p>
        </w:tc>
        <w:tc>
          <w:tcPr>
            <w:tcW w:w="1144"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lang w:val="en-US"/>
              </w:rPr>
              <w:t>MOZART (global chemical transport), MAGICC (climate), own study (health)</w:t>
            </w:r>
          </w:p>
        </w:tc>
        <w:tc>
          <w:tcPr>
            <w:tcW w:w="1041" w:type="dxa"/>
          </w:tcPr>
          <w:p w:rsidR="00B3550D" w:rsidRPr="000E47C7" w:rsidRDefault="00B3550D" w:rsidP="00CC659F">
            <w:pPr>
              <w:cnfStyle w:val="000000100000" w:firstRow="0" w:lastRow="0" w:firstColumn="0" w:lastColumn="0" w:oddVBand="0" w:evenVBand="0" w:oddHBand="1" w:evenHBand="0" w:firstRowFirstColumn="0" w:firstRowLastColumn="0" w:lastRowFirstColumn="0" w:lastRowLastColumn="0"/>
              <w:rPr>
                <w:sz w:val="10"/>
                <w:szCs w:val="10"/>
                <w:lang w:val="en-US"/>
              </w:rPr>
            </w:pPr>
            <w:r w:rsidRPr="000E47C7">
              <w:rPr>
                <w:sz w:val="10"/>
                <w:szCs w:val="10"/>
              </w:rPr>
              <w:t>doi:10.1038/nclimate2009</w:t>
            </w:r>
          </w:p>
        </w:tc>
      </w:tr>
    </w:tbl>
    <w:p w:rsidR="00A2469D" w:rsidRDefault="00A2469D"/>
    <w:sectPr w:rsidR="00A2469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550D" w:rsidRDefault="00B3550D" w:rsidP="00B3550D">
      <w:pPr>
        <w:spacing w:after="0" w:line="240" w:lineRule="auto"/>
      </w:pPr>
      <w:r>
        <w:separator/>
      </w:r>
    </w:p>
  </w:endnote>
  <w:endnote w:type="continuationSeparator" w:id="0">
    <w:p w:rsidR="00B3550D" w:rsidRDefault="00B3550D" w:rsidP="00B35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550D" w:rsidRDefault="00B3550D" w:rsidP="00B3550D">
      <w:pPr>
        <w:spacing w:after="0" w:line="240" w:lineRule="auto"/>
      </w:pPr>
      <w:r>
        <w:separator/>
      </w:r>
    </w:p>
  </w:footnote>
  <w:footnote w:type="continuationSeparator" w:id="0">
    <w:p w:rsidR="00B3550D" w:rsidRDefault="00B3550D" w:rsidP="00B3550D">
      <w:pPr>
        <w:spacing w:after="0" w:line="240" w:lineRule="auto"/>
      </w:pPr>
      <w:r>
        <w:continuationSeparator/>
      </w:r>
    </w:p>
  </w:footnote>
  <w:footnote w:id="1">
    <w:p w:rsidR="00B3550D" w:rsidRPr="009C2C6E" w:rsidRDefault="00B3550D" w:rsidP="00B3550D">
      <w:pPr>
        <w:pStyle w:val="FootnoteText"/>
        <w:rPr>
          <w:lang w:val="en-US"/>
        </w:rPr>
      </w:pPr>
      <w:r>
        <w:rPr>
          <w:rStyle w:val="FootnoteReference"/>
        </w:rPr>
        <w:footnoteRef/>
      </w:r>
      <w:r w:rsidRPr="009C2C6E">
        <w:rPr>
          <w:lang w:val="en-US"/>
        </w:rPr>
        <w:t xml:space="preserve"> </w:t>
      </w:r>
      <w:r w:rsidRPr="00D87341">
        <w:rPr>
          <w:lang w:val="en-US"/>
        </w:rPr>
        <w:t>http://gains.iiasa.ac.at/gains/IAM/index.login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4C89"/>
    <w:multiLevelType w:val="hybridMultilevel"/>
    <w:tmpl w:val="CA48BF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92088B"/>
    <w:multiLevelType w:val="hybridMultilevel"/>
    <w:tmpl w:val="5D5606D4"/>
    <w:lvl w:ilvl="0" w:tplc="0D9C5BA0">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2033C3"/>
    <w:multiLevelType w:val="hybridMultilevel"/>
    <w:tmpl w:val="D50241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5C05BF"/>
    <w:multiLevelType w:val="hybridMultilevel"/>
    <w:tmpl w:val="64F0B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4500AF"/>
    <w:multiLevelType w:val="hybridMultilevel"/>
    <w:tmpl w:val="D27A3A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AA1426"/>
    <w:multiLevelType w:val="hybridMultilevel"/>
    <w:tmpl w:val="5BBE0D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A17132"/>
    <w:multiLevelType w:val="hybridMultilevel"/>
    <w:tmpl w:val="BE88F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C14EC3"/>
    <w:multiLevelType w:val="hybridMultilevel"/>
    <w:tmpl w:val="CBF4D8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115003"/>
    <w:multiLevelType w:val="hybridMultilevel"/>
    <w:tmpl w:val="C2C24382"/>
    <w:lvl w:ilvl="0" w:tplc="CFB629AA">
      <w:start w:val="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7B26EE"/>
    <w:multiLevelType w:val="hybridMultilevel"/>
    <w:tmpl w:val="4AE4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193770"/>
    <w:multiLevelType w:val="hybridMultilevel"/>
    <w:tmpl w:val="E3C69D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1F2522"/>
    <w:multiLevelType w:val="hybridMultilevel"/>
    <w:tmpl w:val="4998D902"/>
    <w:lvl w:ilvl="0" w:tplc="C3EE23E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A81421"/>
    <w:multiLevelType w:val="hybridMultilevel"/>
    <w:tmpl w:val="BA746ED4"/>
    <w:lvl w:ilvl="0" w:tplc="04130001">
      <w:start w:val="1"/>
      <w:numFmt w:val="bullet"/>
      <w:lvlText w:val=""/>
      <w:lvlJc w:val="left"/>
      <w:pPr>
        <w:ind w:left="776" w:hanging="360"/>
      </w:pPr>
      <w:rPr>
        <w:rFonts w:ascii="Symbol" w:hAnsi="Symbol"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13" w15:restartNumberingAfterBreak="0">
    <w:nsid w:val="2A802AF0"/>
    <w:multiLevelType w:val="hybridMultilevel"/>
    <w:tmpl w:val="E5D6F45C"/>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4" w15:restartNumberingAfterBreak="0">
    <w:nsid w:val="2B255273"/>
    <w:multiLevelType w:val="hybridMultilevel"/>
    <w:tmpl w:val="A2B6C3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5C7A2F"/>
    <w:multiLevelType w:val="hybridMultilevel"/>
    <w:tmpl w:val="5A56F9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115596"/>
    <w:multiLevelType w:val="hybridMultilevel"/>
    <w:tmpl w:val="57408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CC601F"/>
    <w:multiLevelType w:val="hybridMultilevel"/>
    <w:tmpl w:val="B0E85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956E68"/>
    <w:multiLevelType w:val="hybridMultilevel"/>
    <w:tmpl w:val="DAA48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4CF27BD"/>
    <w:multiLevelType w:val="hybridMultilevel"/>
    <w:tmpl w:val="60565A6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9B4761"/>
    <w:multiLevelType w:val="hybridMultilevel"/>
    <w:tmpl w:val="15E8C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A852E00"/>
    <w:multiLevelType w:val="hybridMultilevel"/>
    <w:tmpl w:val="E98676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CC62896"/>
    <w:multiLevelType w:val="hybridMultilevel"/>
    <w:tmpl w:val="5CD24E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CE02291"/>
    <w:multiLevelType w:val="hybridMultilevel"/>
    <w:tmpl w:val="0B88AF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E43B1C"/>
    <w:multiLevelType w:val="hybridMultilevel"/>
    <w:tmpl w:val="6CD6BB48"/>
    <w:lvl w:ilvl="0" w:tplc="A5DE9F6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DE24CE5"/>
    <w:multiLevelType w:val="hybridMultilevel"/>
    <w:tmpl w:val="19C4B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F16701E"/>
    <w:multiLevelType w:val="hybridMultilevel"/>
    <w:tmpl w:val="ED903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25D1BC6"/>
    <w:multiLevelType w:val="hybridMultilevel"/>
    <w:tmpl w:val="418CFA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58677D4"/>
    <w:multiLevelType w:val="hybridMultilevel"/>
    <w:tmpl w:val="B7223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C3B45CD"/>
    <w:multiLevelType w:val="hybridMultilevel"/>
    <w:tmpl w:val="F6C81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CB87FB1"/>
    <w:multiLevelType w:val="hybridMultilevel"/>
    <w:tmpl w:val="58AE72B2"/>
    <w:lvl w:ilvl="0" w:tplc="121E6670">
      <w:start w:val="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E5C6260"/>
    <w:multiLevelType w:val="multilevel"/>
    <w:tmpl w:val="82045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C467AA"/>
    <w:multiLevelType w:val="hybridMultilevel"/>
    <w:tmpl w:val="4846F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2E60DC7"/>
    <w:multiLevelType w:val="hybridMultilevel"/>
    <w:tmpl w:val="939096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EC32CED"/>
    <w:multiLevelType w:val="hybridMultilevel"/>
    <w:tmpl w:val="904AD2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2983B1E"/>
    <w:multiLevelType w:val="hybridMultilevel"/>
    <w:tmpl w:val="C8D634A2"/>
    <w:lvl w:ilvl="0" w:tplc="04130001">
      <w:start w:val="1"/>
      <w:numFmt w:val="bullet"/>
      <w:lvlText w:val=""/>
      <w:lvlJc w:val="left"/>
      <w:pPr>
        <w:ind w:left="405"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2BC1234"/>
    <w:multiLevelType w:val="hybridMultilevel"/>
    <w:tmpl w:val="EB6ACF8A"/>
    <w:lvl w:ilvl="0" w:tplc="60C4B472">
      <w:start w:val="6"/>
      <w:numFmt w:val="decimal"/>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37" w15:restartNumberingAfterBreak="0">
    <w:nsid w:val="64554C22"/>
    <w:multiLevelType w:val="hybridMultilevel"/>
    <w:tmpl w:val="100A9F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5E67C42"/>
    <w:multiLevelType w:val="hybridMultilevel"/>
    <w:tmpl w:val="97D8C2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7CF3AED"/>
    <w:multiLevelType w:val="hybridMultilevel"/>
    <w:tmpl w:val="81B09F30"/>
    <w:lvl w:ilvl="0" w:tplc="7AE4E2E2">
      <w:numFmt w:val="bullet"/>
      <w:lvlText w:val=""/>
      <w:lvlJc w:val="left"/>
      <w:pPr>
        <w:ind w:left="720" w:hanging="360"/>
      </w:pPr>
      <w:rPr>
        <w:rFonts w:ascii="Wingdings" w:eastAsiaTheme="minorHAns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85C6949"/>
    <w:multiLevelType w:val="hybridMultilevel"/>
    <w:tmpl w:val="7F72B990"/>
    <w:lvl w:ilvl="0" w:tplc="1798AAEA">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CF82DC2"/>
    <w:multiLevelType w:val="multilevel"/>
    <w:tmpl w:val="54A4A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554778"/>
    <w:multiLevelType w:val="hybridMultilevel"/>
    <w:tmpl w:val="943C6A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E25E76"/>
    <w:multiLevelType w:val="multilevel"/>
    <w:tmpl w:val="04130025"/>
    <w:lvl w:ilvl="0">
      <w:start w:val="1"/>
      <w:numFmt w:val="decimal"/>
      <w:lvlText w:val="%1"/>
      <w:lvlJc w:val="left"/>
      <w:pPr>
        <w:ind w:left="432" w:hanging="432"/>
      </w:pPr>
    </w:lvl>
    <w:lvl w:ilvl="1">
      <w:start w:val="1"/>
      <w:numFmt w:val="decimal"/>
      <w:lvlText w:val="%1.%2"/>
      <w:lvlJc w:val="left"/>
      <w:pPr>
        <w:ind w:left="111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7E357F34"/>
    <w:multiLevelType w:val="hybridMultilevel"/>
    <w:tmpl w:val="938610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3"/>
  </w:num>
  <w:num w:numId="2">
    <w:abstractNumId w:val="42"/>
  </w:num>
  <w:num w:numId="3">
    <w:abstractNumId w:val="1"/>
  </w:num>
  <w:num w:numId="4">
    <w:abstractNumId w:val="26"/>
  </w:num>
  <w:num w:numId="5">
    <w:abstractNumId w:val="27"/>
  </w:num>
  <w:num w:numId="6">
    <w:abstractNumId w:val="18"/>
  </w:num>
  <w:num w:numId="7">
    <w:abstractNumId w:val="15"/>
  </w:num>
  <w:num w:numId="8">
    <w:abstractNumId w:val="34"/>
  </w:num>
  <w:num w:numId="9">
    <w:abstractNumId w:val="6"/>
  </w:num>
  <w:num w:numId="10">
    <w:abstractNumId w:val="24"/>
  </w:num>
  <w:num w:numId="11">
    <w:abstractNumId w:val="7"/>
  </w:num>
  <w:num w:numId="12">
    <w:abstractNumId w:val="36"/>
  </w:num>
  <w:num w:numId="13">
    <w:abstractNumId w:val="39"/>
  </w:num>
  <w:num w:numId="14">
    <w:abstractNumId w:val="17"/>
  </w:num>
  <w:num w:numId="15">
    <w:abstractNumId w:val="0"/>
  </w:num>
  <w:num w:numId="16">
    <w:abstractNumId w:val="10"/>
  </w:num>
  <w:num w:numId="17">
    <w:abstractNumId w:val="19"/>
  </w:num>
  <w:num w:numId="18">
    <w:abstractNumId w:val="35"/>
  </w:num>
  <w:num w:numId="19">
    <w:abstractNumId w:val="22"/>
  </w:num>
  <w:num w:numId="20">
    <w:abstractNumId w:val="5"/>
  </w:num>
  <w:num w:numId="21">
    <w:abstractNumId w:val="38"/>
  </w:num>
  <w:num w:numId="22">
    <w:abstractNumId w:val="32"/>
  </w:num>
  <w:num w:numId="23">
    <w:abstractNumId w:val="29"/>
  </w:num>
  <w:num w:numId="24">
    <w:abstractNumId w:val="20"/>
  </w:num>
  <w:num w:numId="25">
    <w:abstractNumId w:val="44"/>
  </w:num>
  <w:num w:numId="26">
    <w:abstractNumId w:val="21"/>
  </w:num>
  <w:num w:numId="27">
    <w:abstractNumId w:val="2"/>
  </w:num>
  <w:num w:numId="28">
    <w:abstractNumId w:val="23"/>
  </w:num>
  <w:num w:numId="29">
    <w:abstractNumId w:val="25"/>
  </w:num>
  <w:num w:numId="30">
    <w:abstractNumId w:val="11"/>
  </w:num>
  <w:num w:numId="31">
    <w:abstractNumId w:val="12"/>
  </w:num>
  <w:num w:numId="32">
    <w:abstractNumId w:val="37"/>
  </w:num>
  <w:num w:numId="33">
    <w:abstractNumId w:val="28"/>
  </w:num>
  <w:num w:numId="34">
    <w:abstractNumId w:val="13"/>
  </w:num>
  <w:num w:numId="35">
    <w:abstractNumId w:val="3"/>
  </w:num>
  <w:num w:numId="36">
    <w:abstractNumId w:val="33"/>
  </w:num>
  <w:num w:numId="37">
    <w:abstractNumId w:val="14"/>
  </w:num>
  <w:num w:numId="38">
    <w:abstractNumId w:val="4"/>
  </w:num>
  <w:num w:numId="39">
    <w:abstractNumId w:val="40"/>
  </w:num>
  <w:num w:numId="40">
    <w:abstractNumId w:val="16"/>
  </w:num>
  <w:num w:numId="41">
    <w:abstractNumId w:val="30"/>
  </w:num>
  <w:num w:numId="42">
    <w:abstractNumId w:val="8"/>
  </w:num>
  <w:num w:numId="43">
    <w:abstractNumId w:val="41"/>
  </w:num>
  <w:num w:numId="44">
    <w:abstractNumId w:val="31"/>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C12"/>
    <w:rsid w:val="00823C12"/>
    <w:rsid w:val="00A2469D"/>
    <w:rsid w:val="00B3550D"/>
    <w:rsid w:val="00E51DC2"/>
    <w:rsid w:val="00FF52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8654F9-C79E-474A-8B61-C9649F50E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550D"/>
  </w:style>
  <w:style w:type="paragraph" w:styleId="Heading1">
    <w:name w:val="heading 1"/>
    <w:basedOn w:val="Normal"/>
    <w:next w:val="Normal"/>
    <w:link w:val="Heading1Char"/>
    <w:uiPriority w:val="9"/>
    <w:qFormat/>
    <w:rsid w:val="00B355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355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355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3550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3550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3550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3550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3550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3550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rsid w:val="00E51DC2"/>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E51DC2"/>
    <w:rPr>
      <w:rFonts w:ascii="Calibri" w:eastAsia="Times New Roman" w:hAnsi="Calibri" w:cs="Times New Roman"/>
      <w:sz w:val="20"/>
      <w:szCs w:val="20"/>
    </w:rPr>
  </w:style>
  <w:style w:type="character" w:customStyle="1" w:styleId="Heading1Char">
    <w:name w:val="Heading 1 Char"/>
    <w:basedOn w:val="DefaultParagraphFont"/>
    <w:link w:val="Heading1"/>
    <w:uiPriority w:val="9"/>
    <w:rsid w:val="00B3550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3550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3550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B3550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B3550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3550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3550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B3550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3550D"/>
    <w:rPr>
      <w:rFonts w:asciiTheme="majorHAnsi" w:eastAsiaTheme="majorEastAsia" w:hAnsiTheme="majorHAnsi" w:cstheme="majorBidi"/>
      <w:i/>
      <w:iCs/>
      <w:color w:val="272727" w:themeColor="text1" w:themeTint="D8"/>
      <w:sz w:val="21"/>
      <w:szCs w:val="21"/>
    </w:rPr>
  </w:style>
  <w:style w:type="paragraph" w:customStyle="1" w:styleId="Titel">
    <w:name w:val="Titel"/>
    <w:basedOn w:val="Normal"/>
    <w:link w:val="TitelChar"/>
    <w:rsid w:val="00B3550D"/>
    <w:pPr>
      <w:spacing w:after="200" w:line="276" w:lineRule="auto"/>
      <w:jc w:val="center"/>
    </w:pPr>
    <w:rPr>
      <w:rFonts w:ascii="Arial Narrow" w:hAnsi="Arial Narrow" w:cs="Arial"/>
      <w:b/>
      <w:sz w:val="32"/>
      <w:szCs w:val="32"/>
      <w:lang w:val="en-GB"/>
    </w:rPr>
  </w:style>
  <w:style w:type="character" w:customStyle="1" w:styleId="TitelChar">
    <w:name w:val="Titel Char"/>
    <w:basedOn w:val="DefaultParagraphFont"/>
    <w:link w:val="Titel"/>
    <w:rsid w:val="00B3550D"/>
    <w:rPr>
      <w:rFonts w:ascii="Arial Narrow" w:hAnsi="Arial Narrow" w:cs="Arial"/>
      <w:b/>
      <w:sz w:val="32"/>
      <w:szCs w:val="32"/>
      <w:lang w:val="en-GB"/>
    </w:rPr>
  </w:style>
  <w:style w:type="paragraph" w:customStyle="1" w:styleId="Hoofdstuk">
    <w:name w:val="Hoofdstuk"/>
    <w:basedOn w:val="Titel"/>
    <w:next w:val="Text"/>
    <w:link w:val="HoofdstukChar"/>
    <w:autoRedefine/>
    <w:rsid w:val="00B3550D"/>
    <w:pPr>
      <w:spacing w:line="480" w:lineRule="auto"/>
      <w:jc w:val="left"/>
    </w:pPr>
    <w:rPr>
      <w:noProof/>
      <w:lang w:val="en-US"/>
    </w:rPr>
  </w:style>
  <w:style w:type="paragraph" w:customStyle="1" w:styleId="Sectie">
    <w:name w:val="Sectie"/>
    <w:basedOn w:val="Hoofdstuk"/>
    <w:next w:val="Paragraaf"/>
    <w:link w:val="SectieChar"/>
    <w:rsid w:val="00B3550D"/>
    <w:pPr>
      <w:spacing w:line="360" w:lineRule="auto"/>
    </w:pPr>
    <w:rPr>
      <w:sz w:val="24"/>
      <w:szCs w:val="24"/>
    </w:rPr>
  </w:style>
  <w:style w:type="paragraph" w:customStyle="1" w:styleId="Paragraaf">
    <w:name w:val="Paragraaf"/>
    <w:basedOn w:val="Sectie"/>
    <w:next w:val="Text"/>
    <w:link w:val="ParagraafChar"/>
    <w:rsid w:val="00B3550D"/>
    <w:pPr>
      <w:spacing w:line="240" w:lineRule="auto"/>
    </w:pPr>
  </w:style>
  <w:style w:type="paragraph" w:customStyle="1" w:styleId="Text">
    <w:name w:val="Text"/>
    <w:basedOn w:val="NoSpacing"/>
    <w:link w:val="TextChar"/>
    <w:rsid w:val="00B3550D"/>
    <w:pPr>
      <w:jc w:val="both"/>
    </w:pPr>
    <w:rPr>
      <w:rFonts w:ascii="Times New Roman" w:hAnsi="Times New Roman" w:cs="Times New Roman"/>
    </w:rPr>
  </w:style>
  <w:style w:type="paragraph" w:styleId="NoSpacing">
    <w:name w:val="No Spacing"/>
    <w:link w:val="NoSpacingChar"/>
    <w:uiPriority w:val="1"/>
    <w:qFormat/>
    <w:rsid w:val="00B3550D"/>
    <w:pPr>
      <w:spacing w:after="0" w:line="240" w:lineRule="auto"/>
    </w:pPr>
  </w:style>
  <w:style w:type="character" w:customStyle="1" w:styleId="NoSpacingChar">
    <w:name w:val="No Spacing Char"/>
    <w:basedOn w:val="DefaultParagraphFont"/>
    <w:link w:val="NoSpacing"/>
    <w:uiPriority w:val="1"/>
    <w:rsid w:val="00B3550D"/>
  </w:style>
  <w:style w:type="character" w:customStyle="1" w:styleId="TextChar">
    <w:name w:val="Text Char"/>
    <w:basedOn w:val="NoSpacingChar"/>
    <w:link w:val="Text"/>
    <w:rsid w:val="00B3550D"/>
    <w:rPr>
      <w:rFonts w:ascii="Times New Roman" w:hAnsi="Times New Roman" w:cs="Times New Roman"/>
    </w:rPr>
  </w:style>
  <w:style w:type="character" w:customStyle="1" w:styleId="ParagraafChar">
    <w:name w:val="Paragraaf Char"/>
    <w:basedOn w:val="SectieChar"/>
    <w:link w:val="Paragraaf"/>
    <w:rsid w:val="00B3550D"/>
    <w:rPr>
      <w:rFonts w:ascii="Arial Narrow" w:hAnsi="Arial Narrow" w:cs="Arial"/>
      <w:b/>
      <w:noProof/>
      <w:sz w:val="24"/>
      <w:szCs w:val="24"/>
      <w:lang w:val="en-US"/>
    </w:rPr>
  </w:style>
  <w:style w:type="character" w:customStyle="1" w:styleId="SectieChar">
    <w:name w:val="Sectie Char"/>
    <w:basedOn w:val="HoofdstukChar"/>
    <w:link w:val="Sectie"/>
    <w:rsid w:val="00B3550D"/>
    <w:rPr>
      <w:rFonts w:ascii="Arial Narrow" w:hAnsi="Arial Narrow" w:cs="Arial"/>
      <w:b/>
      <w:noProof/>
      <w:sz w:val="24"/>
      <w:szCs w:val="24"/>
      <w:lang w:val="en-US"/>
    </w:rPr>
  </w:style>
  <w:style w:type="character" w:customStyle="1" w:styleId="HoofdstukChar">
    <w:name w:val="Hoofdstuk Char"/>
    <w:basedOn w:val="TitelChar"/>
    <w:link w:val="Hoofdstuk"/>
    <w:rsid w:val="00B3550D"/>
    <w:rPr>
      <w:rFonts w:ascii="Arial Narrow" w:hAnsi="Arial Narrow" w:cs="Arial"/>
      <w:b/>
      <w:noProof/>
      <w:sz w:val="32"/>
      <w:szCs w:val="32"/>
      <w:lang w:val="en-US"/>
    </w:rPr>
  </w:style>
  <w:style w:type="character" w:styleId="Hyperlink">
    <w:name w:val="Hyperlink"/>
    <w:basedOn w:val="DefaultParagraphFont"/>
    <w:uiPriority w:val="99"/>
    <w:unhideWhenUsed/>
    <w:rsid w:val="00B3550D"/>
    <w:rPr>
      <w:color w:val="0563C1" w:themeColor="hyperlink"/>
      <w:u w:val="single"/>
    </w:rPr>
  </w:style>
  <w:style w:type="paragraph" w:styleId="BalloonText">
    <w:name w:val="Balloon Text"/>
    <w:basedOn w:val="Normal"/>
    <w:link w:val="BalloonTextChar"/>
    <w:uiPriority w:val="99"/>
    <w:semiHidden/>
    <w:unhideWhenUsed/>
    <w:rsid w:val="00B3550D"/>
    <w:pPr>
      <w:spacing w:after="0" w:line="240" w:lineRule="auto"/>
    </w:pPr>
    <w:rPr>
      <w:rFonts w:ascii="Tahoma" w:hAnsi="Tahoma" w:cs="Tahoma"/>
      <w:sz w:val="16"/>
      <w:szCs w:val="16"/>
      <w:lang w:val="en-GB"/>
    </w:rPr>
  </w:style>
  <w:style w:type="character" w:customStyle="1" w:styleId="BalloonTextChar">
    <w:name w:val="Balloon Text Char"/>
    <w:basedOn w:val="DefaultParagraphFont"/>
    <w:link w:val="BalloonText"/>
    <w:uiPriority w:val="99"/>
    <w:semiHidden/>
    <w:rsid w:val="00B3550D"/>
    <w:rPr>
      <w:rFonts w:ascii="Tahoma" w:hAnsi="Tahoma" w:cs="Tahoma"/>
      <w:sz w:val="16"/>
      <w:szCs w:val="16"/>
      <w:lang w:val="en-GB"/>
    </w:rPr>
  </w:style>
  <w:style w:type="paragraph" w:styleId="Caption">
    <w:name w:val="caption"/>
    <w:basedOn w:val="Normal"/>
    <w:next w:val="Normal"/>
    <w:uiPriority w:val="35"/>
    <w:semiHidden/>
    <w:unhideWhenUsed/>
    <w:qFormat/>
    <w:rsid w:val="00B3550D"/>
    <w:pPr>
      <w:spacing w:after="200" w:line="240" w:lineRule="auto"/>
    </w:pPr>
    <w:rPr>
      <w:i/>
      <w:iCs/>
      <w:color w:val="44546A" w:themeColor="text2"/>
      <w:sz w:val="18"/>
      <w:szCs w:val="18"/>
    </w:rPr>
  </w:style>
  <w:style w:type="table" w:styleId="TableGrid">
    <w:name w:val="Table Grid"/>
    <w:basedOn w:val="TableNormal"/>
    <w:uiPriority w:val="59"/>
    <w:rsid w:val="00B35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3550D"/>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3550D"/>
    <w:rPr>
      <w:sz w:val="16"/>
      <w:szCs w:val="16"/>
    </w:rPr>
  </w:style>
  <w:style w:type="paragraph" w:customStyle="1" w:styleId="CommentText1">
    <w:name w:val="Comment Text1"/>
    <w:basedOn w:val="Normal"/>
    <w:next w:val="CommentText"/>
    <w:link w:val="CommentTextChar"/>
    <w:uiPriority w:val="99"/>
    <w:unhideWhenUsed/>
    <w:rsid w:val="00B3550D"/>
    <w:pPr>
      <w:spacing w:after="0" w:line="240" w:lineRule="auto"/>
    </w:pPr>
    <w:rPr>
      <w:sz w:val="20"/>
      <w:szCs w:val="20"/>
    </w:rPr>
  </w:style>
  <w:style w:type="paragraph" w:styleId="CommentText">
    <w:name w:val="annotation text"/>
    <w:basedOn w:val="Normal"/>
    <w:link w:val="CommentTextChar1"/>
    <w:uiPriority w:val="99"/>
    <w:unhideWhenUsed/>
    <w:rsid w:val="00B3550D"/>
    <w:pPr>
      <w:spacing w:after="200" w:line="240" w:lineRule="auto"/>
    </w:pPr>
    <w:rPr>
      <w:sz w:val="20"/>
      <w:szCs w:val="20"/>
      <w:lang w:val="en-GB"/>
    </w:rPr>
  </w:style>
  <w:style w:type="character" w:customStyle="1" w:styleId="CommentTextChar">
    <w:name w:val="Comment Text Char"/>
    <w:basedOn w:val="DefaultParagraphFont"/>
    <w:link w:val="CommentText1"/>
    <w:uiPriority w:val="99"/>
    <w:rsid w:val="00B3550D"/>
    <w:rPr>
      <w:sz w:val="20"/>
      <w:szCs w:val="20"/>
    </w:rPr>
  </w:style>
  <w:style w:type="character" w:customStyle="1" w:styleId="CommentTextChar1">
    <w:name w:val="Comment Text Char1"/>
    <w:basedOn w:val="DefaultParagraphFont"/>
    <w:link w:val="CommentText"/>
    <w:uiPriority w:val="99"/>
    <w:rsid w:val="00B3550D"/>
    <w:rPr>
      <w:sz w:val="20"/>
      <w:szCs w:val="20"/>
      <w:lang w:val="en-GB"/>
    </w:rPr>
  </w:style>
  <w:style w:type="table" w:customStyle="1" w:styleId="TableGrid2">
    <w:name w:val="Table Grid2"/>
    <w:basedOn w:val="TableNormal"/>
    <w:next w:val="TableGrid"/>
    <w:uiPriority w:val="59"/>
    <w:rsid w:val="00B355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B3550D"/>
    <w:pPr>
      <w:outlineLvl w:val="9"/>
    </w:pPr>
  </w:style>
  <w:style w:type="paragraph" w:styleId="TOC1">
    <w:name w:val="toc 1"/>
    <w:basedOn w:val="Normal"/>
    <w:next w:val="Normal"/>
    <w:autoRedefine/>
    <w:uiPriority w:val="39"/>
    <w:unhideWhenUsed/>
    <w:rsid w:val="00B3550D"/>
    <w:pPr>
      <w:spacing w:after="100" w:line="276" w:lineRule="auto"/>
    </w:pPr>
    <w:rPr>
      <w:lang w:val="en-GB"/>
    </w:rPr>
  </w:style>
  <w:style w:type="paragraph" w:styleId="TOC2">
    <w:name w:val="toc 2"/>
    <w:basedOn w:val="Normal"/>
    <w:next w:val="Normal"/>
    <w:autoRedefine/>
    <w:uiPriority w:val="39"/>
    <w:unhideWhenUsed/>
    <w:rsid w:val="00B3550D"/>
    <w:pPr>
      <w:spacing w:after="100" w:line="276" w:lineRule="auto"/>
      <w:ind w:left="220"/>
    </w:pPr>
    <w:rPr>
      <w:lang w:val="en-GB"/>
    </w:rPr>
  </w:style>
  <w:style w:type="paragraph" w:styleId="ListParagraph">
    <w:name w:val="List Paragraph"/>
    <w:basedOn w:val="Normal"/>
    <w:uiPriority w:val="34"/>
    <w:qFormat/>
    <w:rsid w:val="00B3550D"/>
    <w:pPr>
      <w:ind w:left="720"/>
      <w:contextualSpacing/>
    </w:pPr>
  </w:style>
  <w:style w:type="character" w:styleId="PlaceholderText">
    <w:name w:val="Placeholder Text"/>
    <w:basedOn w:val="DefaultParagraphFont"/>
    <w:uiPriority w:val="99"/>
    <w:semiHidden/>
    <w:rsid w:val="00B3550D"/>
    <w:rPr>
      <w:color w:val="808080"/>
    </w:rPr>
  </w:style>
  <w:style w:type="paragraph" w:styleId="TOC3">
    <w:name w:val="toc 3"/>
    <w:basedOn w:val="Normal"/>
    <w:next w:val="Normal"/>
    <w:autoRedefine/>
    <w:uiPriority w:val="39"/>
    <w:unhideWhenUsed/>
    <w:rsid w:val="00B3550D"/>
    <w:pPr>
      <w:spacing w:after="100" w:line="276" w:lineRule="auto"/>
      <w:ind w:left="440"/>
    </w:pPr>
    <w:rPr>
      <w:lang w:val="en-GB"/>
    </w:rPr>
  </w:style>
  <w:style w:type="character" w:styleId="FollowedHyperlink">
    <w:name w:val="FollowedHyperlink"/>
    <w:basedOn w:val="DefaultParagraphFont"/>
    <w:uiPriority w:val="99"/>
    <w:semiHidden/>
    <w:unhideWhenUsed/>
    <w:rsid w:val="00B3550D"/>
    <w:rPr>
      <w:color w:val="800080"/>
      <w:u w:val="single"/>
    </w:rPr>
  </w:style>
  <w:style w:type="paragraph" w:customStyle="1" w:styleId="xl74">
    <w:name w:val="xl74"/>
    <w:basedOn w:val="Normal"/>
    <w:rsid w:val="00B3550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5">
    <w:name w:val="xl75"/>
    <w:basedOn w:val="Normal"/>
    <w:rsid w:val="00B3550D"/>
    <w:pPr>
      <w:pBdr>
        <w:top w:val="double" w:sz="6" w:space="0" w:color="auto"/>
        <w:left w:val="double" w:sz="6" w:space="0" w:color="auto"/>
        <w:bottom w:val="double" w:sz="6"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en-GB" w:eastAsia="en-GB"/>
    </w:rPr>
  </w:style>
  <w:style w:type="paragraph" w:customStyle="1" w:styleId="xl76">
    <w:name w:val="xl76"/>
    <w:basedOn w:val="Normal"/>
    <w:rsid w:val="00B3550D"/>
    <w:pPr>
      <w:pBdr>
        <w:left w:val="double" w:sz="6"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val="en-GB" w:eastAsia="en-GB"/>
    </w:rPr>
  </w:style>
  <w:style w:type="paragraph" w:customStyle="1" w:styleId="xl77">
    <w:name w:val="xl77"/>
    <w:basedOn w:val="Normal"/>
    <w:rsid w:val="00B3550D"/>
    <w:pPr>
      <w:pBdr>
        <w:top w:val="double" w:sz="6" w:space="0" w:color="auto"/>
        <w:left w:val="double" w:sz="6" w:space="0" w:color="auto"/>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78">
    <w:name w:val="xl78"/>
    <w:basedOn w:val="Normal"/>
    <w:rsid w:val="00B3550D"/>
    <w:pP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79">
    <w:name w:val="xl79"/>
    <w:basedOn w:val="Normal"/>
    <w:rsid w:val="00B3550D"/>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80">
    <w:name w:val="xl80"/>
    <w:basedOn w:val="Normal"/>
    <w:rsid w:val="00B3550D"/>
    <w:pPr>
      <w:pBdr>
        <w:top w:val="double" w:sz="6" w:space="0" w:color="auto"/>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81">
    <w:name w:val="xl81"/>
    <w:basedOn w:val="Normal"/>
    <w:rsid w:val="00B3550D"/>
    <w:pPr>
      <w:pBdr>
        <w:top w:val="double" w:sz="6" w:space="0" w:color="auto"/>
        <w:right w:val="double" w:sz="6"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82">
    <w:name w:val="xl82"/>
    <w:basedOn w:val="Normal"/>
    <w:rsid w:val="00B3550D"/>
    <w:pPr>
      <w:pBdr>
        <w:top w:val="double" w:sz="6" w:space="0" w:color="auto"/>
        <w:left w:val="double" w:sz="6" w:space="0" w:color="auto"/>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83">
    <w:name w:val="xl83"/>
    <w:basedOn w:val="Normal"/>
    <w:rsid w:val="00B3550D"/>
    <w:pPr>
      <w:spacing w:before="100" w:beforeAutospacing="1" w:after="100" w:afterAutospacing="1" w:line="240" w:lineRule="auto"/>
    </w:pPr>
    <w:rPr>
      <w:rFonts w:ascii="Times New Roman" w:eastAsia="Times New Roman" w:hAnsi="Times New Roman" w:cs="Times New Roman"/>
      <w:sz w:val="20"/>
      <w:szCs w:val="20"/>
      <w:lang w:val="en-GB" w:eastAsia="en-GB"/>
    </w:rPr>
  </w:style>
  <w:style w:type="paragraph" w:customStyle="1" w:styleId="xl84">
    <w:name w:val="xl84"/>
    <w:basedOn w:val="Normal"/>
    <w:rsid w:val="00B3550D"/>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85">
    <w:name w:val="xl85"/>
    <w:basedOn w:val="Normal"/>
    <w:rsid w:val="00B3550D"/>
    <w:pPr>
      <w:pBdr>
        <w:left w:val="double" w:sz="6"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en-GB" w:eastAsia="en-GB"/>
    </w:rPr>
  </w:style>
  <w:style w:type="paragraph" w:customStyle="1" w:styleId="xl86">
    <w:name w:val="xl86"/>
    <w:basedOn w:val="Normal"/>
    <w:rsid w:val="00B3550D"/>
    <w:pPr>
      <w:pBdr>
        <w:left w:val="double" w:sz="6" w:space="0" w:color="auto"/>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87">
    <w:name w:val="xl87"/>
    <w:basedOn w:val="Normal"/>
    <w:rsid w:val="00B3550D"/>
    <w:pPr>
      <w:pBdr>
        <w:left w:val="single" w:sz="4" w:space="0" w:color="A6A6A6"/>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88">
    <w:name w:val="xl88"/>
    <w:basedOn w:val="Normal"/>
    <w:rsid w:val="00B3550D"/>
    <w:pPr>
      <w:pBdr>
        <w:left w:val="single" w:sz="4" w:space="0" w:color="auto"/>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89">
    <w:name w:val="xl89"/>
    <w:basedOn w:val="Normal"/>
    <w:rsid w:val="00B3550D"/>
    <w:pPr>
      <w:pBdr>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90">
    <w:name w:val="xl90"/>
    <w:basedOn w:val="Normal"/>
    <w:rsid w:val="00B3550D"/>
    <w:pPr>
      <w:pBdr>
        <w:right w:val="double" w:sz="6"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91">
    <w:name w:val="xl91"/>
    <w:basedOn w:val="Normal"/>
    <w:rsid w:val="00B3550D"/>
    <w:pPr>
      <w:pBdr>
        <w:left w:val="double" w:sz="6" w:space="0" w:color="auto"/>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92">
    <w:name w:val="xl92"/>
    <w:basedOn w:val="Normal"/>
    <w:rsid w:val="00B3550D"/>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93">
    <w:name w:val="xl93"/>
    <w:basedOn w:val="Normal"/>
    <w:rsid w:val="00B3550D"/>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94">
    <w:name w:val="xl94"/>
    <w:basedOn w:val="Normal"/>
    <w:rsid w:val="00B3550D"/>
    <w:pPr>
      <w:pBdr>
        <w:left w:val="double" w:sz="6" w:space="0" w:color="auto"/>
        <w:bottom w:val="double" w:sz="6"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en-GB" w:eastAsia="en-GB"/>
    </w:rPr>
  </w:style>
  <w:style w:type="paragraph" w:customStyle="1" w:styleId="xl95">
    <w:name w:val="xl95"/>
    <w:basedOn w:val="Normal"/>
    <w:rsid w:val="00B3550D"/>
    <w:pPr>
      <w:pBdr>
        <w:left w:val="double" w:sz="6" w:space="0" w:color="auto"/>
        <w:bottom w:val="double" w:sz="6" w:space="0" w:color="auto"/>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96">
    <w:name w:val="xl96"/>
    <w:basedOn w:val="Normal"/>
    <w:rsid w:val="00B3550D"/>
    <w:pPr>
      <w:pBdr>
        <w:left w:val="single" w:sz="4" w:space="0" w:color="A6A6A6"/>
        <w:bottom w:val="double" w:sz="6" w:space="0" w:color="auto"/>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97">
    <w:name w:val="xl97"/>
    <w:basedOn w:val="Normal"/>
    <w:rsid w:val="00B3550D"/>
    <w:pPr>
      <w:pBdr>
        <w:bottom w:val="double" w:sz="6"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98">
    <w:name w:val="xl98"/>
    <w:basedOn w:val="Normal"/>
    <w:rsid w:val="00B3550D"/>
    <w:pPr>
      <w:pBdr>
        <w:left w:val="single" w:sz="4" w:space="0" w:color="auto"/>
        <w:bottom w:val="double" w:sz="6" w:space="0" w:color="auto"/>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99">
    <w:name w:val="xl99"/>
    <w:basedOn w:val="Normal"/>
    <w:rsid w:val="00B3550D"/>
    <w:pPr>
      <w:pBdr>
        <w:bottom w:val="double" w:sz="6" w:space="0" w:color="auto"/>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00">
    <w:name w:val="xl100"/>
    <w:basedOn w:val="Normal"/>
    <w:rsid w:val="00B3550D"/>
    <w:pPr>
      <w:pBdr>
        <w:bottom w:val="double" w:sz="6" w:space="0" w:color="auto"/>
        <w:right w:val="double" w:sz="6"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01">
    <w:name w:val="xl101"/>
    <w:basedOn w:val="Normal"/>
    <w:rsid w:val="00B3550D"/>
    <w:pPr>
      <w:pBdr>
        <w:left w:val="double" w:sz="6" w:space="0" w:color="auto"/>
        <w:bottom w:val="double" w:sz="6" w:space="0" w:color="auto"/>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02">
    <w:name w:val="xl102"/>
    <w:basedOn w:val="Normal"/>
    <w:rsid w:val="00B3550D"/>
    <w:pPr>
      <w:pBdr>
        <w:bottom w:val="double" w:sz="6"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03">
    <w:name w:val="xl103"/>
    <w:basedOn w:val="Normal"/>
    <w:rsid w:val="00B3550D"/>
    <w:pPr>
      <w:pBdr>
        <w:left w:val="single" w:sz="4" w:space="0" w:color="auto"/>
        <w:bottom w:val="double" w:sz="6"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04">
    <w:name w:val="xl104"/>
    <w:basedOn w:val="Normal"/>
    <w:rsid w:val="00B3550D"/>
    <w:pPr>
      <w:pBdr>
        <w:left w:val="double" w:sz="6" w:space="0" w:color="auto"/>
        <w:right w:val="single" w:sz="4" w:space="0" w:color="A6A6A6"/>
      </w:pBdr>
      <w:spacing w:before="100" w:beforeAutospacing="1" w:after="100" w:afterAutospacing="1" w:line="240" w:lineRule="auto"/>
    </w:pPr>
    <w:rPr>
      <w:rFonts w:ascii="Times New Roman" w:eastAsia="Times New Roman" w:hAnsi="Times New Roman" w:cs="Times New Roman"/>
      <w:sz w:val="20"/>
      <w:szCs w:val="20"/>
      <w:lang w:val="en-GB" w:eastAsia="en-GB"/>
    </w:rPr>
  </w:style>
  <w:style w:type="paragraph" w:customStyle="1" w:styleId="xl105">
    <w:name w:val="xl105"/>
    <w:basedOn w:val="Normal"/>
    <w:rsid w:val="00B3550D"/>
    <w:pPr>
      <w:pBdr>
        <w:left w:val="double" w:sz="6" w:space="0" w:color="auto"/>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06">
    <w:name w:val="xl106"/>
    <w:basedOn w:val="Normal"/>
    <w:rsid w:val="00B3550D"/>
    <w:pPr>
      <w:pBdr>
        <w:left w:val="double" w:sz="6" w:space="0" w:color="auto"/>
        <w:bottom w:val="single" w:sz="4"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en-GB" w:eastAsia="en-GB"/>
    </w:rPr>
  </w:style>
  <w:style w:type="paragraph" w:customStyle="1" w:styleId="xl107">
    <w:name w:val="xl107"/>
    <w:basedOn w:val="Normal"/>
    <w:rsid w:val="00B3550D"/>
    <w:pPr>
      <w:pBdr>
        <w:left w:val="double" w:sz="6" w:space="0" w:color="auto"/>
        <w:bottom w:val="single" w:sz="4" w:space="0" w:color="auto"/>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08">
    <w:name w:val="xl108"/>
    <w:basedOn w:val="Normal"/>
    <w:rsid w:val="00B3550D"/>
    <w:pPr>
      <w:pBdr>
        <w:left w:val="single" w:sz="4" w:space="0" w:color="A6A6A6"/>
        <w:bottom w:val="single" w:sz="4" w:space="0" w:color="auto"/>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09">
    <w:name w:val="xl109"/>
    <w:basedOn w:val="Normal"/>
    <w:rsid w:val="00B3550D"/>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10">
    <w:name w:val="xl110"/>
    <w:basedOn w:val="Normal"/>
    <w:rsid w:val="00B3550D"/>
    <w:pPr>
      <w:pBdr>
        <w:left w:val="single" w:sz="4" w:space="0" w:color="auto"/>
        <w:bottom w:val="single" w:sz="4" w:space="0" w:color="auto"/>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11">
    <w:name w:val="xl111"/>
    <w:basedOn w:val="Normal"/>
    <w:rsid w:val="00B3550D"/>
    <w:pPr>
      <w:pBdr>
        <w:bottom w:val="single" w:sz="4" w:space="0" w:color="auto"/>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12">
    <w:name w:val="xl112"/>
    <w:basedOn w:val="Normal"/>
    <w:rsid w:val="00B3550D"/>
    <w:pPr>
      <w:pBdr>
        <w:bottom w:val="single" w:sz="4" w:space="0" w:color="auto"/>
        <w:right w:val="double" w:sz="6"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13">
    <w:name w:val="xl113"/>
    <w:basedOn w:val="Normal"/>
    <w:rsid w:val="00B3550D"/>
    <w:pPr>
      <w:pBdr>
        <w:left w:val="double" w:sz="6" w:space="0" w:color="auto"/>
        <w:bottom w:val="single" w:sz="4" w:space="0" w:color="auto"/>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14">
    <w:name w:val="xl114"/>
    <w:basedOn w:val="Normal"/>
    <w:rsid w:val="00B3550D"/>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15">
    <w:name w:val="xl115"/>
    <w:basedOn w:val="Normal"/>
    <w:rsid w:val="00B3550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16">
    <w:name w:val="xl116"/>
    <w:basedOn w:val="Normal"/>
    <w:rsid w:val="00B3550D"/>
    <w:pPr>
      <w:pBdr>
        <w:top w:val="single" w:sz="4" w:space="0" w:color="auto"/>
        <w:left w:val="double" w:sz="6"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val="en-GB" w:eastAsia="en-GB"/>
    </w:rPr>
  </w:style>
  <w:style w:type="paragraph" w:customStyle="1" w:styleId="xl117">
    <w:name w:val="xl117"/>
    <w:basedOn w:val="Normal"/>
    <w:rsid w:val="00B3550D"/>
    <w:pPr>
      <w:pBdr>
        <w:top w:val="single" w:sz="4" w:space="0" w:color="auto"/>
        <w:left w:val="double" w:sz="6" w:space="0" w:color="auto"/>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18">
    <w:name w:val="xl118"/>
    <w:basedOn w:val="Normal"/>
    <w:rsid w:val="00B3550D"/>
    <w:pPr>
      <w:pBdr>
        <w:top w:val="single" w:sz="4" w:space="0" w:color="auto"/>
        <w:left w:val="single" w:sz="4" w:space="0" w:color="A6A6A6"/>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19">
    <w:name w:val="xl119"/>
    <w:basedOn w:val="Normal"/>
    <w:rsid w:val="00B3550D"/>
    <w:pPr>
      <w:pBdr>
        <w:top w:val="single" w:sz="4" w:space="0" w:color="auto"/>
        <w:left w:val="single" w:sz="4" w:space="0" w:color="auto"/>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20">
    <w:name w:val="xl120"/>
    <w:basedOn w:val="Normal"/>
    <w:rsid w:val="00B3550D"/>
    <w:pPr>
      <w:pBdr>
        <w:top w:val="single" w:sz="4" w:space="0" w:color="auto"/>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21">
    <w:name w:val="xl121"/>
    <w:basedOn w:val="Normal"/>
    <w:rsid w:val="00B3550D"/>
    <w:pPr>
      <w:pBdr>
        <w:top w:val="single" w:sz="4" w:space="0" w:color="auto"/>
        <w:right w:val="double" w:sz="6"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22">
    <w:name w:val="xl122"/>
    <w:basedOn w:val="Normal"/>
    <w:rsid w:val="00B3550D"/>
    <w:pPr>
      <w:pBdr>
        <w:top w:val="double" w:sz="6"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23">
    <w:name w:val="xl123"/>
    <w:basedOn w:val="Normal"/>
    <w:rsid w:val="00B3550D"/>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24">
    <w:name w:val="xl124"/>
    <w:basedOn w:val="Normal"/>
    <w:rsid w:val="00B3550D"/>
    <w:pPr>
      <w:pBdr>
        <w:top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25">
    <w:name w:val="xl125"/>
    <w:basedOn w:val="Normal"/>
    <w:rsid w:val="00B3550D"/>
    <w:pPr>
      <w:pBdr>
        <w:top w:val="double" w:sz="6" w:space="0" w:color="auto"/>
        <w:left w:val="double" w:sz="6"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val="en-GB" w:eastAsia="en-GB"/>
    </w:rPr>
  </w:style>
  <w:style w:type="paragraph" w:customStyle="1" w:styleId="xl126">
    <w:name w:val="xl126"/>
    <w:basedOn w:val="Normal"/>
    <w:rsid w:val="00B3550D"/>
    <w:pPr>
      <w:pBdr>
        <w:top w:val="double" w:sz="6" w:space="0" w:color="auto"/>
        <w:left w:val="single" w:sz="4" w:space="0" w:color="A6A6A6"/>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27">
    <w:name w:val="xl127"/>
    <w:basedOn w:val="Normal"/>
    <w:rsid w:val="00B3550D"/>
    <w:pPr>
      <w:pBdr>
        <w:top w:val="double" w:sz="6"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28">
    <w:name w:val="xl128"/>
    <w:basedOn w:val="Normal"/>
    <w:rsid w:val="00B3550D"/>
    <w:pPr>
      <w:pBdr>
        <w:top w:val="double" w:sz="6" w:space="0" w:color="auto"/>
        <w:left w:val="single" w:sz="4" w:space="0" w:color="auto"/>
        <w:right w:val="single" w:sz="4" w:space="0" w:color="A6A6A6"/>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29">
    <w:name w:val="xl129"/>
    <w:basedOn w:val="Normal"/>
    <w:rsid w:val="00B3550D"/>
    <w:pPr>
      <w:pBdr>
        <w:top w:val="double" w:sz="6"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30">
    <w:name w:val="xl130"/>
    <w:basedOn w:val="Normal"/>
    <w:rsid w:val="00B3550D"/>
    <w:pPr>
      <w:pBdr>
        <w:left w:val="double" w:sz="6" w:space="0" w:color="auto"/>
        <w:bottom w:val="double" w:sz="6"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val="en-GB" w:eastAsia="en-GB"/>
    </w:rPr>
  </w:style>
  <w:style w:type="paragraph" w:customStyle="1" w:styleId="xl131">
    <w:name w:val="xl131"/>
    <w:basedOn w:val="Normal"/>
    <w:rsid w:val="00B3550D"/>
    <w:pPr>
      <w:pBdr>
        <w:bottom w:val="double" w:sz="6"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n-GB" w:eastAsia="en-GB"/>
    </w:rPr>
  </w:style>
  <w:style w:type="paragraph" w:customStyle="1" w:styleId="xl132">
    <w:name w:val="xl132"/>
    <w:basedOn w:val="Normal"/>
    <w:rsid w:val="00B3550D"/>
    <w:pPr>
      <w:pBdr>
        <w:top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33">
    <w:name w:val="xl133"/>
    <w:basedOn w:val="Normal"/>
    <w:rsid w:val="00B3550D"/>
    <w:pPr>
      <w:pBdr>
        <w:top w:val="double" w:sz="6"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GB" w:eastAsia="en-GB"/>
    </w:rPr>
  </w:style>
  <w:style w:type="paragraph" w:customStyle="1" w:styleId="xl134">
    <w:name w:val="xl134"/>
    <w:basedOn w:val="Normal"/>
    <w:rsid w:val="00B3550D"/>
    <w:pPr>
      <w:pBdr>
        <w:top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GB" w:eastAsia="en-GB"/>
    </w:rPr>
  </w:style>
  <w:style w:type="paragraph" w:customStyle="1" w:styleId="xl135">
    <w:name w:val="xl135"/>
    <w:basedOn w:val="Normal"/>
    <w:rsid w:val="00B3550D"/>
    <w:pPr>
      <w:pBdr>
        <w:top w:val="double" w:sz="6"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GB" w:eastAsia="en-GB"/>
    </w:rPr>
  </w:style>
  <w:style w:type="paragraph" w:customStyle="1" w:styleId="xl136">
    <w:name w:val="xl136"/>
    <w:basedOn w:val="Normal"/>
    <w:rsid w:val="00B3550D"/>
    <w:pPr>
      <w:pBdr>
        <w:top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GB" w:eastAsia="en-GB"/>
    </w:rPr>
  </w:style>
  <w:style w:type="paragraph" w:customStyle="1" w:styleId="xl137">
    <w:name w:val="xl137"/>
    <w:basedOn w:val="Normal"/>
    <w:rsid w:val="00B3550D"/>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GB" w:eastAsia="en-GB"/>
    </w:rPr>
  </w:style>
  <w:style w:type="paragraph" w:customStyle="1" w:styleId="xl138">
    <w:name w:val="xl138"/>
    <w:basedOn w:val="Normal"/>
    <w:rsid w:val="00B3550D"/>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GB" w:eastAsia="en-GB"/>
    </w:rPr>
  </w:style>
  <w:style w:type="paragraph" w:customStyle="1" w:styleId="xl139">
    <w:name w:val="xl139"/>
    <w:basedOn w:val="Normal"/>
    <w:rsid w:val="00B3550D"/>
    <w:pPr>
      <w:pBdr>
        <w:top w:val="double" w:sz="6" w:space="0" w:color="auto"/>
        <w:left w:val="single" w:sz="4" w:space="0" w:color="auto"/>
        <w:right w:val="double" w:sz="6"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40">
    <w:name w:val="xl140"/>
    <w:basedOn w:val="Normal"/>
    <w:rsid w:val="00B3550D"/>
    <w:pPr>
      <w:pBdr>
        <w:left w:val="single" w:sz="4" w:space="0" w:color="auto"/>
        <w:right w:val="double" w:sz="6"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41">
    <w:name w:val="xl141"/>
    <w:basedOn w:val="Normal"/>
    <w:rsid w:val="00B3550D"/>
    <w:pPr>
      <w:pBdr>
        <w:left w:val="single" w:sz="4" w:space="0" w:color="auto"/>
        <w:bottom w:val="double" w:sz="6" w:space="0" w:color="auto"/>
        <w:right w:val="double" w:sz="6"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42">
    <w:name w:val="xl142"/>
    <w:basedOn w:val="Normal"/>
    <w:rsid w:val="00B3550D"/>
    <w:pPr>
      <w:pBdr>
        <w:left w:val="single" w:sz="4" w:space="0" w:color="auto"/>
        <w:bottom w:val="single" w:sz="4" w:space="0" w:color="auto"/>
        <w:right w:val="double" w:sz="6"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43">
    <w:name w:val="xl143"/>
    <w:basedOn w:val="Normal"/>
    <w:rsid w:val="00B3550D"/>
    <w:pPr>
      <w:pBdr>
        <w:left w:val="single" w:sz="4" w:space="0" w:color="auto"/>
        <w:right w:val="double" w:sz="6"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44">
    <w:name w:val="xl144"/>
    <w:basedOn w:val="Normal"/>
    <w:rsid w:val="00B3550D"/>
    <w:pPr>
      <w:pBdr>
        <w:left w:val="single" w:sz="4" w:space="0" w:color="auto"/>
        <w:right w:val="double" w:sz="6"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145">
    <w:name w:val="xl145"/>
    <w:basedOn w:val="Normal"/>
    <w:rsid w:val="00B3550D"/>
    <w:pPr>
      <w:pBdr>
        <w:left w:val="single" w:sz="4" w:space="0" w:color="auto"/>
        <w:right w:val="double" w:sz="6"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46">
    <w:name w:val="xl146"/>
    <w:basedOn w:val="Normal"/>
    <w:rsid w:val="00B3550D"/>
    <w:pPr>
      <w:pBdr>
        <w:left w:val="single" w:sz="4" w:space="0" w:color="auto"/>
        <w:right w:val="double" w:sz="6"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47">
    <w:name w:val="xl147"/>
    <w:basedOn w:val="Normal"/>
    <w:rsid w:val="00B3550D"/>
    <w:pPr>
      <w:pBdr>
        <w:top w:val="single" w:sz="4" w:space="0" w:color="auto"/>
        <w:left w:val="single" w:sz="4" w:space="0" w:color="auto"/>
        <w:right w:val="double" w:sz="6"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48">
    <w:name w:val="xl148"/>
    <w:basedOn w:val="Normal"/>
    <w:rsid w:val="00B3550D"/>
    <w:pPr>
      <w:pBdr>
        <w:left w:val="single" w:sz="4" w:space="0" w:color="auto"/>
        <w:bottom w:val="double" w:sz="6"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49">
    <w:name w:val="xl149"/>
    <w:basedOn w:val="Normal"/>
    <w:rsid w:val="00B3550D"/>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50">
    <w:name w:val="xl150"/>
    <w:basedOn w:val="Normal"/>
    <w:rsid w:val="00B3550D"/>
    <w:pP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52">
    <w:name w:val="xl152"/>
    <w:basedOn w:val="Normal"/>
    <w:rsid w:val="00B3550D"/>
    <w:pP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customStyle="1" w:styleId="xl153">
    <w:name w:val="xl153"/>
    <w:basedOn w:val="Normal"/>
    <w:rsid w:val="00B3550D"/>
    <w:pPr>
      <w:spacing w:before="100" w:beforeAutospacing="1" w:after="100" w:afterAutospacing="1" w:line="240" w:lineRule="auto"/>
      <w:jc w:val="right"/>
      <w:textAlignment w:val="top"/>
    </w:pPr>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B3550D"/>
    <w:rPr>
      <w:b/>
      <w:bCs/>
    </w:rPr>
  </w:style>
  <w:style w:type="character" w:customStyle="1" w:styleId="CommentSubjectChar">
    <w:name w:val="Comment Subject Char"/>
    <w:basedOn w:val="CommentTextChar"/>
    <w:link w:val="CommentSubject"/>
    <w:uiPriority w:val="99"/>
    <w:semiHidden/>
    <w:rsid w:val="00B3550D"/>
    <w:rPr>
      <w:b/>
      <w:bCs/>
      <w:sz w:val="20"/>
      <w:szCs w:val="20"/>
      <w:lang w:val="en-GB"/>
    </w:rPr>
  </w:style>
  <w:style w:type="paragraph" w:styleId="Revision">
    <w:name w:val="Revision"/>
    <w:hidden/>
    <w:uiPriority w:val="99"/>
    <w:semiHidden/>
    <w:rsid w:val="00B3550D"/>
    <w:pPr>
      <w:spacing w:after="0" w:line="240" w:lineRule="auto"/>
    </w:pPr>
    <w:rPr>
      <w:lang w:val="en-GB"/>
    </w:rPr>
  </w:style>
  <w:style w:type="table" w:customStyle="1" w:styleId="TableGrid11">
    <w:name w:val="Table Grid11"/>
    <w:basedOn w:val="TableNormal"/>
    <w:next w:val="TableGrid"/>
    <w:uiPriority w:val="39"/>
    <w:rsid w:val="00B3550D"/>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B3550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3-Accent1">
    <w:name w:val="List Table 3 Accent 1"/>
    <w:basedOn w:val="TableNormal"/>
    <w:uiPriority w:val="48"/>
    <w:rsid w:val="00B3550D"/>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4-Accent1">
    <w:name w:val="List Table 4 Accent 1"/>
    <w:basedOn w:val="TableNormal"/>
    <w:uiPriority w:val="49"/>
    <w:rsid w:val="00B3550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B3550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EndNoteBibliographyTitle">
    <w:name w:val="EndNote Bibliography Title"/>
    <w:basedOn w:val="Normal"/>
    <w:link w:val="EndNoteBibliographyTitleChar"/>
    <w:rsid w:val="00B3550D"/>
    <w:pPr>
      <w:spacing w:after="0" w:line="276" w:lineRule="auto"/>
      <w:jc w:val="center"/>
    </w:pPr>
    <w:rPr>
      <w:rFonts w:ascii="Calibri" w:hAnsi="Calibri" w:cs="Calibri"/>
      <w:noProof/>
      <w:lang w:val="en-US"/>
    </w:rPr>
  </w:style>
  <w:style w:type="character" w:customStyle="1" w:styleId="EndNoteBibliographyTitleChar">
    <w:name w:val="EndNote Bibliography Title Char"/>
    <w:basedOn w:val="TextChar"/>
    <w:link w:val="EndNoteBibliographyTitle"/>
    <w:rsid w:val="00B3550D"/>
    <w:rPr>
      <w:rFonts w:ascii="Calibri" w:hAnsi="Calibri" w:cs="Calibri"/>
      <w:noProof/>
      <w:lang w:val="en-US"/>
    </w:rPr>
  </w:style>
  <w:style w:type="paragraph" w:customStyle="1" w:styleId="EndNoteBibliography">
    <w:name w:val="EndNote Bibliography"/>
    <w:basedOn w:val="Normal"/>
    <w:link w:val="EndNoteBibliographyChar"/>
    <w:rsid w:val="00B3550D"/>
    <w:pPr>
      <w:spacing w:after="200" w:line="240" w:lineRule="auto"/>
      <w:jc w:val="both"/>
    </w:pPr>
    <w:rPr>
      <w:rFonts w:ascii="Calibri" w:hAnsi="Calibri" w:cs="Calibri"/>
      <w:noProof/>
      <w:lang w:val="en-US"/>
    </w:rPr>
  </w:style>
  <w:style w:type="character" w:customStyle="1" w:styleId="EndNoteBibliographyChar">
    <w:name w:val="EndNote Bibliography Char"/>
    <w:basedOn w:val="TextChar"/>
    <w:link w:val="EndNoteBibliography"/>
    <w:rsid w:val="00B3550D"/>
    <w:rPr>
      <w:rFonts w:ascii="Calibri" w:hAnsi="Calibri" w:cs="Calibri"/>
      <w:noProof/>
      <w:lang w:val="en-US"/>
    </w:rPr>
  </w:style>
  <w:style w:type="paragraph" w:styleId="Header">
    <w:name w:val="header"/>
    <w:basedOn w:val="Normal"/>
    <w:link w:val="HeaderChar"/>
    <w:uiPriority w:val="99"/>
    <w:unhideWhenUsed/>
    <w:rsid w:val="00B355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B3550D"/>
  </w:style>
  <w:style w:type="paragraph" w:styleId="Footer">
    <w:name w:val="footer"/>
    <w:basedOn w:val="Normal"/>
    <w:link w:val="FooterChar"/>
    <w:uiPriority w:val="99"/>
    <w:unhideWhenUsed/>
    <w:rsid w:val="00B355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550D"/>
  </w:style>
  <w:style w:type="paragraph" w:customStyle="1" w:styleId="Default">
    <w:name w:val="Default"/>
    <w:rsid w:val="00B3550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basedOn w:val="Normal"/>
    <w:rsid w:val="00B3550D"/>
    <w:pPr>
      <w:spacing w:before="120" w:after="0" w:line="280" w:lineRule="exact"/>
      <w:jc w:val="both"/>
    </w:pPr>
    <w:rPr>
      <w:rFonts w:ascii="Times" w:eastAsia="Times New Roman" w:hAnsi="Times" w:cs="Times New Roman"/>
      <w:sz w:val="24"/>
      <w:szCs w:val="20"/>
      <w:lang w:val="en-US"/>
    </w:rPr>
  </w:style>
  <w:style w:type="paragraph" w:customStyle="1" w:styleId="References">
    <w:name w:val="References"/>
    <w:basedOn w:val="Body"/>
    <w:rsid w:val="00B3550D"/>
    <w:pPr>
      <w:spacing w:before="60" w:after="20" w:line="220" w:lineRule="exact"/>
      <w:ind w:firstLine="270"/>
    </w:pPr>
    <w:rPr>
      <w:sz w:val="20"/>
    </w:rPr>
  </w:style>
  <w:style w:type="paragraph" w:customStyle="1" w:styleId="ReferenceHeader">
    <w:name w:val="Reference Header"/>
    <w:basedOn w:val="Body"/>
    <w:rsid w:val="00B3550D"/>
    <w:rPr>
      <w:i/>
      <w:u w:val="single"/>
    </w:rPr>
  </w:style>
  <w:style w:type="paragraph" w:styleId="EndnoteText">
    <w:name w:val="endnote text"/>
    <w:basedOn w:val="Normal"/>
    <w:link w:val="EndnoteTextChar"/>
    <w:uiPriority w:val="99"/>
    <w:semiHidden/>
    <w:unhideWhenUsed/>
    <w:rsid w:val="00B3550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3550D"/>
    <w:rPr>
      <w:sz w:val="20"/>
      <w:szCs w:val="20"/>
    </w:rPr>
  </w:style>
  <w:style w:type="character" w:styleId="EndnoteReference">
    <w:name w:val="endnote reference"/>
    <w:basedOn w:val="DefaultParagraphFont"/>
    <w:uiPriority w:val="99"/>
    <w:semiHidden/>
    <w:unhideWhenUsed/>
    <w:rsid w:val="00B3550D"/>
    <w:rPr>
      <w:vertAlign w:val="superscript"/>
    </w:rPr>
  </w:style>
  <w:style w:type="character" w:styleId="FootnoteReference">
    <w:name w:val="footnote reference"/>
    <w:basedOn w:val="DefaultParagraphFont"/>
    <w:uiPriority w:val="99"/>
    <w:semiHidden/>
    <w:unhideWhenUsed/>
    <w:rsid w:val="00B3550D"/>
    <w:rPr>
      <w:vertAlign w:val="superscript"/>
    </w:rPr>
  </w:style>
  <w:style w:type="table" w:styleId="ListTable3-Accent5">
    <w:name w:val="List Table 3 Accent 5"/>
    <w:basedOn w:val="TableNormal"/>
    <w:uiPriority w:val="48"/>
    <w:rsid w:val="00B3550D"/>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styleId="Title">
    <w:name w:val="Title"/>
    <w:basedOn w:val="Normal"/>
    <w:next w:val="Normal"/>
    <w:link w:val="TitleChar"/>
    <w:uiPriority w:val="10"/>
    <w:qFormat/>
    <w:rsid w:val="00B3550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55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550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3550D"/>
    <w:rPr>
      <w:rFonts w:eastAsiaTheme="minorEastAsia"/>
      <w:color w:val="5A5A5A" w:themeColor="text1" w:themeTint="A5"/>
      <w:spacing w:val="15"/>
    </w:rPr>
  </w:style>
  <w:style w:type="character" w:styleId="Strong">
    <w:name w:val="Strong"/>
    <w:basedOn w:val="DefaultParagraphFont"/>
    <w:uiPriority w:val="22"/>
    <w:qFormat/>
    <w:rsid w:val="00B3550D"/>
    <w:rPr>
      <w:b/>
      <w:bCs/>
    </w:rPr>
  </w:style>
  <w:style w:type="character" w:styleId="Emphasis">
    <w:name w:val="Emphasis"/>
    <w:basedOn w:val="DefaultParagraphFont"/>
    <w:uiPriority w:val="20"/>
    <w:qFormat/>
    <w:rsid w:val="00B3550D"/>
    <w:rPr>
      <w:i/>
      <w:iCs/>
    </w:rPr>
  </w:style>
  <w:style w:type="paragraph" w:styleId="Quote">
    <w:name w:val="Quote"/>
    <w:basedOn w:val="Normal"/>
    <w:next w:val="Normal"/>
    <w:link w:val="QuoteChar"/>
    <w:uiPriority w:val="29"/>
    <w:qFormat/>
    <w:rsid w:val="00B3550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3550D"/>
    <w:rPr>
      <w:i/>
      <w:iCs/>
      <w:color w:val="404040" w:themeColor="text1" w:themeTint="BF"/>
    </w:rPr>
  </w:style>
  <w:style w:type="paragraph" w:styleId="IntenseQuote">
    <w:name w:val="Intense Quote"/>
    <w:basedOn w:val="Normal"/>
    <w:next w:val="Normal"/>
    <w:link w:val="IntenseQuoteChar"/>
    <w:uiPriority w:val="30"/>
    <w:qFormat/>
    <w:rsid w:val="00B3550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3550D"/>
    <w:rPr>
      <w:i/>
      <w:iCs/>
      <w:color w:val="4472C4" w:themeColor="accent1"/>
    </w:rPr>
  </w:style>
  <w:style w:type="character" w:styleId="SubtleEmphasis">
    <w:name w:val="Subtle Emphasis"/>
    <w:basedOn w:val="DefaultParagraphFont"/>
    <w:uiPriority w:val="19"/>
    <w:qFormat/>
    <w:rsid w:val="00B3550D"/>
    <w:rPr>
      <w:i/>
      <w:iCs/>
      <w:color w:val="404040" w:themeColor="text1" w:themeTint="BF"/>
    </w:rPr>
  </w:style>
  <w:style w:type="character" w:styleId="IntenseEmphasis">
    <w:name w:val="Intense Emphasis"/>
    <w:basedOn w:val="DefaultParagraphFont"/>
    <w:uiPriority w:val="21"/>
    <w:qFormat/>
    <w:rsid w:val="00B3550D"/>
    <w:rPr>
      <w:i/>
      <w:iCs/>
      <w:color w:val="4472C4" w:themeColor="accent1"/>
    </w:rPr>
  </w:style>
  <w:style w:type="character" w:styleId="SubtleReference">
    <w:name w:val="Subtle Reference"/>
    <w:basedOn w:val="DefaultParagraphFont"/>
    <w:uiPriority w:val="31"/>
    <w:qFormat/>
    <w:rsid w:val="00B3550D"/>
    <w:rPr>
      <w:smallCaps/>
      <w:color w:val="5A5A5A" w:themeColor="text1" w:themeTint="A5"/>
    </w:rPr>
  </w:style>
  <w:style w:type="character" w:styleId="IntenseReference">
    <w:name w:val="Intense Reference"/>
    <w:basedOn w:val="DefaultParagraphFont"/>
    <w:uiPriority w:val="32"/>
    <w:qFormat/>
    <w:rsid w:val="00B3550D"/>
    <w:rPr>
      <w:b/>
      <w:bCs/>
      <w:smallCaps/>
      <w:color w:val="4472C4" w:themeColor="accent1"/>
      <w:spacing w:val="5"/>
    </w:rPr>
  </w:style>
  <w:style w:type="character" w:styleId="BookTitle">
    <w:name w:val="Book Title"/>
    <w:basedOn w:val="DefaultParagraphFont"/>
    <w:uiPriority w:val="33"/>
    <w:qFormat/>
    <w:rsid w:val="00B3550D"/>
    <w:rPr>
      <w:b/>
      <w:bCs/>
      <w:i/>
      <w:iCs/>
      <w:spacing w:val="5"/>
    </w:rPr>
  </w:style>
  <w:style w:type="table" w:styleId="GridTable4-Accent5">
    <w:name w:val="Grid Table 4 Accent 5"/>
    <w:basedOn w:val="TableNormal"/>
    <w:uiPriority w:val="49"/>
    <w:rsid w:val="00B3550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UnresolvedMention">
    <w:name w:val="Unresolved Mention"/>
    <w:basedOn w:val="DefaultParagraphFont"/>
    <w:uiPriority w:val="99"/>
    <w:semiHidden/>
    <w:unhideWhenUsed/>
    <w:rsid w:val="00B35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emasites.pbl.nl/models/image/index.php/IMAGE_framework" TargetMode="External"/><Relationship Id="rId13" Type="http://schemas.openxmlformats.org/officeDocument/2006/relationships/image" Target="media/image4.emf"/><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emf"/><Relationship Id="rId7" Type="http://schemas.openxmlformats.org/officeDocument/2006/relationships/hyperlink" Target="http://themasites.pbl.nl/models/image/index.php/Welcome_to_IMAGE_3.0_Documentation" TargetMode="External"/><Relationship Id="rId12" Type="http://schemas.openxmlformats.org/officeDocument/2006/relationships/image" Target="media/image3.emf"/><Relationship Id="rId17" Type="http://schemas.openxmlformats.org/officeDocument/2006/relationships/image" Target="media/image7.emf"/><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image" Target="media/image13.emf"/><Relationship Id="rId28"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9.emf"/><Relationship Id="rId4" Type="http://schemas.openxmlformats.org/officeDocument/2006/relationships/webSettings" Target="webSettings.xml"/><Relationship Id="rId9" Type="http://schemas.openxmlformats.org/officeDocument/2006/relationships/hyperlink" Target="file:///\\Client\Y$\ontwapps\Timer\Users\Mathijs\Projects\EMF30\EMF30%20-%20info\INDC%20paper\Submissions\Submission%202%20_%20August%202018\Additional%20Analysis\www.pbl.nl\en" TargetMode="External"/><Relationship Id="rId14" Type="http://schemas.openxmlformats.org/officeDocument/2006/relationships/image" Target="media/image5.emf"/><Relationship Id="rId22" Type="http://schemas.openxmlformats.org/officeDocument/2006/relationships/image" Target="media/image12.png"/><Relationship Id="rId27" Type="http://schemas.openxmlformats.org/officeDocument/2006/relationships/image" Target="media/image17.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int.PBL.nl\data\Kennisbasis\IMAGE\model\users\mathijs\Projects\EMF30\EMF30%20-%20info\BC%20paper\Essential%20files%20copy%20(use%20this!)\Literature%20comparison\Literature_Comparis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4"/>
          <c:order val="0"/>
          <c:tx>
            <c:strRef>
              <c:f>Graph!$O$17</c:f>
              <c:strCache>
                <c:ptCount val="1"/>
                <c:pt idx="0">
                  <c:v>Other</c:v>
                </c:pt>
              </c:strCache>
            </c:strRef>
          </c:tx>
          <c:spPr>
            <a:solidFill>
              <a:srgbClr val="FFC000"/>
            </a:solidFill>
            <a:ln>
              <a:noFill/>
            </a:ln>
            <a:effectLst/>
          </c:spPr>
          <c:invertIfNegative val="0"/>
          <c:cat>
            <c:strRef>
              <c:extLst>
                <c:ext xmlns:c15="http://schemas.microsoft.com/office/drawing/2012/chart" uri="{02D57815-91ED-43cb-92C2-25804820EDAC}">
                  <c15:fullRef>
                    <c15:sqref>Graph!$A$18:$A$24</c15:sqref>
                  </c15:fullRef>
                </c:ext>
              </c:extLst>
              <c:f>(Graph!$A$18:$A$22,Graph!$A$24)</c:f>
              <c:strCache>
                <c:ptCount val="6"/>
                <c:pt idx="0">
                  <c:v>IMAGE</c:v>
                </c:pt>
                <c:pt idx="1">
                  <c:v>CEDS / Van Marle et al (2017)</c:v>
                </c:pt>
                <c:pt idx="2">
                  <c:v>GAINS/ECLIPSE (2010 extrap.)</c:v>
                </c:pt>
                <c:pt idx="3">
                  <c:v>EMF30 model mean</c:v>
                </c:pt>
                <c:pt idx="4">
                  <c:v>RCP (2010 extrap.)</c:v>
                </c:pt>
                <c:pt idx="5">
                  <c:v>EDGAR 4.2.3 (2012 extrap., excl. LUC)</c:v>
                </c:pt>
              </c:strCache>
            </c:strRef>
          </c:cat>
          <c:val>
            <c:numRef>
              <c:extLst>
                <c:ext xmlns:c15="http://schemas.microsoft.com/office/drawing/2012/chart" uri="{02D57815-91ED-43cb-92C2-25804820EDAC}">
                  <c15:fullRef>
                    <c15:sqref>Graph!$O$18:$O$24</c15:sqref>
                  </c15:fullRef>
                </c:ext>
              </c:extLst>
              <c:f>(Graph!$O$18:$O$22,Graph!$O$24)</c:f>
              <c:numCache>
                <c:formatCode>General</c:formatCode>
                <c:ptCount val="6"/>
                <c:pt idx="0">
                  <c:v>0.13648779296874999</c:v>
                </c:pt>
                <c:pt idx="1">
                  <c:v>0.44589622992319633</c:v>
                </c:pt>
                <c:pt idx="3">
                  <c:v>0.15565870124107217</c:v>
                </c:pt>
                <c:pt idx="4">
                  <c:v>1.0248735020054069</c:v>
                </c:pt>
              </c:numCache>
            </c:numRef>
          </c:val>
          <c:extLst>
            <c:ext xmlns:c16="http://schemas.microsoft.com/office/drawing/2014/chart" uri="{C3380CC4-5D6E-409C-BE32-E72D297353CC}">
              <c16:uniqueId val="{00000000-7FA1-441B-AC77-47790D8E9E70}"/>
            </c:ext>
          </c:extLst>
        </c:ser>
        <c:ser>
          <c:idx val="13"/>
          <c:order val="1"/>
          <c:tx>
            <c:strRef>
              <c:f>Graph!$N$17</c:f>
              <c:strCache>
                <c:ptCount val="1"/>
                <c:pt idx="0">
                  <c:v>Waste</c:v>
                </c:pt>
              </c:strCache>
            </c:strRef>
          </c:tx>
          <c:spPr>
            <a:solidFill>
              <a:schemeClr val="accent4">
                <a:lumMod val="75000"/>
              </a:schemeClr>
            </a:solidFill>
            <a:ln>
              <a:noFill/>
            </a:ln>
            <a:effectLst/>
          </c:spPr>
          <c:invertIfNegative val="0"/>
          <c:cat>
            <c:strRef>
              <c:extLst>
                <c:ext xmlns:c15="http://schemas.microsoft.com/office/drawing/2012/chart" uri="{02D57815-91ED-43cb-92C2-25804820EDAC}">
                  <c15:fullRef>
                    <c15:sqref>Graph!$A$18:$A$24</c15:sqref>
                  </c15:fullRef>
                </c:ext>
              </c:extLst>
              <c:f>(Graph!$A$18:$A$22,Graph!$A$24)</c:f>
              <c:strCache>
                <c:ptCount val="6"/>
                <c:pt idx="0">
                  <c:v>IMAGE</c:v>
                </c:pt>
                <c:pt idx="1">
                  <c:v>CEDS / Van Marle et al (2017)</c:v>
                </c:pt>
                <c:pt idx="2">
                  <c:v>GAINS/ECLIPSE (2010 extrap.)</c:v>
                </c:pt>
                <c:pt idx="3">
                  <c:v>EMF30 model mean</c:v>
                </c:pt>
                <c:pt idx="4">
                  <c:v>RCP (2010 extrap.)</c:v>
                </c:pt>
                <c:pt idx="5">
                  <c:v>EDGAR 4.2.3 (2012 extrap., excl. LUC)</c:v>
                </c:pt>
              </c:strCache>
            </c:strRef>
          </c:cat>
          <c:val>
            <c:numRef>
              <c:extLst>
                <c:ext xmlns:c15="http://schemas.microsoft.com/office/drawing/2012/chart" uri="{02D57815-91ED-43cb-92C2-25804820EDAC}">
                  <c15:fullRef>
                    <c15:sqref>Graph!$N$18:$N$24</c15:sqref>
                  </c15:fullRef>
                </c:ext>
              </c:extLst>
              <c:f>(Graph!$N$18:$N$22,Graph!$N$24)</c:f>
              <c:numCache>
                <c:formatCode>General</c:formatCode>
                <c:ptCount val="6"/>
                <c:pt idx="0">
                  <c:v>0</c:v>
                </c:pt>
                <c:pt idx="1">
                  <c:v>0.67714072950097193</c:v>
                </c:pt>
                <c:pt idx="2">
                  <c:v>0.10865221252782316</c:v>
                </c:pt>
                <c:pt idx="3">
                  <c:v>9.0608050857142866E-2</c:v>
                </c:pt>
                <c:pt idx="4">
                  <c:v>4.0977599489399281E-2</c:v>
                </c:pt>
                <c:pt idx="5">
                  <c:v>6.6800824553476532E-3</c:v>
                </c:pt>
              </c:numCache>
            </c:numRef>
          </c:val>
          <c:extLst>
            <c:ext xmlns:c16="http://schemas.microsoft.com/office/drawing/2014/chart" uri="{C3380CC4-5D6E-409C-BE32-E72D297353CC}">
              <c16:uniqueId val="{00000001-7FA1-441B-AC77-47790D8E9E70}"/>
            </c:ext>
          </c:extLst>
        </c:ser>
        <c:ser>
          <c:idx val="12"/>
          <c:order val="2"/>
          <c:tx>
            <c:strRef>
              <c:f>Graph!$M$17</c:f>
              <c:strCache>
                <c:ptCount val="1"/>
                <c:pt idx="0">
                  <c:v>Savanna burning</c:v>
                </c:pt>
              </c:strCache>
            </c:strRef>
          </c:tx>
          <c:spPr>
            <a:solidFill>
              <a:schemeClr val="accent3">
                <a:lumMod val="60000"/>
                <a:lumOff val="40000"/>
              </a:schemeClr>
            </a:solidFill>
            <a:ln>
              <a:noFill/>
            </a:ln>
            <a:effectLst/>
          </c:spPr>
          <c:invertIfNegative val="0"/>
          <c:cat>
            <c:strRef>
              <c:extLst>
                <c:ext xmlns:c15="http://schemas.microsoft.com/office/drawing/2012/chart" uri="{02D57815-91ED-43cb-92C2-25804820EDAC}">
                  <c15:fullRef>
                    <c15:sqref>Graph!$A$18:$A$24</c15:sqref>
                  </c15:fullRef>
                </c:ext>
              </c:extLst>
              <c:f>(Graph!$A$18:$A$22,Graph!$A$24)</c:f>
              <c:strCache>
                <c:ptCount val="6"/>
                <c:pt idx="0">
                  <c:v>IMAGE</c:v>
                </c:pt>
                <c:pt idx="1">
                  <c:v>CEDS / Van Marle et al (2017)</c:v>
                </c:pt>
                <c:pt idx="2">
                  <c:v>GAINS/ECLIPSE (2010 extrap.)</c:v>
                </c:pt>
                <c:pt idx="3">
                  <c:v>EMF30 model mean</c:v>
                </c:pt>
                <c:pt idx="4">
                  <c:v>RCP (2010 extrap.)</c:v>
                </c:pt>
                <c:pt idx="5">
                  <c:v>EDGAR 4.2.3 (2012 extrap., excl. LUC)</c:v>
                </c:pt>
              </c:strCache>
            </c:strRef>
          </c:cat>
          <c:val>
            <c:numRef>
              <c:extLst>
                <c:ext xmlns:c15="http://schemas.microsoft.com/office/drawing/2012/chart" uri="{02D57815-91ED-43cb-92C2-25804820EDAC}">
                  <c15:fullRef>
                    <c15:sqref>Graph!$M$18:$M$24</c15:sqref>
                  </c15:fullRef>
                </c:ext>
              </c:extLst>
              <c:f>(Graph!$M$18:$M$22,Graph!$M$24)</c:f>
              <c:numCache>
                <c:formatCode>General</c:formatCode>
                <c:ptCount val="6"/>
                <c:pt idx="0">
                  <c:v>1.2785245180130005</c:v>
                </c:pt>
                <c:pt idx="1">
                  <c:v>1.0315692219632</c:v>
                </c:pt>
                <c:pt idx="2">
                  <c:v>1.1729891357228615</c:v>
                </c:pt>
                <c:pt idx="3">
                  <c:v>1.0698037091428572</c:v>
                </c:pt>
                <c:pt idx="4">
                  <c:v>1.4359725573989739</c:v>
                </c:pt>
              </c:numCache>
            </c:numRef>
          </c:val>
          <c:extLst>
            <c:ext xmlns:c16="http://schemas.microsoft.com/office/drawing/2014/chart" uri="{C3380CC4-5D6E-409C-BE32-E72D297353CC}">
              <c16:uniqueId val="{00000002-7FA1-441B-AC77-47790D8E9E70}"/>
            </c:ext>
          </c:extLst>
        </c:ser>
        <c:ser>
          <c:idx val="11"/>
          <c:order val="3"/>
          <c:tx>
            <c:strRef>
              <c:f>Graph!$L$17</c:f>
              <c:strCache>
                <c:ptCount val="1"/>
                <c:pt idx="0">
                  <c:v>Forest burning</c:v>
                </c:pt>
              </c:strCache>
            </c:strRef>
          </c:tx>
          <c:spPr>
            <a:solidFill>
              <a:schemeClr val="accent3">
                <a:lumMod val="75000"/>
              </a:schemeClr>
            </a:solidFill>
            <a:ln>
              <a:noFill/>
            </a:ln>
            <a:effectLst/>
          </c:spPr>
          <c:invertIfNegative val="0"/>
          <c:cat>
            <c:strRef>
              <c:extLst>
                <c:ext xmlns:c15="http://schemas.microsoft.com/office/drawing/2012/chart" uri="{02D57815-91ED-43cb-92C2-25804820EDAC}">
                  <c15:fullRef>
                    <c15:sqref>Graph!$A$18:$A$24</c15:sqref>
                  </c15:fullRef>
                </c:ext>
              </c:extLst>
              <c:f>(Graph!$A$18:$A$22,Graph!$A$24)</c:f>
              <c:strCache>
                <c:ptCount val="6"/>
                <c:pt idx="0">
                  <c:v>IMAGE</c:v>
                </c:pt>
                <c:pt idx="1">
                  <c:v>CEDS / Van Marle et al (2017)</c:v>
                </c:pt>
                <c:pt idx="2">
                  <c:v>GAINS/ECLIPSE (2010 extrap.)</c:v>
                </c:pt>
                <c:pt idx="3">
                  <c:v>EMF30 model mean</c:v>
                </c:pt>
                <c:pt idx="4">
                  <c:v>RCP (2010 extrap.)</c:v>
                </c:pt>
                <c:pt idx="5">
                  <c:v>EDGAR 4.2.3 (2012 extrap., excl. LUC)</c:v>
                </c:pt>
              </c:strCache>
            </c:strRef>
          </c:cat>
          <c:val>
            <c:numRef>
              <c:extLst>
                <c:ext xmlns:c15="http://schemas.microsoft.com/office/drawing/2012/chart" uri="{02D57815-91ED-43cb-92C2-25804820EDAC}">
                  <c15:fullRef>
                    <c15:sqref>Graph!$L$18:$L$24</c15:sqref>
                  </c15:fullRef>
                </c:ext>
              </c:extLst>
              <c:f>(Graph!$L$18:$L$22,Graph!$L$24)</c:f>
              <c:numCache>
                <c:formatCode>General</c:formatCode>
                <c:ptCount val="6"/>
                <c:pt idx="0">
                  <c:v>0.94087487459182739</c:v>
                </c:pt>
                <c:pt idx="1">
                  <c:v>0.49739437136410009</c:v>
                </c:pt>
                <c:pt idx="2">
                  <c:v>0.56558317305109085</c:v>
                </c:pt>
                <c:pt idx="3">
                  <c:v>0.85916056799999996</c:v>
                </c:pt>
                <c:pt idx="4">
                  <c:v>0.81113543339950234</c:v>
                </c:pt>
              </c:numCache>
            </c:numRef>
          </c:val>
          <c:extLst>
            <c:ext xmlns:c16="http://schemas.microsoft.com/office/drawing/2014/chart" uri="{C3380CC4-5D6E-409C-BE32-E72D297353CC}">
              <c16:uniqueId val="{00000003-7FA1-441B-AC77-47790D8E9E70}"/>
            </c:ext>
          </c:extLst>
        </c:ser>
        <c:ser>
          <c:idx val="10"/>
          <c:order val="4"/>
          <c:tx>
            <c:strRef>
              <c:f>Graph!$K$17</c:f>
              <c:strCache>
                <c:ptCount val="1"/>
                <c:pt idx="0">
                  <c:v>Agricultural waste burning</c:v>
                </c:pt>
              </c:strCache>
            </c:strRef>
          </c:tx>
          <c:spPr>
            <a:solidFill>
              <a:schemeClr val="accent3">
                <a:lumMod val="50000"/>
              </a:schemeClr>
            </a:solidFill>
            <a:ln>
              <a:noFill/>
            </a:ln>
            <a:effectLst/>
          </c:spPr>
          <c:invertIfNegative val="0"/>
          <c:cat>
            <c:strRef>
              <c:extLst>
                <c:ext xmlns:c15="http://schemas.microsoft.com/office/drawing/2012/chart" uri="{02D57815-91ED-43cb-92C2-25804820EDAC}">
                  <c15:fullRef>
                    <c15:sqref>Graph!$A$18:$A$24</c15:sqref>
                  </c15:fullRef>
                </c:ext>
              </c:extLst>
              <c:f>(Graph!$A$18:$A$22,Graph!$A$24)</c:f>
              <c:strCache>
                <c:ptCount val="6"/>
                <c:pt idx="0">
                  <c:v>IMAGE</c:v>
                </c:pt>
                <c:pt idx="1">
                  <c:v>CEDS / Van Marle et al (2017)</c:v>
                </c:pt>
                <c:pt idx="2">
                  <c:v>GAINS/ECLIPSE (2010 extrap.)</c:v>
                </c:pt>
                <c:pt idx="3">
                  <c:v>EMF30 model mean</c:v>
                </c:pt>
                <c:pt idx="4">
                  <c:v>RCP (2010 extrap.)</c:v>
                </c:pt>
                <c:pt idx="5">
                  <c:v>EDGAR 4.2.3 (2012 extrap., excl. LUC)</c:v>
                </c:pt>
              </c:strCache>
            </c:strRef>
          </c:cat>
          <c:val>
            <c:numRef>
              <c:extLst>
                <c:ext xmlns:c15="http://schemas.microsoft.com/office/drawing/2012/chart" uri="{02D57815-91ED-43cb-92C2-25804820EDAC}">
                  <c15:fullRef>
                    <c15:sqref>Graph!$K$18:$K$24</c15:sqref>
                  </c15:fullRef>
                </c:ext>
              </c:extLst>
              <c:f>(Graph!$K$18:$K$22,Graph!$K$24)</c:f>
              <c:numCache>
                <c:formatCode>General</c:formatCode>
                <c:ptCount val="6"/>
                <c:pt idx="0">
                  <c:v>0.45195651054382324</c:v>
                </c:pt>
                <c:pt idx="1">
                  <c:v>0.1873268320865</c:v>
                </c:pt>
                <c:pt idx="2">
                  <c:v>0.34961943316287247</c:v>
                </c:pt>
                <c:pt idx="3">
                  <c:v>0.24340480257142857</c:v>
                </c:pt>
                <c:pt idx="4">
                  <c:v>0.15883605078217194</c:v>
                </c:pt>
                <c:pt idx="5">
                  <c:v>0.17060160454558235</c:v>
                </c:pt>
              </c:numCache>
            </c:numRef>
          </c:val>
          <c:extLst>
            <c:ext xmlns:c16="http://schemas.microsoft.com/office/drawing/2014/chart" uri="{C3380CC4-5D6E-409C-BE32-E72D297353CC}">
              <c16:uniqueId val="{00000004-7FA1-441B-AC77-47790D8E9E70}"/>
            </c:ext>
          </c:extLst>
        </c:ser>
        <c:ser>
          <c:idx val="8"/>
          <c:order val="5"/>
          <c:tx>
            <c:strRef>
              <c:f>Graph!$J$17</c:f>
              <c:strCache>
                <c:ptCount val="1"/>
                <c:pt idx="0">
                  <c:v>Transformation</c:v>
                </c:pt>
              </c:strCache>
            </c:strRef>
          </c:tx>
          <c:spPr>
            <a:solidFill>
              <a:schemeClr val="bg1">
                <a:lumMod val="75000"/>
              </a:schemeClr>
            </a:solidFill>
            <a:ln>
              <a:noFill/>
            </a:ln>
            <a:effectLst/>
          </c:spPr>
          <c:invertIfNegative val="0"/>
          <c:cat>
            <c:strRef>
              <c:extLst>
                <c:ext xmlns:c15="http://schemas.microsoft.com/office/drawing/2012/chart" uri="{02D57815-91ED-43cb-92C2-25804820EDAC}">
                  <c15:fullRef>
                    <c15:sqref>Graph!$A$18:$A$24</c15:sqref>
                  </c15:fullRef>
                </c:ext>
              </c:extLst>
              <c:f>(Graph!$A$18:$A$22,Graph!$A$24)</c:f>
              <c:strCache>
                <c:ptCount val="6"/>
                <c:pt idx="0">
                  <c:v>IMAGE</c:v>
                </c:pt>
                <c:pt idx="1">
                  <c:v>CEDS / Van Marle et al (2017)</c:v>
                </c:pt>
                <c:pt idx="2">
                  <c:v>GAINS/ECLIPSE (2010 extrap.)</c:v>
                </c:pt>
                <c:pt idx="3">
                  <c:v>EMF30 model mean</c:v>
                </c:pt>
                <c:pt idx="4">
                  <c:v>RCP (2010 extrap.)</c:v>
                </c:pt>
                <c:pt idx="5">
                  <c:v>EDGAR 4.2.3 (2012 extrap., excl. LUC)</c:v>
                </c:pt>
              </c:strCache>
            </c:strRef>
          </c:cat>
          <c:val>
            <c:numRef>
              <c:extLst>
                <c:ext xmlns:c15="http://schemas.microsoft.com/office/drawing/2012/chart" uri="{02D57815-91ED-43cb-92C2-25804820EDAC}">
                  <c15:fullRef>
                    <c15:sqref>Graph!$J$18:$J$24</c15:sqref>
                  </c15:fullRef>
                </c:ext>
              </c:extLst>
              <c:f>(Graph!$J$18:$J$22,Graph!$J$24)</c:f>
              <c:numCache>
                <c:formatCode>General</c:formatCode>
                <c:ptCount val="6"/>
                <c:pt idx="0">
                  <c:v>1.1558659667968749</c:v>
                </c:pt>
                <c:pt idx="1">
                  <c:v>0.8491765325375934</c:v>
                </c:pt>
                <c:pt idx="2">
                  <c:v>0.15271701449733299</c:v>
                </c:pt>
                <c:pt idx="5">
                  <c:v>0.54812766307469585</c:v>
                </c:pt>
              </c:numCache>
            </c:numRef>
          </c:val>
          <c:extLst>
            <c:ext xmlns:c16="http://schemas.microsoft.com/office/drawing/2014/chart" uri="{C3380CC4-5D6E-409C-BE32-E72D297353CC}">
              <c16:uniqueId val="{00000005-7FA1-441B-AC77-47790D8E9E70}"/>
            </c:ext>
          </c:extLst>
        </c:ser>
        <c:ser>
          <c:idx val="9"/>
          <c:order val="6"/>
          <c:tx>
            <c:strRef>
              <c:f>Graph!$I$17</c:f>
              <c:strCache>
                <c:ptCount val="1"/>
                <c:pt idx="0">
                  <c:v>Power sector</c:v>
                </c:pt>
              </c:strCache>
            </c:strRef>
          </c:tx>
          <c:spPr>
            <a:solidFill>
              <a:schemeClr val="bg1">
                <a:lumMod val="50000"/>
              </a:schemeClr>
            </a:solidFill>
            <a:ln>
              <a:noFill/>
            </a:ln>
            <a:effectLst/>
          </c:spPr>
          <c:invertIfNegative val="0"/>
          <c:cat>
            <c:strRef>
              <c:extLst>
                <c:ext xmlns:c15="http://schemas.microsoft.com/office/drawing/2012/chart" uri="{02D57815-91ED-43cb-92C2-25804820EDAC}">
                  <c15:fullRef>
                    <c15:sqref>Graph!$A$18:$A$24</c15:sqref>
                  </c15:fullRef>
                </c:ext>
              </c:extLst>
              <c:f>(Graph!$A$18:$A$22,Graph!$A$24)</c:f>
              <c:strCache>
                <c:ptCount val="6"/>
                <c:pt idx="0">
                  <c:v>IMAGE</c:v>
                </c:pt>
                <c:pt idx="1">
                  <c:v>CEDS / Van Marle et al (2017)</c:v>
                </c:pt>
                <c:pt idx="2">
                  <c:v>GAINS/ECLIPSE (2010 extrap.)</c:v>
                </c:pt>
                <c:pt idx="3">
                  <c:v>EMF30 model mean</c:v>
                </c:pt>
                <c:pt idx="4">
                  <c:v>RCP (2010 extrap.)</c:v>
                </c:pt>
                <c:pt idx="5">
                  <c:v>EDGAR 4.2.3 (2012 extrap., excl. LUC)</c:v>
                </c:pt>
              </c:strCache>
            </c:strRef>
          </c:cat>
          <c:val>
            <c:numRef>
              <c:extLst>
                <c:ext xmlns:c15="http://schemas.microsoft.com/office/drawing/2012/chart" uri="{02D57815-91ED-43cb-92C2-25804820EDAC}">
                  <c15:fullRef>
                    <c15:sqref>Graph!$I$18:$I$24</c15:sqref>
                  </c15:fullRef>
                </c:ext>
              </c:extLst>
              <c:f>(Graph!$I$18:$I$22,Graph!$I$24)</c:f>
              <c:numCache>
                <c:formatCode>General</c:formatCode>
                <c:ptCount val="6"/>
                <c:pt idx="0">
                  <c:v>6.1706901550292972E-2</c:v>
                </c:pt>
                <c:pt idx="1">
                  <c:v>0.1411171137393219</c:v>
                </c:pt>
                <c:pt idx="3">
                  <c:v>0.10495450200000001</c:v>
                </c:pt>
                <c:pt idx="5">
                  <c:v>0.13532422293020044</c:v>
                </c:pt>
              </c:numCache>
            </c:numRef>
          </c:val>
          <c:extLst>
            <c:ext xmlns:c16="http://schemas.microsoft.com/office/drawing/2014/chart" uri="{C3380CC4-5D6E-409C-BE32-E72D297353CC}">
              <c16:uniqueId val="{00000006-7FA1-441B-AC77-47790D8E9E70}"/>
            </c:ext>
          </c:extLst>
        </c:ser>
        <c:ser>
          <c:idx val="7"/>
          <c:order val="7"/>
          <c:tx>
            <c:strRef>
              <c:f>Graph!$H$17</c:f>
              <c:strCache>
                <c:ptCount val="1"/>
                <c:pt idx="0">
                  <c:v>Fossil fuel supply</c:v>
                </c:pt>
              </c:strCache>
            </c:strRef>
          </c:tx>
          <c:spPr>
            <a:solidFill>
              <a:schemeClr val="tx1">
                <a:lumMod val="65000"/>
                <a:lumOff val="35000"/>
              </a:schemeClr>
            </a:solidFill>
            <a:ln>
              <a:noFill/>
            </a:ln>
            <a:effectLst/>
          </c:spPr>
          <c:invertIfNegative val="0"/>
          <c:cat>
            <c:strRef>
              <c:extLst>
                <c:ext xmlns:c15="http://schemas.microsoft.com/office/drawing/2012/chart" uri="{02D57815-91ED-43cb-92C2-25804820EDAC}">
                  <c15:fullRef>
                    <c15:sqref>Graph!$A$18:$A$24</c15:sqref>
                  </c15:fullRef>
                </c:ext>
              </c:extLst>
              <c:f>(Graph!$A$18:$A$22,Graph!$A$24)</c:f>
              <c:strCache>
                <c:ptCount val="6"/>
                <c:pt idx="0">
                  <c:v>IMAGE</c:v>
                </c:pt>
                <c:pt idx="1">
                  <c:v>CEDS / Van Marle et al (2017)</c:v>
                </c:pt>
                <c:pt idx="2">
                  <c:v>GAINS/ECLIPSE (2010 extrap.)</c:v>
                </c:pt>
                <c:pt idx="3">
                  <c:v>EMF30 model mean</c:v>
                </c:pt>
                <c:pt idx="4">
                  <c:v>RCP (2010 extrap.)</c:v>
                </c:pt>
                <c:pt idx="5">
                  <c:v>EDGAR 4.2.3 (2012 extrap., excl. LUC)</c:v>
                </c:pt>
              </c:strCache>
            </c:strRef>
          </c:cat>
          <c:val>
            <c:numRef>
              <c:extLst>
                <c:ext xmlns:c15="http://schemas.microsoft.com/office/drawing/2012/chart" uri="{02D57815-91ED-43cb-92C2-25804820EDAC}">
                  <c15:fullRef>
                    <c15:sqref>Graph!$H$18:$H$24</c15:sqref>
                  </c15:fullRef>
                </c:ext>
              </c:extLst>
              <c:f>(Graph!$H$18:$H$22,Graph!$H$24)</c:f>
              <c:numCache>
                <c:formatCode>General</c:formatCode>
                <c:ptCount val="6"/>
                <c:pt idx="0">
                  <c:v>0</c:v>
                </c:pt>
                <c:pt idx="1">
                  <c:v>0.20029440133268672</c:v>
                </c:pt>
                <c:pt idx="2">
                  <c:v>0.20657710410866273</c:v>
                </c:pt>
                <c:pt idx="3">
                  <c:v>0.2731788701666667</c:v>
                </c:pt>
                <c:pt idx="4">
                  <c:v>4.0393099754786492E-2</c:v>
                </c:pt>
                <c:pt idx="5">
                  <c:v>0.22641805948330146</c:v>
                </c:pt>
              </c:numCache>
            </c:numRef>
          </c:val>
          <c:extLst>
            <c:ext xmlns:c16="http://schemas.microsoft.com/office/drawing/2014/chart" uri="{C3380CC4-5D6E-409C-BE32-E72D297353CC}">
              <c16:uniqueId val="{00000007-7FA1-441B-AC77-47790D8E9E70}"/>
            </c:ext>
          </c:extLst>
        </c:ser>
        <c:ser>
          <c:idx val="6"/>
          <c:order val="8"/>
          <c:tx>
            <c:strRef>
              <c:f>Graph!$G$17</c:f>
              <c:strCache>
                <c:ptCount val="1"/>
                <c:pt idx="0">
                  <c:v>Services</c:v>
                </c:pt>
              </c:strCache>
            </c:strRef>
          </c:tx>
          <c:spPr>
            <a:solidFill>
              <a:schemeClr val="accent6">
                <a:lumMod val="20000"/>
                <a:lumOff val="80000"/>
              </a:schemeClr>
            </a:solidFill>
            <a:ln>
              <a:noFill/>
            </a:ln>
            <a:effectLst/>
          </c:spPr>
          <c:invertIfNegative val="0"/>
          <c:cat>
            <c:strRef>
              <c:extLst>
                <c:ext xmlns:c15="http://schemas.microsoft.com/office/drawing/2012/chart" uri="{02D57815-91ED-43cb-92C2-25804820EDAC}">
                  <c15:fullRef>
                    <c15:sqref>Graph!$A$18:$A$24</c15:sqref>
                  </c15:fullRef>
                </c:ext>
              </c:extLst>
              <c:f>(Graph!$A$18:$A$22,Graph!$A$24)</c:f>
              <c:strCache>
                <c:ptCount val="6"/>
                <c:pt idx="0">
                  <c:v>IMAGE</c:v>
                </c:pt>
                <c:pt idx="1">
                  <c:v>CEDS / Van Marle et al (2017)</c:v>
                </c:pt>
                <c:pt idx="2">
                  <c:v>GAINS/ECLIPSE (2010 extrap.)</c:v>
                </c:pt>
                <c:pt idx="3">
                  <c:v>EMF30 model mean</c:v>
                </c:pt>
                <c:pt idx="4">
                  <c:v>RCP (2010 extrap.)</c:v>
                </c:pt>
                <c:pt idx="5">
                  <c:v>EDGAR 4.2.3 (2012 extrap., excl. LUC)</c:v>
                </c:pt>
              </c:strCache>
            </c:strRef>
          </c:cat>
          <c:val>
            <c:numRef>
              <c:extLst>
                <c:ext xmlns:c15="http://schemas.microsoft.com/office/drawing/2012/chart" uri="{02D57815-91ED-43cb-92C2-25804820EDAC}">
                  <c15:fullRef>
                    <c15:sqref>Graph!$G$18:$G$24</c15:sqref>
                  </c15:fullRef>
                </c:ext>
              </c:extLst>
              <c:f>(Graph!$G$18:$G$22,Graph!$G$24)</c:f>
              <c:numCache>
                <c:formatCode>General</c:formatCode>
                <c:ptCount val="6"/>
                <c:pt idx="0">
                  <c:v>0.36618249511718753</c:v>
                </c:pt>
                <c:pt idx="1">
                  <c:v>0.23951921438180609</c:v>
                </c:pt>
                <c:pt idx="2">
                  <c:v>1.2042721957165117E-2</c:v>
                </c:pt>
              </c:numCache>
            </c:numRef>
          </c:val>
          <c:extLst>
            <c:ext xmlns:c16="http://schemas.microsoft.com/office/drawing/2014/chart" uri="{C3380CC4-5D6E-409C-BE32-E72D297353CC}">
              <c16:uniqueId val="{00000008-7FA1-441B-AC77-47790D8E9E70}"/>
            </c:ext>
          </c:extLst>
        </c:ser>
        <c:ser>
          <c:idx val="4"/>
          <c:order val="9"/>
          <c:tx>
            <c:strRef>
              <c:f>Graph!$F$17</c:f>
              <c:strCache>
                <c:ptCount val="1"/>
                <c:pt idx="0">
                  <c:v>Residential</c:v>
                </c:pt>
              </c:strCache>
            </c:strRef>
          </c:tx>
          <c:spPr>
            <a:solidFill>
              <a:schemeClr val="accent6">
                <a:lumMod val="60000"/>
                <a:lumOff val="40000"/>
              </a:schemeClr>
            </a:solidFill>
            <a:ln>
              <a:noFill/>
            </a:ln>
            <a:effectLst/>
          </c:spPr>
          <c:invertIfNegative val="0"/>
          <c:cat>
            <c:strRef>
              <c:extLst>
                <c:ext xmlns:c15="http://schemas.microsoft.com/office/drawing/2012/chart" uri="{02D57815-91ED-43cb-92C2-25804820EDAC}">
                  <c15:fullRef>
                    <c15:sqref>Graph!$A$18:$A$24</c15:sqref>
                  </c15:fullRef>
                </c:ext>
              </c:extLst>
              <c:f>(Graph!$A$18:$A$22,Graph!$A$24)</c:f>
              <c:strCache>
                <c:ptCount val="6"/>
                <c:pt idx="0">
                  <c:v>IMAGE</c:v>
                </c:pt>
                <c:pt idx="1">
                  <c:v>CEDS / Van Marle et al (2017)</c:v>
                </c:pt>
                <c:pt idx="2">
                  <c:v>GAINS/ECLIPSE (2010 extrap.)</c:v>
                </c:pt>
                <c:pt idx="3">
                  <c:v>EMF30 model mean</c:v>
                </c:pt>
                <c:pt idx="4">
                  <c:v>RCP (2010 extrap.)</c:v>
                </c:pt>
                <c:pt idx="5">
                  <c:v>EDGAR 4.2.3 (2012 extrap., excl. LUC)</c:v>
                </c:pt>
              </c:strCache>
            </c:strRef>
          </c:cat>
          <c:val>
            <c:numRef>
              <c:extLst>
                <c:ext xmlns:c15="http://schemas.microsoft.com/office/drawing/2012/chart" uri="{02D57815-91ED-43cb-92C2-25804820EDAC}">
                  <c15:fullRef>
                    <c15:sqref>Graph!$F$18:$F$24</c15:sqref>
                  </c15:fullRef>
                </c:ext>
              </c:extLst>
              <c:f>(Graph!$F$18:$F$22,Graph!$F$24)</c:f>
              <c:numCache>
                <c:formatCode>General</c:formatCode>
                <c:ptCount val="6"/>
                <c:pt idx="0">
                  <c:v>3.4446782326698302</c:v>
                </c:pt>
                <c:pt idx="1">
                  <c:v>3.1455035348648539</c:v>
                </c:pt>
                <c:pt idx="2">
                  <c:v>4.2730623679800495</c:v>
                </c:pt>
                <c:pt idx="3">
                  <c:v>2.7748740183888887</c:v>
                </c:pt>
                <c:pt idx="4">
                  <c:v>2.0911482678514033</c:v>
                </c:pt>
                <c:pt idx="5">
                  <c:v>1.7890888065026156</c:v>
                </c:pt>
              </c:numCache>
            </c:numRef>
          </c:val>
          <c:extLst>
            <c:ext xmlns:c16="http://schemas.microsoft.com/office/drawing/2014/chart" uri="{C3380CC4-5D6E-409C-BE32-E72D297353CC}">
              <c16:uniqueId val="{00000009-7FA1-441B-AC77-47790D8E9E70}"/>
            </c:ext>
          </c:extLst>
        </c:ser>
        <c:ser>
          <c:idx val="3"/>
          <c:order val="10"/>
          <c:tx>
            <c:strRef>
              <c:f>Graph!$E$17</c:f>
              <c:strCache>
                <c:ptCount val="1"/>
                <c:pt idx="0">
                  <c:v>Industry</c:v>
                </c:pt>
              </c:strCache>
            </c:strRef>
          </c:tx>
          <c:spPr>
            <a:solidFill>
              <a:schemeClr val="bg2">
                <a:lumMod val="50000"/>
              </a:schemeClr>
            </a:solidFill>
            <a:ln>
              <a:noFill/>
            </a:ln>
            <a:effectLst/>
          </c:spPr>
          <c:invertIfNegative val="0"/>
          <c:cat>
            <c:strRef>
              <c:extLst>
                <c:ext xmlns:c15="http://schemas.microsoft.com/office/drawing/2012/chart" uri="{02D57815-91ED-43cb-92C2-25804820EDAC}">
                  <c15:fullRef>
                    <c15:sqref>Graph!$A$18:$A$24</c15:sqref>
                  </c15:fullRef>
                </c:ext>
              </c:extLst>
              <c:f>(Graph!$A$18:$A$22,Graph!$A$24)</c:f>
              <c:strCache>
                <c:ptCount val="6"/>
                <c:pt idx="0">
                  <c:v>IMAGE</c:v>
                </c:pt>
                <c:pt idx="1">
                  <c:v>CEDS / Van Marle et al (2017)</c:v>
                </c:pt>
                <c:pt idx="2">
                  <c:v>GAINS/ECLIPSE (2010 extrap.)</c:v>
                </c:pt>
                <c:pt idx="3">
                  <c:v>EMF30 model mean</c:v>
                </c:pt>
                <c:pt idx="4">
                  <c:v>RCP (2010 extrap.)</c:v>
                </c:pt>
                <c:pt idx="5">
                  <c:v>EDGAR 4.2.3 (2012 extrap., excl. LUC)</c:v>
                </c:pt>
              </c:strCache>
            </c:strRef>
          </c:cat>
          <c:val>
            <c:numRef>
              <c:extLst>
                <c:ext xmlns:c15="http://schemas.microsoft.com/office/drawing/2012/chart" uri="{02D57815-91ED-43cb-92C2-25804820EDAC}">
                  <c15:fullRef>
                    <c15:sqref>Graph!$E$18:$E$24</c15:sqref>
                  </c15:fullRef>
                </c:ext>
              </c:extLst>
              <c:f>(Graph!$E$18:$E$22,Graph!$E$24)</c:f>
              <c:numCache>
                <c:formatCode>General</c:formatCode>
                <c:ptCount val="6"/>
                <c:pt idx="0">
                  <c:v>0.9045336303710938</c:v>
                </c:pt>
                <c:pt idx="1">
                  <c:v>0.72359502758272798</c:v>
                </c:pt>
                <c:pt idx="2">
                  <c:v>0.448908462532153</c:v>
                </c:pt>
                <c:pt idx="3">
                  <c:v>0.82809275944444438</c:v>
                </c:pt>
                <c:pt idx="4">
                  <c:v>1.6886495383728133</c:v>
                </c:pt>
                <c:pt idx="5">
                  <c:v>0.80296512012221044</c:v>
                </c:pt>
              </c:numCache>
            </c:numRef>
          </c:val>
          <c:extLst>
            <c:ext xmlns:c16="http://schemas.microsoft.com/office/drawing/2014/chart" uri="{C3380CC4-5D6E-409C-BE32-E72D297353CC}">
              <c16:uniqueId val="{0000000A-7FA1-441B-AC77-47790D8E9E70}"/>
            </c:ext>
          </c:extLst>
        </c:ser>
        <c:ser>
          <c:idx val="2"/>
          <c:order val="11"/>
          <c:tx>
            <c:strRef>
              <c:f>Graph!$D$17</c:f>
              <c:strCache>
                <c:ptCount val="1"/>
                <c:pt idx="0">
                  <c:v>Shipping</c:v>
                </c:pt>
              </c:strCache>
            </c:strRef>
          </c:tx>
          <c:spPr>
            <a:solidFill>
              <a:schemeClr val="tx2">
                <a:lumMod val="20000"/>
                <a:lumOff val="80000"/>
              </a:schemeClr>
            </a:solidFill>
            <a:ln>
              <a:noFill/>
            </a:ln>
            <a:effectLst/>
          </c:spPr>
          <c:invertIfNegative val="0"/>
          <c:cat>
            <c:strRef>
              <c:extLst>
                <c:ext xmlns:c15="http://schemas.microsoft.com/office/drawing/2012/chart" uri="{02D57815-91ED-43cb-92C2-25804820EDAC}">
                  <c15:fullRef>
                    <c15:sqref>Graph!$A$18:$A$24</c15:sqref>
                  </c15:fullRef>
                </c:ext>
              </c:extLst>
              <c:f>(Graph!$A$18:$A$22,Graph!$A$24)</c:f>
              <c:strCache>
                <c:ptCount val="6"/>
                <c:pt idx="0">
                  <c:v>IMAGE</c:v>
                </c:pt>
                <c:pt idx="1">
                  <c:v>CEDS / Van Marle et al (2017)</c:v>
                </c:pt>
                <c:pt idx="2">
                  <c:v>GAINS/ECLIPSE (2010 extrap.)</c:v>
                </c:pt>
                <c:pt idx="3">
                  <c:v>EMF30 model mean</c:v>
                </c:pt>
                <c:pt idx="4">
                  <c:v>RCP (2010 extrap.)</c:v>
                </c:pt>
                <c:pt idx="5">
                  <c:v>EDGAR 4.2.3 (2012 extrap., excl. LUC)</c:v>
                </c:pt>
              </c:strCache>
            </c:strRef>
          </c:cat>
          <c:val>
            <c:numRef>
              <c:extLst>
                <c:ext xmlns:c15="http://schemas.microsoft.com/office/drawing/2012/chart" uri="{02D57815-91ED-43cb-92C2-25804820EDAC}">
                  <c15:fullRef>
                    <c15:sqref>Graph!$D$18:$D$24</c15:sqref>
                  </c15:fullRef>
                </c:ext>
              </c:extLst>
              <c:f>(Graph!$D$18:$D$22,Graph!$D$24)</c:f>
              <c:numCache>
                <c:formatCode>General</c:formatCode>
                <c:ptCount val="6"/>
                <c:pt idx="0">
                  <c:v>0.14524090576171875</c:v>
                </c:pt>
                <c:pt idx="1">
                  <c:v>0.20045231509719769</c:v>
                </c:pt>
                <c:pt idx="2">
                  <c:v>0.12502773372425258</c:v>
                </c:pt>
                <c:pt idx="3">
                  <c:v>0.18315508212499998</c:v>
                </c:pt>
                <c:pt idx="4">
                  <c:v>0.15653889021388837</c:v>
                </c:pt>
                <c:pt idx="5">
                  <c:v>0.33832965677519983</c:v>
                </c:pt>
              </c:numCache>
            </c:numRef>
          </c:val>
          <c:extLst>
            <c:ext xmlns:c16="http://schemas.microsoft.com/office/drawing/2014/chart" uri="{C3380CC4-5D6E-409C-BE32-E72D297353CC}">
              <c16:uniqueId val="{0000000B-7FA1-441B-AC77-47790D8E9E70}"/>
            </c:ext>
          </c:extLst>
        </c:ser>
        <c:ser>
          <c:idx val="1"/>
          <c:order val="12"/>
          <c:tx>
            <c:strRef>
              <c:f>Graph!$C$17</c:f>
              <c:strCache>
                <c:ptCount val="1"/>
                <c:pt idx="0">
                  <c:v>Aviation</c:v>
                </c:pt>
              </c:strCache>
            </c:strRef>
          </c:tx>
          <c:spPr>
            <a:solidFill>
              <a:schemeClr val="tx2">
                <a:lumMod val="60000"/>
                <a:lumOff val="40000"/>
              </a:schemeClr>
            </a:solidFill>
            <a:ln>
              <a:noFill/>
            </a:ln>
            <a:effectLst/>
          </c:spPr>
          <c:invertIfNegative val="0"/>
          <c:cat>
            <c:strRef>
              <c:extLst>
                <c:ext xmlns:c15="http://schemas.microsoft.com/office/drawing/2012/chart" uri="{02D57815-91ED-43cb-92C2-25804820EDAC}">
                  <c15:fullRef>
                    <c15:sqref>Graph!$A$18:$A$24</c15:sqref>
                  </c15:fullRef>
                </c:ext>
              </c:extLst>
              <c:f>(Graph!$A$18:$A$22,Graph!$A$24)</c:f>
              <c:strCache>
                <c:ptCount val="6"/>
                <c:pt idx="0">
                  <c:v>IMAGE</c:v>
                </c:pt>
                <c:pt idx="1">
                  <c:v>CEDS / Van Marle et al (2017)</c:v>
                </c:pt>
                <c:pt idx="2">
                  <c:v>GAINS/ECLIPSE (2010 extrap.)</c:v>
                </c:pt>
                <c:pt idx="3">
                  <c:v>EMF30 model mean</c:v>
                </c:pt>
                <c:pt idx="4">
                  <c:v>RCP (2010 extrap.)</c:v>
                </c:pt>
                <c:pt idx="5">
                  <c:v>EDGAR 4.2.3 (2012 extrap., excl. LUC)</c:v>
                </c:pt>
              </c:strCache>
            </c:strRef>
          </c:cat>
          <c:val>
            <c:numRef>
              <c:extLst>
                <c:ext xmlns:c15="http://schemas.microsoft.com/office/drawing/2012/chart" uri="{02D57815-91ED-43cb-92C2-25804820EDAC}">
                  <c15:fullRef>
                    <c15:sqref>Graph!$C$18:$C$24</c15:sqref>
                  </c15:fullRef>
                </c:ext>
              </c:extLst>
              <c:f>(Graph!$C$18:$C$22,Graph!$C$24)</c:f>
              <c:numCache>
                <c:formatCode>General</c:formatCode>
                <c:ptCount val="6"/>
                <c:pt idx="0">
                  <c:v>5.2556500434875492E-3</c:v>
                </c:pt>
                <c:pt idx="1">
                  <c:v>1.067173380646916E-2</c:v>
                </c:pt>
                <c:pt idx="2">
                  <c:v>1.0781695864491439E-2</c:v>
                </c:pt>
                <c:pt idx="3">
                  <c:v>1.9438707166666666E-2</c:v>
                </c:pt>
                <c:pt idx="4">
                  <c:v>6.761061314576342E-3</c:v>
                </c:pt>
                <c:pt idx="5">
                  <c:v>1.0626675448906154E-2</c:v>
                </c:pt>
              </c:numCache>
            </c:numRef>
          </c:val>
          <c:extLst>
            <c:ext xmlns:c16="http://schemas.microsoft.com/office/drawing/2014/chart" uri="{C3380CC4-5D6E-409C-BE32-E72D297353CC}">
              <c16:uniqueId val="{0000000C-7FA1-441B-AC77-47790D8E9E70}"/>
            </c:ext>
          </c:extLst>
        </c:ser>
        <c:ser>
          <c:idx val="0"/>
          <c:order val="13"/>
          <c:tx>
            <c:strRef>
              <c:f>Graph!$B$17</c:f>
              <c:strCache>
                <c:ptCount val="1"/>
                <c:pt idx="0">
                  <c:v>Transport ground</c:v>
                </c:pt>
              </c:strCache>
            </c:strRef>
          </c:tx>
          <c:spPr>
            <a:solidFill>
              <a:schemeClr val="tx2"/>
            </a:solidFill>
            <a:ln>
              <a:noFill/>
            </a:ln>
            <a:effectLst/>
          </c:spPr>
          <c:invertIfNegative val="0"/>
          <c:cat>
            <c:strRef>
              <c:extLst>
                <c:ext xmlns:c15="http://schemas.microsoft.com/office/drawing/2012/chart" uri="{02D57815-91ED-43cb-92C2-25804820EDAC}">
                  <c15:fullRef>
                    <c15:sqref>Graph!$A$18:$A$24</c15:sqref>
                  </c15:fullRef>
                </c:ext>
              </c:extLst>
              <c:f>(Graph!$A$18:$A$22,Graph!$A$24)</c:f>
              <c:strCache>
                <c:ptCount val="6"/>
                <c:pt idx="0">
                  <c:v>IMAGE</c:v>
                </c:pt>
                <c:pt idx="1">
                  <c:v>CEDS / Van Marle et al (2017)</c:v>
                </c:pt>
                <c:pt idx="2">
                  <c:v>GAINS/ECLIPSE (2010 extrap.)</c:v>
                </c:pt>
                <c:pt idx="3">
                  <c:v>EMF30 model mean</c:v>
                </c:pt>
                <c:pt idx="4">
                  <c:v>RCP (2010 extrap.)</c:v>
                </c:pt>
                <c:pt idx="5">
                  <c:v>EDGAR 4.2.3 (2012 extrap., excl. LUC)</c:v>
                </c:pt>
              </c:strCache>
            </c:strRef>
          </c:cat>
          <c:val>
            <c:numRef>
              <c:extLst>
                <c:ext xmlns:c15="http://schemas.microsoft.com/office/drawing/2012/chart" uri="{02D57815-91ED-43cb-92C2-25804820EDAC}">
                  <c15:fullRef>
                    <c15:sqref>Graph!$B$18:$B$24</c15:sqref>
                  </c15:fullRef>
                </c:ext>
              </c:extLst>
              <c:f>(Graph!$B$18:$B$22,Graph!$B$24)</c:f>
              <c:numCache>
                <c:formatCode>General</c:formatCode>
                <c:ptCount val="6"/>
                <c:pt idx="0">
                  <c:v>1.4975260009765625</c:v>
                </c:pt>
                <c:pt idx="1">
                  <c:v>1.377767185493493</c:v>
                </c:pt>
                <c:pt idx="2">
                  <c:v>1.6932373529136611</c:v>
                </c:pt>
                <c:pt idx="3">
                  <c:v>1.3559145215624999</c:v>
                </c:pt>
                <c:pt idx="4">
                  <c:v>1.0388235672321053</c:v>
                </c:pt>
                <c:pt idx="5">
                  <c:v>0.58880361805249692</c:v>
                </c:pt>
              </c:numCache>
            </c:numRef>
          </c:val>
          <c:extLst>
            <c:ext xmlns:c16="http://schemas.microsoft.com/office/drawing/2014/chart" uri="{C3380CC4-5D6E-409C-BE32-E72D297353CC}">
              <c16:uniqueId val="{0000000D-7FA1-441B-AC77-47790D8E9E70}"/>
            </c:ext>
          </c:extLst>
        </c:ser>
        <c:dLbls>
          <c:showLegendKey val="0"/>
          <c:showVal val="0"/>
          <c:showCatName val="0"/>
          <c:showSerName val="0"/>
          <c:showPercent val="0"/>
          <c:showBubbleSize val="0"/>
        </c:dLbls>
        <c:gapWidth val="150"/>
        <c:overlap val="100"/>
        <c:axId val="328530944"/>
        <c:axId val="328536832"/>
      </c:barChart>
      <c:catAx>
        <c:axId val="328530944"/>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Times New Roman" panose="02020603050405020304" pitchFamily="18" charset="0"/>
              </a:defRPr>
            </a:pPr>
            <a:endParaRPr lang="nl-NL"/>
          </a:p>
        </c:txPr>
        <c:crossAx val="328536832"/>
        <c:crosses val="autoZero"/>
        <c:auto val="1"/>
        <c:lblAlgn val="ctr"/>
        <c:lblOffset val="100"/>
        <c:noMultiLvlLbl val="0"/>
      </c:catAx>
      <c:valAx>
        <c:axId val="328536832"/>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Times New Roman" panose="02020603050405020304" pitchFamily="18" charset="0"/>
                  </a:defRPr>
                </a:pPr>
                <a:r>
                  <a:rPr lang="en-US">
                    <a:latin typeface="+mn-lt"/>
                  </a:rPr>
                  <a:t>Mt BC/year</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Times New Roman" panose="02020603050405020304" pitchFamily="18" charset="0"/>
                </a:defRPr>
              </a:pPr>
              <a:endParaRPr lang="nl-NL"/>
            </a:p>
          </c:txPr>
        </c:title>
        <c:numFmt formatCode="#,##0"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Times New Roman" panose="02020603050405020304" pitchFamily="18" charset="0"/>
              </a:defRPr>
            </a:pPr>
            <a:endParaRPr lang="nl-NL"/>
          </a:p>
        </c:txPr>
        <c:crossAx val="328530944"/>
        <c:crosses val="autoZero"/>
        <c:crossBetween val="between"/>
      </c:valAx>
      <c:spPr>
        <a:solidFill>
          <a:schemeClr val="bg1"/>
        </a:solidFill>
        <a:ln>
          <a:noFill/>
        </a:ln>
        <a:effectLst/>
      </c:spPr>
    </c:plotArea>
    <c:legend>
      <c:legendPos val="r"/>
      <c:layout>
        <c:manualLayout>
          <c:xMode val="edge"/>
          <c:yMode val="edge"/>
          <c:x val="0.75323432346061181"/>
          <c:y val="9.0664522557297636E-2"/>
          <c:w val="0.23991047483796477"/>
          <c:h val="0.8833193660487976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Times New Roman" panose="02020603050405020304" pitchFamily="18" charset="0"/>
            </a:defRPr>
          </a:pPr>
          <a:endParaRPr lang="nl-NL"/>
        </a:p>
      </c:txPr>
    </c:legend>
    <c:plotVisOnly val="1"/>
    <c:dispBlanksAs val="gap"/>
    <c:showDLblsOverMax val="0"/>
  </c:chart>
  <c:spPr>
    <a:solidFill>
      <a:schemeClr val="bg1"/>
    </a:solidFill>
    <a:ln w="9525" cap="flat" cmpd="sng" algn="ctr">
      <a:noFill/>
      <a:prstDash val="solid"/>
      <a:round/>
    </a:ln>
    <a:effectLst/>
  </c:spPr>
  <c:txPr>
    <a:bodyPr/>
    <a:lstStyle/>
    <a:p>
      <a:pPr>
        <a:defRPr>
          <a:latin typeface="Times New Roman" panose="02020603050405020304" pitchFamily="18" charset="0"/>
          <a:cs typeface="Times New Roman" panose="02020603050405020304" pitchFamily="18" charset="0"/>
        </a:defRPr>
      </a:pPr>
      <a:endParaRPr lang="nl-NL"/>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F38B713F.dotm</Template>
  <TotalTime>1</TotalTime>
  <Pages>22</Pages>
  <Words>10351</Words>
  <Characters>56935</Characters>
  <Application>Microsoft Office Word</Application>
  <DocSecurity>0</DocSecurity>
  <Lines>474</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Harmsen, Mathijs</dc:creator>
  <cp:keywords/>
  <dc:description/>
  <cp:lastModifiedBy>Harmsen, Mathijs</cp:lastModifiedBy>
  <cp:revision>2</cp:revision>
  <dcterms:created xsi:type="dcterms:W3CDTF">2020-06-12T17:26:00Z</dcterms:created>
  <dcterms:modified xsi:type="dcterms:W3CDTF">2020-06-12T17:28:00Z</dcterms:modified>
</cp:coreProperties>
</file>