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1D" w:rsidRDefault="00AC2B1D" w:rsidP="00AC2B1D">
      <w:pPr>
        <w:pStyle w:val="Heading1"/>
        <w:spacing w:line="276" w:lineRule="auto"/>
      </w:pPr>
      <w:r>
        <w:t>Online Appendix</w:t>
      </w:r>
    </w:p>
    <w:p w:rsidR="000B655C" w:rsidRDefault="000B655C" w:rsidP="000B655C">
      <w:pPr>
        <w:spacing w:line="276" w:lineRule="auto"/>
        <w:jc w:val="both"/>
      </w:pPr>
      <w:r w:rsidRPr="00B051B8">
        <w:rPr>
          <w:b/>
        </w:rPr>
        <w:t>Tab. 1</w:t>
      </w:r>
      <w:r>
        <w:t xml:space="preserve"> L</w:t>
      </w:r>
      <w:r w:rsidRPr="00902D2A">
        <w:t xml:space="preserve">eakage rates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</w:t>
      </w:r>
      <w:r w:rsidRPr="00902D2A">
        <w:t>are determined by fitting the cumulative leaked fraction (LF) value of the e</w:t>
      </w:r>
      <w:r>
        <w:t xml:space="preserve">xponential leakage model with </w:t>
      </w:r>
      <m:oMath>
        <m:r>
          <w:rPr>
            <w:rFonts w:ascii="Cambria Math" w:hAnsi="Cambria Math"/>
          </w:rPr>
          <m:t>L(t)/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=l</m:t>
        </m:r>
        <m:r>
          <m:rPr>
            <m:sty m:val="p"/>
          </m:rPr>
          <w:rPr>
            <w:rFonts w:ascii="Cambria Math" w:hAnsi="Cambria Math"/>
          </w:rPr>
          <m:t>exp</m:t>
        </m:r>
        <m:r>
          <w:rPr>
            <w:rFonts w:ascii="Cambria Math" w:hAnsi="Cambria Math"/>
          </w:rPr>
          <m:t>(-lt)</m:t>
        </m:r>
      </m:oMath>
      <w:r w:rsidRPr="00902D2A">
        <w:t xml:space="preserve"> against the Alcalde et al. (2018) LF values: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i+1</m:t>
                </m:r>
              </m:sub>
            </m:sSub>
          </m:sup>
          <m:e>
            <m:r>
              <w:rPr>
                <w:rFonts w:ascii="Cambria Math" w:hAnsi="Cambria Math"/>
              </w:rPr>
              <m:t>L(t)/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 xml:space="preserve"> dt=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i+1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d>
              </m:e>
            </m:func>
            <m: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i+1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i+1</m:t>
                    </m:r>
                  </m:sub>
                </m:sSub>
              </m:e>
            </m:d>
            <m:limUpp>
              <m:limUppPr>
                <m:ctrlPr>
                  <w:rPr>
                    <w:rFonts w:ascii="Cambria Math" w:hAnsi="Cambria Math"/>
                    <w:i/>
                  </w:rPr>
                </m:ctrlPr>
              </m:limUppPr>
              <m:e>
                <m:r>
                  <w:rPr>
                    <w:rFonts w:ascii="Cambria Math" w:hAnsi="Cambria Math"/>
                  </w:rPr>
                  <m:t>=</m:t>
                </m:r>
              </m:e>
              <m:lim>
                <m:r>
                  <m:rPr>
                    <m:nor/>
                  </m:rPr>
                  <w:rPr>
                    <w:rFonts w:ascii="Cambria Math" w:hAnsi="Cambria Math"/>
                  </w:rPr>
                  <m:t>!</m:t>
                </m:r>
              </m:lim>
            </m:limUpp>
            <m:r>
              <w:rPr>
                <w:rFonts w:ascii="Cambria Math" w:hAnsi="Cambria Math"/>
              </w:rPr>
              <m:t>LF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i+1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+LF(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nary>
      </m:oMath>
      <w:r>
        <w:t xml:space="preserve">, </w:t>
      </w:r>
      <m:oMath>
        <m:r>
          <w:rPr>
            <w:rFonts w:ascii="Cambria Math" w:hAnsi="Cambria Math"/>
          </w:rPr>
          <m:t>i∈[0,2]</m:t>
        </m:r>
      </m:oMath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=0.</m:t>
        </m:r>
      </m:oMath>
      <w:r w:rsidRPr="00902D2A">
        <w:t xml:space="preserve"> The P5</w:t>
      </w:r>
      <w:r>
        <w:t>0 (P05) values indicate that 50% (5</w:t>
      </w:r>
      <w:r w:rsidRPr="00902D2A">
        <w:t xml:space="preserve">%) of the calculated cumulative leaked fraction or leakage rate values are </w:t>
      </w:r>
      <w:r>
        <w:t xml:space="preserve">larger than the displayed value. Worst-case leakage estimates in this article utilize the P50 leakage </w:t>
      </w:r>
      <w:proofErr w:type="gramStart"/>
      <w:r>
        <w:t xml:space="preserve">rate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wc</m:t>
            </m:r>
          </m:sub>
        </m:sSub>
      </m:oMath>
      <w:r>
        <w:rPr>
          <w:rFonts w:eastAsiaTheme="minorEastAsia"/>
        </w:rPr>
        <w:t>.</w:t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1120"/>
        <w:gridCol w:w="1136"/>
        <w:gridCol w:w="1442"/>
        <w:gridCol w:w="1442"/>
        <w:gridCol w:w="1458"/>
        <w:gridCol w:w="1322"/>
        <w:gridCol w:w="1240"/>
      </w:tblGrid>
      <w:tr w:rsidR="000B655C" w:rsidRPr="005324E1" w:rsidTr="00CC41D6">
        <w:trPr>
          <w:trHeight w:val="319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E699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24E1">
              <w:rPr>
                <w:rFonts w:ascii="Calibri" w:eastAsia="Times New Roman" w:hAnsi="Calibri" w:cs="Calibri"/>
                <w:color w:val="000000"/>
              </w:rPr>
              <w:t>Alcalde</w:t>
            </w:r>
            <w:proofErr w:type="spellEnd"/>
            <w:r w:rsidRPr="005324E1">
              <w:rPr>
                <w:rFonts w:ascii="Calibri" w:eastAsia="Times New Roman" w:hAnsi="Calibri" w:cs="Calibri"/>
                <w:color w:val="000000"/>
              </w:rPr>
              <w:t xml:space="preserve"> et al. Leaked Fraction (LF) Values</w:t>
            </w:r>
          </w:p>
        </w:tc>
        <w:tc>
          <w:tcPr>
            <w:tcW w:w="402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E699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Leakage Rates 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i</w:t>
            </w:r>
            <w:r w:rsidRPr="005324E1">
              <w:rPr>
                <w:rFonts w:ascii="Calibri" w:eastAsia="Times New Roman" w:hAnsi="Calibri" w:cs="Calibri"/>
                <w:color w:val="000000"/>
              </w:rPr>
              <w:t xml:space="preserve"> - Exponential Leakage</w:t>
            </w:r>
          </w:p>
        </w:tc>
      </w:tr>
      <w:tr w:rsidR="000B655C" w:rsidRPr="005324E1" w:rsidTr="00CC41D6">
        <w:trPr>
          <w:trHeight w:val="319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Scenario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P50 value LF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P05 value LF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P50 value 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P05 value 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i</w:t>
            </w:r>
          </w:p>
        </w:tc>
      </w:tr>
      <w:tr w:rsidR="000B655C" w:rsidRPr="005324E1" w:rsidTr="00CC41D6">
        <w:trPr>
          <w:trHeight w:val="31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5324E1">
              <w:rPr>
                <w:rFonts w:ascii="Calibri" w:eastAsia="Times New Roman" w:hAnsi="Calibri" w:cs="Calibri"/>
                <w:color w:val="000000"/>
              </w:rPr>
              <w:t>yr</w:t>
            </w:r>
            <w:proofErr w:type="spellEnd"/>
            <w:r w:rsidRPr="005324E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(%)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(%)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5324E1">
              <w:rPr>
                <w:rFonts w:ascii="Calibri" w:eastAsia="Times New Roman" w:hAnsi="Calibri" w:cs="Calibri"/>
                <w:color w:val="000000"/>
              </w:rPr>
              <w:t>yr</w:t>
            </w:r>
            <w:proofErr w:type="spellEnd"/>
            <w:r w:rsidRPr="005324E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(%/</w:t>
            </w:r>
            <w:proofErr w:type="spellStart"/>
            <w:r w:rsidRPr="005324E1">
              <w:rPr>
                <w:rFonts w:ascii="Calibri" w:eastAsia="Times New Roman" w:hAnsi="Calibri" w:cs="Calibri"/>
                <w:color w:val="000000"/>
              </w:rPr>
              <w:t>yr</w:t>
            </w:r>
            <w:proofErr w:type="spellEnd"/>
            <w:r w:rsidRPr="005324E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(%/</w:t>
            </w:r>
            <w:proofErr w:type="spellStart"/>
            <w:r w:rsidRPr="005324E1">
              <w:rPr>
                <w:rFonts w:ascii="Calibri" w:eastAsia="Times New Roman" w:hAnsi="Calibri" w:cs="Calibri"/>
                <w:color w:val="000000"/>
              </w:rPr>
              <w:t>yr</w:t>
            </w:r>
            <w:proofErr w:type="spellEnd"/>
            <w:r w:rsidRPr="005324E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0B655C" w:rsidRPr="005324E1" w:rsidRDefault="000B655C" w:rsidP="00CC4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'Well-Managed' Sites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1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=100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0.156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0.358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1-100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1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=0.00156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1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=0.00359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=1,000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0.888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2.96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100-1,000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=0.000817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=0.00294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3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=10,000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8.18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25.71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1,000-10,000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3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=0.000850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3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=0.00296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:rsidR="000B655C" w:rsidRPr="005324E1" w:rsidRDefault="000B655C" w:rsidP="00CC4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'Poorly-Managed' Sites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</w:t>
            </w:r>
            <w:r w:rsidRPr="00014409">
              <w:rPr>
                <w:rFonts w:ascii="Calibri" w:eastAsia="Times New Roman" w:hAnsi="Calibri" w:cs="Calibri"/>
                <w:color w:val="000000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=1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0.202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0.521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0-1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l</w:t>
            </w:r>
            <w:r w:rsidRPr="00014409">
              <w:rPr>
                <w:rFonts w:ascii="Calibri" w:eastAsia="Times New Roman" w:hAnsi="Calibri" w:cs="Calibri"/>
                <w:color w:val="000000"/>
                <w:vertAlign w:val="subscript"/>
              </w:rPr>
              <w:t>wc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=0.202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l</w:t>
            </w:r>
            <w:r w:rsidRPr="00014409">
              <w:rPr>
                <w:rFonts w:ascii="Calibri" w:eastAsia="Times New Roman" w:hAnsi="Calibri" w:cs="Calibri"/>
                <w:color w:val="000000"/>
                <w:vertAlign w:val="subscript"/>
              </w:rPr>
              <w:t>wc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=0.522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0B655C" w:rsidRPr="005324E1" w:rsidRDefault="000B655C" w:rsidP="00CC4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1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=100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6.41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1-100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1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=0.0662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1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=0.180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=1,000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8.05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20.0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100-1,000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=0.00184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=0.00398</w:t>
            </w:r>
          </w:p>
        </w:tc>
      </w:tr>
      <w:tr w:rsidR="000B655C" w:rsidRPr="005324E1" w:rsidTr="00CC41D6">
        <w:trPr>
          <w:trHeight w:val="402"/>
        </w:trPr>
        <w:tc>
          <w:tcPr>
            <w:tcW w:w="11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t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3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=10,000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32.6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1,000-10,000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3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=0.00171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hideMark/>
          </w:tcPr>
          <w:p w:rsidR="000B655C" w:rsidRPr="005324E1" w:rsidRDefault="000B655C" w:rsidP="00CC4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24E1">
              <w:rPr>
                <w:rFonts w:ascii="Calibri" w:eastAsia="Times New Roman" w:hAnsi="Calibri" w:cs="Calibri"/>
                <w:color w:val="000000"/>
              </w:rPr>
              <w:t>l</w:t>
            </w:r>
            <w:r w:rsidRPr="005324E1">
              <w:rPr>
                <w:rFonts w:ascii="Calibri" w:eastAsia="Times New Roman" w:hAnsi="Calibri" w:cs="Calibri"/>
                <w:color w:val="000000"/>
                <w:vertAlign w:val="subscript"/>
              </w:rPr>
              <w:t>3</w:t>
            </w:r>
            <w:r w:rsidRPr="005324E1">
              <w:rPr>
                <w:rFonts w:ascii="Calibri" w:eastAsia="Times New Roman" w:hAnsi="Calibri" w:cs="Calibri"/>
                <w:color w:val="000000"/>
              </w:rPr>
              <w:t>=0.00153</w:t>
            </w:r>
          </w:p>
        </w:tc>
      </w:tr>
    </w:tbl>
    <w:p w:rsidR="000B655C" w:rsidRDefault="000B655C" w:rsidP="00AC2B1D">
      <w:pPr>
        <w:spacing w:line="276" w:lineRule="auto"/>
        <w:jc w:val="both"/>
      </w:pPr>
    </w:p>
    <w:p w:rsidR="000B655C" w:rsidRDefault="000B655C" w:rsidP="00AC2B1D">
      <w:pPr>
        <w:spacing w:line="276" w:lineRule="auto"/>
        <w:jc w:val="both"/>
      </w:pPr>
      <w:bookmarkStart w:id="0" w:name="_GoBack"/>
      <w:bookmarkEnd w:id="0"/>
    </w:p>
    <w:p w:rsidR="00AC2B1D" w:rsidRDefault="00AC2B1D" w:rsidP="00AC2B1D">
      <w:pPr>
        <w:spacing w:line="276" w:lineRule="auto"/>
        <w:jc w:val="both"/>
      </w:pPr>
      <w:r>
        <w:t xml:space="preserve">Let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be the time of a CO</w:t>
      </w:r>
      <w:r w:rsidRPr="001828A8">
        <w:rPr>
          <w:vertAlign w:val="subscript"/>
        </w:rPr>
        <w:t>2</w:t>
      </w:r>
      <w:r>
        <w:t xml:space="preserve"> injection pulse and </w:t>
      </w:r>
      <m:oMath>
        <m:r>
          <w:rPr>
            <w:rFonts w:ascii="Cambria Math" w:hAnsi="Cambria Math" w:cstheme="minorHAnsi"/>
          </w:rPr>
          <m:t>Δ</m:t>
        </m:r>
        <m:r>
          <w:rPr>
            <w:rFonts w:ascii="Cambria Math" w:hAnsi="Cambria Math"/>
          </w:rPr>
          <m:t>t</m:t>
        </m:r>
      </m:oMath>
      <w:r>
        <w:t xml:space="preserve"> the time at which CO</w:t>
      </w:r>
      <w:r w:rsidRPr="001828A8">
        <w:rPr>
          <w:vertAlign w:val="subscript"/>
        </w:rPr>
        <w:t>2</w:t>
      </w:r>
      <w:r>
        <w:t xml:space="preserve"> prices hit the backstop marginal cost level. The sequestration pulse is given by </w:t>
      </w:r>
      <m:oMath>
        <m:r>
          <w:rPr>
            <w:rFonts w:ascii="Cambria Math" w:hAnsi="Cambria Math"/>
          </w:rPr>
          <m:t>R(t)=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)δ(t-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, the leakage flux entailed after the sequestration pulse is given by table 1 with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r>
              <w:rPr>
                <w:rFonts w:ascii="Cambria Math" w:hAnsi="Cambria Math"/>
              </w:rPr>
              <m:t>(-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)</m:t>
            </m:r>
          </m:e>
        </m:func>
      </m:oMath>
      <w:r>
        <w:t xml:space="preserve"> for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≤t≤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+100</m:t>
        </m:r>
        <m:r>
          <m:rPr>
            <m:sty m:val="p"/>
          </m:rPr>
          <w:rPr>
            <w:rFonts w:ascii="Cambria Math" w:hAnsi="Cambria Math"/>
          </w:rPr>
          <m:t>yr</m:t>
        </m:r>
      </m:oMath>
      <w:r>
        <w:t xml:space="preserve">,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  <m:r>
          <m:rPr>
            <m:sty m:val="p"/>
          </m:rPr>
          <w:rPr>
            <w:rFonts w:ascii="Cambria Math" w:hAnsi="Cambria Math"/>
          </w:rPr>
          <m:t>exp</m:t>
        </m:r>
        <m:r>
          <w:rPr>
            <w:rFonts w:ascii="Cambria Math" w:hAnsi="Cambria Math"/>
          </w:rPr>
          <m:t>(-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)</m:t>
        </m:r>
      </m:oMath>
      <w:r>
        <w:t xml:space="preserve"> for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+100</m:t>
        </m:r>
        <m:r>
          <m:rPr>
            <m:sty m:val="p"/>
          </m:rPr>
          <w:rPr>
            <w:rFonts w:ascii="Cambria Math" w:hAnsi="Cambria Math"/>
          </w:rPr>
          <m:t>yr</m:t>
        </m:r>
        <m:r>
          <w:rPr>
            <w:rFonts w:ascii="Cambria Math" w:hAnsi="Cambria Math"/>
          </w:rPr>
          <m:t>&lt;t≤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+1000</m:t>
        </m:r>
        <m:r>
          <m:rPr>
            <m:sty m:val="p"/>
          </m:rPr>
          <w:rPr>
            <w:rFonts w:ascii="Cambria Math" w:hAnsi="Cambria Math"/>
          </w:rPr>
          <m:t>yr</m:t>
        </m:r>
      </m:oMath>
      <w:r>
        <w:t xml:space="preserve"> and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d>
        <m:r>
          <w:rPr>
            <w:rFonts w:ascii="Cambria Math" w:hAnsi="Cambria Math"/>
          </w:rPr>
          <m:t xml:space="preserve"> </m:t>
        </m:r>
      </m:oMath>
      <w:r>
        <w:t xml:space="preserve">for </w:t>
      </w:r>
      <m:oMath>
        <m:r>
          <w:rPr>
            <w:rFonts w:ascii="Cambria Math" w:hAnsi="Cambria Math"/>
          </w:rPr>
          <m:t>t&gt;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+1000</m:t>
        </m:r>
        <m:r>
          <m:rPr>
            <m:sty m:val="p"/>
          </m:rPr>
          <w:rPr>
            <w:rFonts w:ascii="Cambria Math" w:hAnsi="Cambria Math"/>
          </w:rPr>
          <m:t>yr</m:t>
        </m:r>
      </m:oMath>
      <w:r>
        <w:t xml:space="preserve">, the carbon price is assumed as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r>
              <w:rPr>
                <w:rFonts w:ascii="Cambria Math" w:hAnsi="Cambria Math"/>
              </w:rPr>
              <m:t>(r (t-t_0))</m:t>
            </m:r>
          </m:e>
        </m:func>
      </m:oMath>
      <w:r>
        <w:t xml:space="preserve"> for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t 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≤t≤Δt</m:t>
        </m:r>
      </m:oMath>
      <w:r>
        <w:t xml:space="preserve"> and as </w:t>
      </w:r>
      <m:oMath>
        <m:r>
          <w:rPr>
            <w:rFonts w:ascii="Cambria Math" w:hAnsi="Cambria Math"/>
          </w:rPr>
          <m:t>p(t)=p(Δt)</m:t>
        </m:r>
      </m:oMath>
      <w:r>
        <w:t xml:space="preserve"> for </w:t>
      </w:r>
      <m:oMath>
        <m:r>
          <w:rPr>
            <w:rFonts w:ascii="Cambria Math" w:hAnsi="Cambria Math"/>
          </w:rPr>
          <m:t>t&gt;</m:t>
        </m:r>
        <m:r>
          <w:rPr>
            <w:rFonts w:ascii="Cambria Math" w:hAnsi="Cambria Math" w:cstheme="minorHAnsi"/>
          </w:rPr>
          <m:t>Δ</m:t>
        </m:r>
        <m:r>
          <w:rPr>
            <w:rFonts w:ascii="Cambria Math" w:hAnsi="Cambria Math"/>
          </w:rPr>
          <m:t>t</m:t>
        </m:r>
      </m:oMath>
      <w:r>
        <w:t>.</w:t>
      </w:r>
    </w:p>
    <w:p w:rsidR="00AC2B1D" w:rsidRDefault="00AC2B1D" w:rsidP="00AC2B1D">
      <w:pPr>
        <w:spacing w:line="276" w:lineRule="auto"/>
        <w:jc w:val="both"/>
      </w:pPr>
      <w:r>
        <w:t>Then the analytical solution of the effectiveness of temporary CO</w:t>
      </w:r>
      <w:r w:rsidRPr="001828A8">
        <w:rPr>
          <w:vertAlign w:val="subscript"/>
        </w:rPr>
        <w:t>2</w:t>
      </w:r>
      <w:r>
        <w:t xml:space="preserve"> storage </w:t>
      </w:r>
      <m:oMath>
        <m:r>
          <w:rPr>
            <w:rFonts w:ascii="Cambria Math" w:hAnsi="Cambria Math" w:cstheme="minorHAnsi"/>
          </w:rPr>
          <m:t>η</m:t>
        </m:r>
      </m:oMath>
      <w:r>
        <w:t xml:space="preserve"> is:</w:t>
      </w:r>
    </w:p>
    <w:p w:rsidR="00AC2B1D" w:rsidRPr="000E4371" w:rsidRDefault="00AC2B1D" w:rsidP="00AC2B1D">
      <w:pPr>
        <w:spacing w:line="276" w:lineRule="auto"/>
        <w:jc w:val="both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lang w:val="de-DE"/>
            </w:rPr>
            <m:t>For</m:t>
          </m:r>
          <m:r>
            <w:rPr>
              <w:rFonts w:ascii="Cambria Math" w:hAnsi="Cambria Math"/>
              <w:lang w:val="de-DE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  <m:sub>
              <m:r>
                <w:rPr>
                  <w:rFonts w:ascii="Cambria Math" w:hAnsi="Cambria Math"/>
                  <w:lang w:val="de-DE"/>
                </w:rPr>
                <m:t>I</m:t>
              </m:r>
            </m:sub>
          </m:sSub>
          <m:r>
            <w:rPr>
              <w:rFonts w:ascii="Cambria Math" w:hAnsi="Cambria Math"/>
              <w:lang w:val="de-DE"/>
            </w:rPr>
            <m:t xml:space="preserve">≤Δt,  η(l, </m:t>
          </m:r>
          <m:sSub>
            <m:sSubPr>
              <m:ctrlPr>
                <w:rPr>
                  <w:rFonts w:ascii="Cambria Math" w:hAnsi="Cambria Math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  <m:sub>
              <m:r>
                <w:rPr>
                  <w:rFonts w:ascii="Cambria Math" w:hAnsi="Cambria Math"/>
                  <w:lang w:val="de-DE"/>
                </w:rPr>
                <m:t>I</m:t>
              </m:r>
            </m:sub>
          </m:sSub>
          <m:r>
            <w:rPr>
              <w:rFonts w:ascii="Cambria Math" w:hAnsi="Cambria Math"/>
              <w:lang w:val="de-DE"/>
            </w:rPr>
            <m:t>)=1-(1-</m:t>
          </m:r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-l</m:t>
                      </m:r>
                    </m:e>
                    <m:sub>
                      <m:r>
                        <w:rPr>
                          <w:rFonts w:ascii="Cambria Math" w:hAnsi="Cambria Math"/>
                          <w:lang w:val="de-DE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 xml:space="preserve">Δt-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</m:func>
          <m:r>
            <w:rPr>
              <w:rFonts w:ascii="Cambria Math" w:hAnsi="Cambria Math"/>
              <w:lang w:val="de-DE"/>
            </w:rPr>
            <m:t xml:space="preserve"> ) –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r>
                <w:rPr>
                  <w:rFonts w:ascii="Cambria Math" w:hAnsi="Cambria Math"/>
                  <w:lang w:val="de-DE"/>
                </w:rPr>
                <m:t>(r(Δt-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))(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Δt-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de-D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+r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100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de-DE"/>
                            </w:rPr>
                            <m:t>yr</m:t>
                          </m:r>
                        </m:e>
                      </m:d>
                    </m:e>
                  </m:func>
                </m:e>
              </m:func>
            </m:e>
          </m:func>
          <m:r>
            <w:rPr>
              <w:rFonts w:ascii="Cambria Math" w:eastAsiaTheme="minorEastAsia" w:hAnsi="Cambria Math"/>
              <w:lang w:val="de-DE"/>
            </w:rPr>
            <m:t>-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r>
                <w:rPr>
                  <w:rFonts w:ascii="Cambria Math" w:hAnsi="Cambria Math"/>
                  <w:lang w:val="de-DE"/>
                </w:rPr>
                <m:t>(r(Δt-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))(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de-D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+r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1000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de-DE"/>
                            </w:rPr>
                            <m:t>yr</m:t>
                          </m:r>
                        </m:e>
                      </m:d>
                    </m:e>
                  </m:func>
                </m:e>
              </m:func>
            </m:e>
          </m:func>
          <m:r>
            <w:rPr>
              <w:rFonts w:ascii="Cambria Math" w:eastAsiaTheme="minorEastAsia" w:hAnsi="Cambria Math"/>
              <w:lang w:val="de-DE"/>
            </w:rPr>
            <m:t>-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r>
                <w:rPr>
                  <w:rFonts w:ascii="Cambria Math" w:hAnsi="Cambria Math"/>
                  <w:lang w:val="de-DE"/>
                </w:rPr>
                <m:t>(r(Δt-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))(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</m:e>
              </m:func>
            </m:e>
          </m:func>
        </m:oMath>
      </m:oMathPara>
    </w:p>
    <w:p w:rsidR="00AC2B1D" w:rsidRPr="00E10FC1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lang w:val="de-DE"/>
            </w:rPr>
            <w:lastRenderedPageBreak/>
            <m:t>For</m:t>
          </m:r>
          <m:r>
            <w:rPr>
              <w:rFonts w:ascii="Cambria Math" w:hAnsi="Cambria Math"/>
              <w:lang w:val="de-DE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  <m:sub>
              <m:r>
                <w:rPr>
                  <w:rFonts w:ascii="Cambria Math" w:hAnsi="Cambria Math"/>
                  <w:lang w:val="de-DE"/>
                </w:rPr>
                <m:t>I</m:t>
              </m:r>
            </m:sub>
          </m:sSub>
          <m:r>
            <w:rPr>
              <w:rFonts w:ascii="Cambria Math" w:hAnsi="Cambria Math"/>
              <w:lang w:val="de-DE"/>
            </w:rPr>
            <m:t xml:space="preserve">&gt;Δt,  η(l, </m:t>
          </m:r>
          <m:sSub>
            <m:sSubPr>
              <m:ctrlPr>
                <w:rPr>
                  <w:rFonts w:ascii="Cambria Math" w:hAnsi="Cambria Math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  <m:sub>
              <m:r>
                <w:rPr>
                  <w:rFonts w:ascii="Cambria Math" w:hAnsi="Cambria Math"/>
                  <w:lang w:val="de-DE"/>
                </w:rPr>
                <m:t>I</m:t>
              </m:r>
            </m:sub>
          </m:sSub>
          <m:r>
            <w:rPr>
              <w:rFonts w:ascii="Cambria Math" w:hAnsi="Cambria Math"/>
              <w:lang w:val="de-DE"/>
            </w:rPr>
            <m:t>)=1-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hAnsi="Cambria Math"/>
                  <w:lang w:val="de-DE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</m:e>
              </m:func>
            </m:e>
          </m:d>
          <m:r>
            <w:rPr>
              <w:rFonts w:ascii="Cambria Math" w:hAnsi="Cambria Math"/>
              <w:lang w:val="de-DE"/>
            </w:rPr>
            <m:t>-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</m:e>
              </m:func>
              <m:r>
                <w:rPr>
                  <w:rFonts w:ascii="Cambria Math" w:hAnsi="Cambria Math"/>
                  <w:lang w:val="de-DE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</m:e>
              </m:func>
            </m:e>
          </m:d>
          <m:r>
            <w:rPr>
              <w:rFonts w:ascii="Cambria Math" w:hAnsi="Cambria Math"/>
              <w:lang w:val="de-DE"/>
            </w:rPr>
            <m:t>-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de-DE"/>
                        </w:rPr>
                        <m:t>+r</m:t>
                      </m:r>
                    </m:e>
                  </m:d>
                  <m:r>
                    <w:rPr>
                      <w:rFonts w:ascii="Cambria Math" w:hAnsi="Cambria Math"/>
                      <w:lang w:val="de-DE"/>
                    </w:rPr>
                    <m:t>1000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yr</m:t>
                  </m:r>
                </m:e>
              </m:d>
            </m:e>
          </m:func>
        </m:oMath>
      </m:oMathPara>
    </w:p>
    <w:p w:rsidR="00AC2B1D" w:rsidRDefault="00AC2B1D" w:rsidP="00AC2B1D">
      <w:pPr>
        <w:spacing w:line="276" w:lineRule="auto"/>
        <w:jc w:val="both"/>
        <w:rPr>
          <w:lang w:val="de-DE"/>
        </w:rPr>
      </w:pPr>
    </w:p>
    <w:p w:rsidR="00AC2B1D" w:rsidRDefault="00AC2B1D" w:rsidP="00AC2B1D">
      <w:pPr>
        <w:spacing w:line="276" w:lineRule="auto"/>
        <w:jc w:val="both"/>
      </w:pPr>
      <w:r>
        <w:t xml:space="preserve">Furthermore, the differential equation describing the injection pulse response of the compensation payment fund </w:t>
      </w:r>
      <m:oMath>
        <m:r>
          <w:rPr>
            <w:rFonts w:ascii="Cambria Math" w:hAnsi="Cambria Math"/>
          </w:rPr>
          <m:t>F(t)</m:t>
        </m:r>
      </m:oMath>
      <w:r>
        <w:t xml:space="preserve"> of figure 1 </w:t>
      </w:r>
      <w:proofErr w:type="gramStart"/>
      <w:r>
        <w:t>is given</w:t>
      </w:r>
      <w:proofErr w:type="gramEnd"/>
      <w:r>
        <w:t xml:space="preserve"> by:</w:t>
      </w:r>
    </w:p>
    <w:p w:rsidR="00AC2B1D" w:rsidRDefault="000B655C" w:rsidP="00AC2B1D">
      <w:pPr>
        <w:spacing w:line="276" w:lineRule="auto"/>
        <w:jc w:val="both"/>
        <w:rPr>
          <w:lang w:val="de-DE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r>
                <w:rPr>
                  <w:rFonts w:ascii="Cambria Math" w:hAnsi="Cambria Math"/>
                  <w:lang w:val="de-DE"/>
                </w:rPr>
                <m:t>dF(t)</m:t>
              </m:r>
            </m:num>
            <m:den>
              <m:r>
                <w:rPr>
                  <w:rFonts w:ascii="Cambria Math" w:hAnsi="Cambria Math"/>
                  <w:lang w:val="de-DE"/>
                </w:rPr>
                <m:t>dt</m:t>
              </m:r>
            </m:den>
          </m:f>
          <m:r>
            <w:rPr>
              <w:rFonts w:ascii="Cambria Math" w:hAnsi="Cambria Math"/>
              <w:lang w:val="de-DE"/>
            </w:rPr>
            <m:t>=rF</m:t>
          </m:r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</m:d>
          <m:r>
            <w:rPr>
              <w:rFonts w:ascii="Cambria Math" w:hAnsi="Cambria Math"/>
              <w:lang w:val="de-DE"/>
            </w:rPr>
            <m:t>-p</m:t>
          </m:r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</m:d>
          <m:r>
            <w:rPr>
              <w:rFonts w:ascii="Cambria Math" w:hAnsi="Cambria Math"/>
              <w:lang w:val="de-DE"/>
            </w:rPr>
            <m:t>L</m:t>
          </m:r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</m:d>
          <m:r>
            <w:rPr>
              <w:rFonts w:ascii="Cambria Math" w:hAnsi="Cambria Math"/>
              <w:lang w:val="de-DE"/>
            </w:rPr>
            <m:t>.</m:t>
          </m:r>
        </m:oMath>
      </m:oMathPara>
    </w:p>
    <w:p w:rsidR="00AC2B1D" w:rsidRPr="000E4371" w:rsidRDefault="00AC2B1D" w:rsidP="00AC2B1D">
      <w:pPr>
        <w:spacing w:line="276" w:lineRule="auto"/>
        <w:jc w:val="both"/>
        <w:rPr>
          <w:rFonts w:eastAsiaTheme="minorEastAsia"/>
        </w:rPr>
      </w:pPr>
      <w:r>
        <w:t xml:space="preserve">Thus, for any </w:t>
      </w:r>
      <m:oMath>
        <m:sSub>
          <m:sSubPr>
            <m:ctrlPr>
              <w:rPr>
                <w:rFonts w:ascii="Cambria Math" w:hAnsi="Cambria Math"/>
                <w:i/>
                <w:lang w:val="de-DE"/>
              </w:rPr>
            </m:ctrlPr>
          </m:sSubPr>
          <m:e>
            <m:r>
              <w:rPr>
                <w:rFonts w:ascii="Cambria Math" w:hAnsi="Cambria Math"/>
                <w:lang w:val="de-DE"/>
              </w:rPr>
              <m:t>t</m:t>
            </m:r>
          </m:e>
          <m:sub>
            <m:r>
              <w:rPr>
                <w:rFonts w:ascii="Cambria Math" w:hAnsi="Cambria Math"/>
                <w:lang w:val="de-DE"/>
              </w:rPr>
              <m:t>I</m:t>
            </m:r>
          </m:sub>
        </m:sSub>
        <m:r>
          <w:rPr>
            <w:rFonts w:ascii="Cambria Math" w:hAnsi="Cambria Math"/>
          </w:rPr>
          <m:t>≤</m:t>
        </m:r>
        <m:r>
          <w:rPr>
            <w:rFonts w:ascii="Cambria Math" w:hAnsi="Cambria Math"/>
            <w:lang w:val="de-DE"/>
          </w:rPr>
          <m:t>Δt</m:t>
        </m:r>
      </m:oMath>
      <w:r>
        <w:t xml:space="preserve"> and </w:t>
      </w:r>
      <w:proofErr w:type="gramStart"/>
      <w:r>
        <w:t xml:space="preserve">for </w:t>
      </w:r>
      <w:proofErr w:type="gramEnd"/>
      <m:oMath>
        <m:r>
          <w:rPr>
            <w:rFonts w:ascii="Cambria Math" w:hAnsi="Cambria Math"/>
            <w:lang w:val="de-DE"/>
          </w:rPr>
          <m:t>t</m:t>
        </m:r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  <w:lang w:val="de-DE"/>
              </w:rPr>
            </m:ctrlPr>
          </m:sSubPr>
          <m:e>
            <m:r>
              <w:rPr>
                <w:rFonts w:ascii="Cambria Math" w:hAnsi="Cambria Math"/>
                <w:lang w:val="de-DE"/>
              </w:rPr>
              <m:t>t</m:t>
            </m:r>
          </m:e>
          <m:sub>
            <m:r>
              <w:rPr>
                <w:rFonts w:ascii="Cambria Math" w:hAnsi="Cambria Math"/>
                <w:lang w:val="de-DE"/>
              </w:rPr>
              <m:t>I</m:t>
            </m:r>
          </m:sub>
        </m:sSub>
        <m:r>
          <w:rPr>
            <w:rFonts w:ascii="Cambria Math" w:hAnsi="Cambria Math"/>
          </w:rPr>
          <m:t>+1000</m:t>
        </m:r>
        <m:r>
          <m:rPr>
            <m:sty m:val="p"/>
          </m:rPr>
          <w:rPr>
            <w:rFonts w:ascii="Cambria Math" w:hAnsi="Cambria Math"/>
          </w:rPr>
          <m:t>yr</m:t>
        </m:r>
      </m:oMath>
      <w:r>
        <w:t>, the fund evolves as:</w:t>
      </w:r>
    </w:p>
    <w:p w:rsidR="00AC2B1D" w:rsidRPr="009D6492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>
          <m:r>
            <w:rPr>
              <w:rFonts w:ascii="Cambria Math" w:hAnsi="Cambria Math"/>
              <w:lang w:val="de-DE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r>
                <w:rPr>
                  <w:rFonts w:ascii="Cambria Math" w:hAnsi="Cambria Math"/>
                  <w:lang w:val="de-DE"/>
                </w:rPr>
                <m:t>t,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lang w:val="de-DE"/>
            </w:rPr>
            <m:t>=p</m:t>
          </m:r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/>
                  <w:lang w:val="de-DE"/>
                </w:rPr>
                <m:t>R</m:t>
              </m:r>
            </m:e>
            <m:sub>
              <m:r>
                <w:rPr>
                  <w:rFonts w:ascii="Cambria Math" w:hAnsi="Cambria Math"/>
                  <w:lang w:val="de-DE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de-DE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lang w:val="de-DE"/>
            </w:rPr>
            <m:t>exp⁡</m:t>
          </m:r>
          <m:r>
            <w:rPr>
              <w:rFonts w:ascii="Cambria Math" w:hAnsi="Cambria Math"/>
              <w:lang w:val="de-DE"/>
            </w:rPr>
            <m:t>(r(t-</m:t>
          </m:r>
          <m:sSub>
            <m:sSubPr>
              <m:ctrlPr>
                <w:rPr>
                  <w:rFonts w:ascii="Cambria Math" w:hAnsi="Cambria Math"/>
                  <w:i/>
                  <w:lang w:val="de-DE"/>
                </w:rPr>
              </m:ctrlPr>
            </m:sSubPr>
            <m:e>
              <m:r>
                <w:rPr>
                  <w:rFonts w:ascii="Cambria Math" w:hAnsi="Cambria Math"/>
                  <w:lang w:val="de-DE"/>
                </w:rPr>
                <m:t>t</m:t>
              </m:r>
            </m:e>
            <m:sub>
              <m:r>
                <w:rPr>
                  <w:rFonts w:ascii="Cambria Math" w:hAnsi="Cambria Math"/>
                  <w:lang w:val="de-DE"/>
                </w:rPr>
                <m:t>I</m:t>
              </m:r>
            </m:sub>
          </m:sSub>
          <m:r>
            <w:rPr>
              <w:rFonts w:ascii="Cambria Math" w:hAnsi="Cambria Math"/>
              <w:lang w:val="de-DE"/>
            </w:rPr>
            <m:t>))(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r>
                <w:rPr>
                  <w:rFonts w:ascii="Cambria Math" w:hAnsi="Cambria Math"/>
                  <w:lang w:val="de-DE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de-DE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lang w:val="de-DE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de-DE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de-DE"/>
                        </w:rPr>
                        <m:t>I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lang w:val="de-DE"/>
            </w:rPr>
            <m:t>-(1-</m:t>
          </m:r>
          <m:func>
            <m:funcPr>
              <m:ctrlPr>
                <w:rPr>
                  <w:rFonts w:ascii="Cambria Math" w:hAnsi="Cambria Math"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  <m:ctrlPr>
                <w:rPr>
                  <w:rFonts w:ascii="Cambria Math" w:hAnsi="Cambria Math"/>
                  <w:i/>
                  <w:lang w:val="de-DE"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lang w:val="de-DE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Δt-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</m:func>
          <m:r>
            <w:rPr>
              <w:rFonts w:ascii="Cambria Math" w:hAnsi="Cambria Math"/>
              <w:lang w:val="de-DE"/>
            </w:rPr>
            <m:t>-</m:t>
          </m:r>
        </m:oMath>
      </m:oMathPara>
    </w:p>
    <w:p w:rsidR="00AC2B1D" w:rsidRPr="009D6492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r>
                <w:rPr>
                  <w:rFonts w:ascii="Cambria Math" w:hAnsi="Cambria Math"/>
                  <w:lang w:val="de-DE"/>
                </w:rPr>
                <m:t>(r(Δt-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))(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Δt-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de-D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+r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100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de-DE"/>
                            </w:rPr>
                            <m:t>yr</m:t>
                          </m:r>
                        </m:e>
                      </m:d>
                    </m:e>
                  </m:func>
                </m:e>
              </m:func>
            </m:e>
          </m:func>
          <m:r>
            <w:rPr>
              <w:rFonts w:ascii="Cambria Math" w:hAnsi="Cambria Math"/>
              <w:lang w:val="de-DE"/>
            </w:rPr>
            <m:t xml:space="preserve">- </m:t>
          </m:r>
        </m:oMath>
      </m:oMathPara>
    </w:p>
    <w:p w:rsidR="00AC2B1D" w:rsidRPr="009D6492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r>
                <w:rPr>
                  <w:rFonts w:ascii="Cambria Math" w:hAnsi="Cambria Math"/>
                  <w:lang w:val="de-DE"/>
                </w:rPr>
                <m:t>(r(Δt-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))(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de-D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de-DE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+r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1000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de-DE"/>
                            </w:rPr>
                            <m:t>yr</m:t>
                          </m:r>
                        </m:e>
                      </m:d>
                    </m:e>
                  </m:func>
                </m:e>
              </m:func>
              <m:r>
                <w:rPr>
                  <w:rFonts w:ascii="Cambria Math" w:hAnsi="Cambria Math"/>
                  <w:lang w:val="de-DE"/>
                </w:rPr>
                <m:t>-</m:t>
              </m:r>
            </m:e>
          </m:func>
        </m:oMath>
      </m:oMathPara>
    </w:p>
    <w:p w:rsidR="00AC2B1D" w:rsidRPr="000E4371" w:rsidRDefault="00AC2B1D" w:rsidP="00AC2B1D">
      <w:pPr>
        <w:spacing w:line="276" w:lineRule="auto"/>
        <w:jc w:val="both"/>
        <w:rPr>
          <w:rFonts w:eastAsiaTheme="minorEastAsia"/>
          <w:lang w:val="de-DE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de-DE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de-D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+r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r>
                <w:rPr>
                  <w:rFonts w:ascii="Cambria Math" w:hAnsi="Cambria Math"/>
                  <w:lang w:val="de-DE"/>
                </w:rPr>
                <m:t>(r(Δt-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de-DE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de-DE"/>
                </w:rPr>
                <m:t>))(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de-DE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de-D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de-DE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+r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de-DE"/>
                        </w:rPr>
                        <m:t>1000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de-DE"/>
                        </w:rPr>
                        <m:t>yr</m:t>
                      </m:r>
                    </m:e>
                  </m:d>
                </m:e>
              </m:func>
            </m:e>
          </m:func>
          <m:r>
            <w:rPr>
              <w:rFonts w:ascii="Cambria Math" w:eastAsiaTheme="minorEastAsia" w:hAnsi="Cambria Math"/>
              <w:lang w:val="de-DE"/>
            </w:rPr>
            <m:t>-</m:t>
          </m:r>
          <m:func>
            <m:funcPr>
              <m:ctrlPr>
                <w:rPr>
                  <w:rFonts w:ascii="Cambria Math" w:hAnsi="Cambria Math"/>
                  <w:i/>
                  <w:lang w:val="de-D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/>
                      <w:lang w:val="de-DE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de-D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de-DE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de-DE"/>
                        </w:rPr>
                        <m:t>+r</m:t>
                      </m:r>
                    </m:e>
                  </m:d>
                  <m:r>
                    <w:rPr>
                      <w:rFonts w:ascii="Cambria Math" w:hAnsi="Cambria Math"/>
                      <w:lang w:val="de-DE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de-DE"/>
                </w:rPr>
                <m:t>)).</m:t>
              </m:r>
            </m:e>
          </m:func>
        </m:oMath>
      </m:oMathPara>
    </w:p>
    <w:p w:rsidR="00B919E3" w:rsidRDefault="00AC2B1D" w:rsidP="00AC2B1D">
      <w:proofErr w:type="gramStart"/>
      <w:r>
        <w:t xml:space="preserve">If </w:t>
      </w:r>
      <w:proofErr w:type="gramEnd"/>
      <m:oMath>
        <m:r>
          <w:rPr>
            <w:rFonts w:ascii="Cambria Math" w:hAnsi="Cambria Math"/>
          </w:rPr>
          <m:t>t≤Δt</m:t>
        </m:r>
      </m:oMath>
      <w:r>
        <w:t xml:space="preserve">, the last three lines equate zero and the upper integration bound of the first line (the term </w:t>
      </w:r>
      <m:oMath>
        <m:func>
          <m:funcPr>
            <m:ctrlPr>
              <w:rPr>
                <w:rFonts w:ascii="Cambria Math" w:hAnsi="Cambria Math"/>
                <w:lang w:val="de-D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ctrlPr>
              <w:rPr>
                <w:rFonts w:ascii="Cambria Math" w:hAnsi="Cambria Math"/>
                <w:i/>
                <w:lang w:val="de-DE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de-DE"/>
                      </w:rPr>
                      <m:t>Δt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de-DE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de-DE"/>
                          </w:rPr>
                          <m:t>I</m:t>
                        </m:r>
                      </m:sub>
                    </m:sSub>
                  </m:e>
                </m:d>
              </m:e>
            </m:d>
          </m:e>
        </m:func>
      </m:oMath>
      <w:r>
        <w:t xml:space="preserve">) is substituted by </w:t>
      </w:r>
      <m:oMath>
        <m:func>
          <m:funcPr>
            <m:ctrlPr>
              <w:rPr>
                <w:rFonts w:ascii="Cambria Math" w:hAnsi="Cambria Math"/>
                <w:lang w:val="de-D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ctrlPr>
              <w:rPr>
                <w:rFonts w:ascii="Cambria Math" w:hAnsi="Cambria Math"/>
                <w:i/>
                <w:lang w:val="de-DE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de-DE"/>
                      </w:rPr>
                      <m:t>t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de-DE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de-DE"/>
                          </w:rPr>
                          <m:t>I</m:t>
                        </m:r>
                      </m:sub>
                    </m:sSub>
                  </m:e>
                </m:d>
              </m:e>
            </m:d>
          </m:e>
        </m:func>
      </m:oMath>
      <w:r>
        <w:t xml:space="preserve">. </w:t>
      </w:r>
      <w:proofErr w:type="gramStart"/>
      <w:r>
        <w:t>For</w:t>
      </w:r>
      <w:r>
        <w:rPr>
          <w:rFonts w:eastAsiaTheme="minorEastAsia"/>
        </w:rPr>
        <w:t xml:space="preserve"> </w:t>
      </w:r>
      <w:proofErr w:type="gramEnd"/>
      <m:oMath>
        <m:r>
          <w:rPr>
            <w:rFonts w:ascii="Cambria Math" w:hAnsi="Cambria Math"/>
          </w:rPr>
          <m:t>t&gt;Δt</m:t>
        </m:r>
      </m:oMath>
      <w:r>
        <w:t>, the lines are adjusted according to the same logic.</w:t>
      </w:r>
      <w:r>
        <w:tab/>
      </w:r>
      <w:r>
        <w:br/>
        <w:t xml:space="preserve">Note that the term </w:t>
      </w:r>
      <m:oMath>
        <m:f>
          <m:fPr>
            <m:type m:val="lin"/>
            <m:ctrlPr>
              <w:rPr>
                <w:rFonts w:ascii="Cambria Math" w:hAnsi="Cambria Math"/>
                <w:i/>
                <w:lang w:val="de-DE"/>
              </w:rPr>
            </m:ctrlPr>
          </m:fPr>
          <m:num>
            <m:r>
              <w:rPr>
                <w:rFonts w:ascii="Cambria Math" w:hAnsi="Cambria Math"/>
                <w:lang w:val="de-DE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I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lang w:val="de-DE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I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/>
                    <w:i/>
                    <w:lang w:val="de-DE"/>
                  </w:rPr>
                </m:ctrlPr>
              </m:sSubPr>
              <m:e>
                <m:r>
                  <w:rPr>
                    <w:rFonts w:ascii="Cambria Math" w:hAnsi="Cambria Math"/>
                    <w:lang w:val="de-DE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I</m:t>
                    </m:r>
                  </m:sub>
                </m:sSub>
              </m:e>
            </m:d>
          </m:den>
        </m:f>
      </m:oMath>
      <w:r w:rsidRPr="005F0B10">
        <w:rPr>
          <w:rFonts w:eastAsiaTheme="minorEastAsia"/>
        </w:rPr>
        <w:t xml:space="preserve"> </w:t>
      </w:r>
      <w:r>
        <w:t xml:space="preserve">equates </w:t>
      </w:r>
      <m:oMath>
        <m:r>
          <w:rPr>
            <w:rFonts w:ascii="Cambria Math" w:hAnsi="Cambria Math"/>
          </w:rPr>
          <m:t>(1-</m:t>
        </m:r>
        <m:r>
          <w:rPr>
            <w:rFonts w:ascii="Cambria Math" w:hAnsi="Cambria Math" w:cstheme="minorHAnsi"/>
          </w:rPr>
          <m:t>η</m:t>
        </m:r>
        <m:r>
          <w:rPr>
            <w:rFonts w:ascii="Cambria Math" w:hAnsi="Cambria Math"/>
          </w:rPr>
          <m:t>)</m:t>
        </m:r>
      </m:oMath>
      <w:r>
        <w:t xml:space="preserve"> for figures </w:t>
      </w:r>
      <w:proofErr w:type="gramStart"/>
      <w:r>
        <w:t>3</w:t>
      </w:r>
      <w:proofErr w:type="gramEnd"/>
      <w:r>
        <w:t xml:space="preserve"> &amp; 4 (a) &amp; (b) and 3% for (c) and (d).</w:t>
      </w:r>
    </w:p>
    <w:sectPr w:rsidR="00B91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1D"/>
    <w:rsid w:val="000B655C"/>
    <w:rsid w:val="00AC2B1D"/>
    <w:rsid w:val="00B9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8A77F"/>
  <w15:chartTrackingRefBased/>
  <w15:docId w15:val="{57CB832C-4864-42E9-AB27-30C69EE4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B1D"/>
  </w:style>
  <w:style w:type="paragraph" w:styleId="Heading1">
    <w:name w:val="heading 1"/>
    <w:basedOn w:val="Normal"/>
    <w:next w:val="Normal"/>
    <w:link w:val="Heading1Char"/>
    <w:uiPriority w:val="9"/>
    <w:qFormat/>
    <w:rsid w:val="00AC2B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B1D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3044</Characters>
  <Application>Microsoft Office Word</Application>
  <DocSecurity>0</DocSecurity>
  <Lines>25</Lines>
  <Paragraphs>7</Paragraphs>
  <ScaleCrop>false</ScaleCrop>
  <Company>Universität Hamburg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u244047</dc:creator>
  <cp:keywords/>
  <dc:description/>
  <cp:lastModifiedBy>u244047</cp:lastModifiedBy>
  <cp:revision>2</cp:revision>
  <dcterms:created xsi:type="dcterms:W3CDTF">2020-03-07T10:15:00Z</dcterms:created>
  <dcterms:modified xsi:type="dcterms:W3CDTF">2020-07-26T16:46:00Z</dcterms:modified>
</cp:coreProperties>
</file>