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7A875" w14:textId="77777777" w:rsidR="00556DDC" w:rsidRPr="00556DDC" w:rsidRDefault="00556DDC" w:rsidP="00556DDC">
      <w:pPr>
        <w:pStyle w:val="BodyTextIndent"/>
        <w:jc w:val="center"/>
        <w:rPr>
          <w:b/>
          <w:bCs/>
          <w:sz w:val="22"/>
        </w:rPr>
      </w:pPr>
      <w:r w:rsidRPr="00556DDC">
        <w:rPr>
          <w:b/>
          <w:bCs/>
          <w:sz w:val="22"/>
        </w:rPr>
        <w:t>Climate effects on US infrastructure: the economics of adaptation for rail, roads, and coastal development</w:t>
      </w:r>
    </w:p>
    <w:p w14:paraId="14890D23" w14:textId="77777777" w:rsidR="00CD3ACD" w:rsidRPr="00CD3ACD" w:rsidRDefault="00CD3ACD" w:rsidP="00CD3ACD">
      <w:pPr>
        <w:pStyle w:val="BodyTextIndent"/>
        <w:ind w:firstLine="0"/>
        <w:jc w:val="center"/>
        <w:rPr>
          <w:sz w:val="22"/>
        </w:rPr>
      </w:pPr>
      <w:r w:rsidRPr="00CD3ACD">
        <w:rPr>
          <w:sz w:val="22"/>
        </w:rPr>
        <w:t>James E. Neumann</w:t>
      </w:r>
      <w:r w:rsidRPr="00CD3ACD">
        <w:rPr>
          <w:sz w:val="22"/>
          <w:vertAlign w:val="superscript"/>
        </w:rPr>
        <w:t>1</w:t>
      </w:r>
      <w:r w:rsidRPr="00CD3ACD">
        <w:rPr>
          <w:sz w:val="22"/>
        </w:rPr>
        <w:t>, Paul Chinowsky</w:t>
      </w:r>
      <w:r w:rsidRPr="00CD3ACD">
        <w:rPr>
          <w:sz w:val="22"/>
          <w:vertAlign w:val="superscript"/>
        </w:rPr>
        <w:t>3</w:t>
      </w:r>
      <w:r w:rsidRPr="00CD3ACD">
        <w:rPr>
          <w:sz w:val="22"/>
        </w:rPr>
        <w:t>, Jacob Helman</w:t>
      </w:r>
      <w:r w:rsidRPr="00CD3ACD">
        <w:rPr>
          <w:sz w:val="22"/>
          <w:vertAlign w:val="superscript"/>
        </w:rPr>
        <w:t>3</w:t>
      </w:r>
      <w:r w:rsidRPr="00CD3ACD">
        <w:rPr>
          <w:sz w:val="22"/>
        </w:rPr>
        <w:t>, Margaret Black</w:t>
      </w:r>
      <w:r w:rsidRPr="00CD3ACD">
        <w:rPr>
          <w:sz w:val="22"/>
          <w:vertAlign w:val="superscript"/>
        </w:rPr>
        <w:t>1</w:t>
      </w:r>
      <w:r w:rsidRPr="00CD3ACD">
        <w:rPr>
          <w:sz w:val="22"/>
        </w:rPr>
        <w:t>, Charles Fant</w:t>
      </w:r>
      <w:r w:rsidRPr="00CD3ACD">
        <w:rPr>
          <w:sz w:val="22"/>
          <w:vertAlign w:val="superscript"/>
        </w:rPr>
        <w:t>1</w:t>
      </w:r>
      <w:r w:rsidRPr="00CD3ACD">
        <w:rPr>
          <w:sz w:val="22"/>
        </w:rPr>
        <w:t>, Kenneth Strzepek</w:t>
      </w:r>
      <w:r w:rsidRPr="00CD3ACD">
        <w:rPr>
          <w:sz w:val="22"/>
          <w:vertAlign w:val="superscript"/>
        </w:rPr>
        <w:t>1,2</w:t>
      </w:r>
      <w:r w:rsidRPr="00CD3ACD">
        <w:rPr>
          <w:sz w:val="22"/>
        </w:rPr>
        <w:t>, and Jeremy Martinich</w:t>
      </w:r>
      <w:r w:rsidRPr="00CD3ACD">
        <w:rPr>
          <w:sz w:val="22"/>
          <w:vertAlign w:val="superscript"/>
        </w:rPr>
        <w:t>4</w:t>
      </w:r>
    </w:p>
    <w:p w14:paraId="68C9A232" w14:textId="77777777" w:rsidR="00CD3ACD" w:rsidRPr="00CD3ACD" w:rsidRDefault="00CD3ACD" w:rsidP="00CD3ACD">
      <w:pPr>
        <w:pStyle w:val="BodyTextIndent"/>
        <w:ind w:firstLine="0"/>
        <w:jc w:val="center"/>
        <w:rPr>
          <w:sz w:val="22"/>
        </w:rPr>
      </w:pPr>
      <w:r w:rsidRPr="00CD3ACD">
        <w:rPr>
          <w:sz w:val="22"/>
          <w:vertAlign w:val="superscript"/>
        </w:rPr>
        <w:t>1</w:t>
      </w:r>
      <w:r w:rsidRPr="00CD3ACD">
        <w:rPr>
          <w:sz w:val="22"/>
        </w:rPr>
        <w:t xml:space="preserve">Industrial Economics, Inc., Cambridge, Massachusetts, USA, </w:t>
      </w:r>
      <w:r w:rsidRPr="00CD3ACD">
        <w:rPr>
          <w:sz w:val="22"/>
          <w:vertAlign w:val="superscript"/>
        </w:rPr>
        <w:t>2</w:t>
      </w:r>
      <w:r w:rsidRPr="00CD3ACD">
        <w:rPr>
          <w:sz w:val="22"/>
        </w:rPr>
        <w:t xml:space="preserve">Massachusetts Institute of Technology, Cambridge, Massachusetts, USA, </w:t>
      </w:r>
      <w:r w:rsidRPr="00CD3ACD">
        <w:rPr>
          <w:sz w:val="22"/>
          <w:vertAlign w:val="superscript"/>
        </w:rPr>
        <w:t>3</w:t>
      </w:r>
      <w:r w:rsidRPr="00CD3ACD">
        <w:rPr>
          <w:sz w:val="22"/>
        </w:rPr>
        <w:t xml:space="preserve">Resilient Analytics, Inc. and University of Colorado, Boulder Colorado, USA, </w:t>
      </w:r>
      <w:r w:rsidRPr="00CD3ACD">
        <w:rPr>
          <w:sz w:val="22"/>
          <w:vertAlign w:val="superscript"/>
        </w:rPr>
        <w:t>4</w:t>
      </w:r>
      <w:r w:rsidRPr="00CD3ACD">
        <w:rPr>
          <w:sz w:val="22"/>
        </w:rPr>
        <w:t>U.S. Environmental Protection Agency, Washington, District of Columbia, USA</w:t>
      </w:r>
    </w:p>
    <w:p w14:paraId="1A6057FF" w14:textId="77777777" w:rsidR="00072A1F" w:rsidRPr="00564D64" w:rsidRDefault="00CD3ACD" w:rsidP="00CD3ACD">
      <w:pPr>
        <w:pStyle w:val="BodyTextIndent"/>
        <w:ind w:firstLine="0"/>
        <w:jc w:val="center"/>
        <w:rPr>
          <w:b/>
          <w:sz w:val="22"/>
        </w:rPr>
      </w:pPr>
      <w:r w:rsidRPr="00CD3ACD">
        <w:rPr>
          <w:b/>
          <w:sz w:val="22"/>
        </w:rPr>
        <w:t>Supplemental</w:t>
      </w:r>
      <w:r>
        <w:rPr>
          <w:b/>
          <w:sz w:val="22"/>
        </w:rPr>
        <w:t xml:space="preserve"> </w:t>
      </w:r>
      <w:r w:rsidR="00564D64" w:rsidRPr="00564D64">
        <w:rPr>
          <w:b/>
          <w:sz w:val="22"/>
        </w:rPr>
        <w:t xml:space="preserve">Information on </w:t>
      </w:r>
      <w:r w:rsidR="00D75266">
        <w:rPr>
          <w:b/>
          <w:sz w:val="22"/>
        </w:rPr>
        <w:t>National Coastal Property Model (NCPM)</w:t>
      </w:r>
    </w:p>
    <w:p w14:paraId="7D1C8077" w14:textId="77777777" w:rsidR="00564D64" w:rsidRDefault="001913E9" w:rsidP="00564D64">
      <w:pPr>
        <w:pStyle w:val="BodyTextIndent"/>
        <w:spacing w:after="0"/>
        <w:ind w:firstLine="0"/>
        <w:rPr>
          <w:b/>
          <w:sz w:val="22"/>
        </w:rPr>
      </w:pPr>
      <w:r>
        <w:rPr>
          <w:b/>
          <w:sz w:val="22"/>
        </w:rPr>
        <w:t>Overview</w:t>
      </w:r>
    </w:p>
    <w:p w14:paraId="4979433A" w14:textId="77777777" w:rsidR="00564D64" w:rsidRDefault="00564D64" w:rsidP="00564D64">
      <w:pPr>
        <w:pStyle w:val="BodyTextIndent"/>
        <w:spacing w:after="0"/>
        <w:ind w:firstLine="0"/>
        <w:rPr>
          <w:b/>
          <w:sz w:val="22"/>
        </w:rPr>
      </w:pPr>
    </w:p>
    <w:p w14:paraId="4C14D46C" w14:textId="292EE3F5" w:rsidR="001913E9" w:rsidRDefault="001913E9" w:rsidP="007B555D">
      <w:pPr>
        <w:pStyle w:val="BodyTextIndent"/>
        <w:spacing w:after="0"/>
        <w:ind w:firstLine="0"/>
        <w:jc w:val="left"/>
        <w:rPr>
          <w:sz w:val="22"/>
        </w:rPr>
      </w:pPr>
      <w:r>
        <w:rPr>
          <w:sz w:val="22"/>
        </w:rPr>
        <w:t xml:space="preserve">In previous work, </w:t>
      </w:r>
      <w:r w:rsidRPr="001913E9">
        <w:rPr>
          <w:sz w:val="22"/>
        </w:rPr>
        <w:t>the Environmental Protection Agency (EPA)</w:t>
      </w:r>
      <w:r>
        <w:rPr>
          <w:sz w:val="22"/>
        </w:rPr>
        <w:t xml:space="preserve"> and other funders</w:t>
      </w:r>
      <w:r w:rsidRPr="001913E9">
        <w:rPr>
          <w:sz w:val="22"/>
        </w:rPr>
        <w:t>, in cooperation with Industrial Economics Inc. (IEc), developed the National Coastal Property Model to identify areas at risk from permanent inundation due to sea-level rise (SLR) and from temporary flooding due to storm surge and to evaluate an economically efficient adaptation response.  The NCPM has been used in some form</w:t>
      </w:r>
      <w:r>
        <w:rPr>
          <w:sz w:val="22"/>
        </w:rPr>
        <w:t>, with comprehensive coastal cover, f</w:t>
      </w:r>
      <w:r w:rsidRPr="001913E9">
        <w:rPr>
          <w:sz w:val="22"/>
        </w:rPr>
        <w:t xml:space="preserve">or </w:t>
      </w:r>
      <w:r>
        <w:rPr>
          <w:sz w:val="22"/>
        </w:rPr>
        <w:t xml:space="preserve">over </w:t>
      </w:r>
      <w:r w:rsidR="00ED4AE8">
        <w:rPr>
          <w:sz w:val="22"/>
        </w:rPr>
        <w:t xml:space="preserve">a </w:t>
      </w:r>
      <w:r w:rsidRPr="001913E9">
        <w:rPr>
          <w:sz w:val="22"/>
        </w:rPr>
        <w:t>decade</w:t>
      </w:r>
      <w:r>
        <w:rPr>
          <w:sz w:val="22"/>
        </w:rPr>
        <w:t>, and for other local and national scale analyses since 1995.</w:t>
      </w:r>
      <w:r w:rsidRPr="001913E9">
        <w:rPr>
          <w:sz w:val="22"/>
        </w:rPr>
        <w:t xml:space="preserve"> </w:t>
      </w:r>
    </w:p>
    <w:p w14:paraId="56261098" w14:textId="77777777" w:rsidR="001913E9" w:rsidRDefault="001913E9" w:rsidP="001913E9">
      <w:pPr>
        <w:pStyle w:val="BodyTextIndent"/>
        <w:spacing w:after="0"/>
        <w:ind w:firstLine="0"/>
        <w:rPr>
          <w:sz w:val="22"/>
        </w:rPr>
      </w:pPr>
    </w:p>
    <w:p w14:paraId="0D577D80" w14:textId="77777777" w:rsidR="001913E9" w:rsidRDefault="001913E9" w:rsidP="001913E9">
      <w:pPr>
        <w:pStyle w:val="BodyTextIndent"/>
        <w:spacing w:after="0"/>
        <w:ind w:firstLine="0"/>
        <w:rPr>
          <w:sz w:val="22"/>
        </w:rPr>
      </w:pPr>
      <w:r w:rsidRPr="001913E9">
        <w:rPr>
          <w:sz w:val="22"/>
        </w:rPr>
        <w:t xml:space="preserve">The major versions of </w:t>
      </w:r>
      <w:r>
        <w:rPr>
          <w:sz w:val="22"/>
        </w:rPr>
        <w:t xml:space="preserve">the NCPM as currently configured </w:t>
      </w:r>
      <w:r w:rsidRPr="001913E9">
        <w:rPr>
          <w:sz w:val="22"/>
        </w:rPr>
        <w:t>are as follows.</w:t>
      </w:r>
    </w:p>
    <w:p w14:paraId="707648A6" w14:textId="77777777" w:rsidR="001913E9" w:rsidRPr="001913E9" w:rsidRDefault="001913E9" w:rsidP="001913E9">
      <w:pPr>
        <w:pStyle w:val="BodyTextIndent"/>
        <w:spacing w:after="0"/>
        <w:ind w:firstLine="0"/>
        <w:rPr>
          <w:sz w:val="22"/>
        </w:rPr>
      </w:pPr>
    </w:p>
    <w:p w14:paraId="04CE0E81" w14:textId="319EB1C8" w:rsidR="001913E9" w:rsidRDefault="001913E9" w:rsidP="001913E9">
      <w:pPr>
        <w:pStyle w:val="BodyTextIndent"/>
        <w:numPr>
          <w:ilvl w:val="0"/>
          <w:numId w:val="4"/>
        </w:numPr>
        <w:spacing w:after="0"/>
        <w:rPr>
          <w:sz w:val="22"/>
        </w:rPr>
      </w:pPr>
      <w:r w:rsidRPr="001913E9">
        <w:rPr>
          <w:b/>
          <w:sz w:val="22"/>
        </w:rPr>
        <w:t>Version 1</w:t>
      </w:r>
      <w:r w:rsidRPr="001913E9">
        <w:rPr>
          <w:sz w:val="22"/>
        </w:rPr>
        <w:t>: NCPM v1 was a sea level rise only model and is described in Neumann et al. (2010</w:t>
      </w:r>
      <w:r w:rsidR="002E1E05">
        <w:rPr>
          <w:sz w:val="22"/>
        </w:rPr>
        <w:t>a and 2010b</w:t>
      </w:r>
      <w:r w:rsidRPr="001913E9">
        <w:rPr>
          <w:sz w:val="22"/>
        </w:rPr>
        <w:t>)</w:t>
      </w:r>
    </w:p>
    <w:p w14:paraId="700F2AA0" w14:textId="77777777" w:rsidR="001913E9" w:rsidRPr="001913E9" w:rsidRDefault="001913E9" w:rsidP="001913E9">
      <w:pPr>
        <w:pStyle w:val="BodyTextIndent"/>
        <w:spacing w:after="0"/>
        <w:ind w:left="720" w:firstLine="0"/>
        <w:rPr>
          <w:sz w:val="22"/>
        </w:rPr>
      </w:pPr>
    </w:p>
    <w:p w14:paraId="10E32C12" w14:textId="3017117C" w:rsidR="001913E9" w:rsidRDefault="001913E9" w:rsidP="001913E9">
      <w:pPr>
        <w:pStyle w:val="BodyTextIndent"/>
        <w:numPr>
          <w:ilvl w:val="0"/>
          <w:numId w:val="4"/>
        </w:numPr>
        <w:spacing w:after="0"/>
        <w:rPr>
          <w:sz w:val="22"/>
        </w:rPr>
      </w:pPr>
      <w:r w:rsidRPr="001913E9">
        <w:rPr>
          <w:b/>
          <w:sz w:val="22"/>
        </w:rPr>
        <w:t>Version 2</w:t>
      </w:r>
      <w:r w:rsidRPr="001913E9">
        <w:rPr>
          <w:sz w:val="22"/>
        </w:rPr>
        <w:t>: NCPM v2 included a storm surge damage and adaptive response component, described in Neumann et al. (2015)</w:t>
      </w:r>
    </w:p>
    <w:p w14:paraId="761E7066" w14:textId="77777777" w:rsidR="001913E9" w:rsidRPr="001913E9" w:rsidRDefault="001913E9" w:rsidP="001913E9">
      <w:pPr>
        <w:pStyle w:val="BodyTextIndent"/>
        <w:spacing w:after="0"/>
        <w:ind w:firstLine="0"/>
        <w:rPr>
          <w:sz w:val="22"/>
        </w:rPr>
      </w:pPr>
    </w:p>
    <w:p w14:paraId="08CAEC4C" w14:textId="77777777" w:rsidR="001913E9" w:rsidRDefault="001913E9" w:rsidP="001913E9">
      <w:pPr>
        <w:pStyle w:val="BodyTextIndent"/>
        <w:numPr>
          <w:ilvl w:val="0"/>
          <w:numId w:val="4"/>
        </w:numPr>
        <w:spacing w:after="0"/>
        <w:rPr>
          <w:sz w:val="22"/>
        </w:rPr>
      </w:pPr>
      <w:r w:rsidRPr="001913E9">
        <w:rPr>
          <w:b/>
          <w:sz w:val="22"/>
        </w:rPr>
        <w:t>Version 3</w:t>
      </w:r>
      <w:r w:rsidRPr="001913E9">
        <w:rPr>
          <w:sz w:val="22"/>
        </w:rPr>
        <w:t xml:space="preserve">: NCPM v3 includes numerous updates that are detailed in this </w:t>
      </w:r>
      <w:r>
        <w:rPr>
          <w:sz w:val="22"/>
        </w:rPr>
        <w:t>supplement and in various working papers and technical reports.</w:t>
      </w:r>
    </w:p>
    <w:p w14:paraId="6BD7E12B" w14:textId="77777777" w:rsidR="001913E9" w:rsidRPr="001913E9" w:rsidRDefault="001913E9" w:rsidP="001913E9">
      <w:pPr>
        <w:pStyle w:val="BodyTextIndent"/>
        <w:spacing w:after="0"/>
        <w:ind w:firstLine="0"/>
        <w:rPr>
          <w:sz w:val="22"/>
        </w:rPr>
      </w:pPr>
    </w:p>
    <w:p w14:paraId="53E62C5A" w14:textId="253E79B7" w:rsidR="001913E9" w:rsidRDefault="001913E9" w:rsidP="007B555D">
      <w:pPr>
        <w:pStyle w:val="BodyTextIndent"/>
        <w:spacing w:after="0"/>
        <w:ind w:firstLine="0"/>
        <w:jc w:val="left"/>
        <w:rPr>
          <w:sz w:val="22"/>
        </w:rPr>
      </w:pPr>
      <w:r w:rsidRPr="001913E9">
        <w:rPr>
          <w:sz w:val="22"/>
        </w:rPr>
        <w:t xml:space="preserve">This </w:t>
      </w:r>
      <w:r>
        <w:rPr>
          <w:sz w:val="22"/>
        </w:rPr>
        <w:t xml:space="preserve">supplement </w:t>
      </w:r>
      <w:r w:rsidRPr="001913E9">
        <w:rPr>
          <w:sz w:val="22"/>
        </w:rPr>
        <w:t xml:space="preserve">describes changes to the NCPM made since Version 2 published in 2015 and used in </w:t>
      </w:r>
      <w:r w:rsidR="002E1E05">
        <w:rPr>
          <w:sz w:val="22"/>
        </w:rPr>
        <w:t xml:space="preserve">the second modeling phase of the </w:t>
      </w:r>
      <w:r w:rsidRPr="001913E9">
        <w:rPr>
          <w:sz w:val="22"/>
        </w:rPr>
        <w:t xml:space="preserve">Climate </w:t>
      </w:r>
      <w:r w:rsidR="002E1E05">
        <w:rPr>
          <w:sz w:val="22"/>
        </w:rPr>
        <w:t>c</w:t>
      </w:r>
      <w:r w:rsidRPr="001913E9">
        <w:rPr>
          <w:sz w:val="22"/>
        </w:rPr>
        <w:t xml:space="preserve">hange Impacts and Risk Analysis (CIRA) </w:t>
      </w:r>
      <w:r w:rsidR="002E1E05">
        <w:rPr>
          <w:sz w:val="22"/>
        </w:rPr>
        <w:t>project</w:t>
      </w:r>
      <w:r w:rsidR="00BC02C5">
        <w:rPr>
          <w:sz w:val="22"/>
        </w:rPr>
        <w:t xml:space="preserve"> (</w:t>
      </w:r>
      <w:r w:rsidR="004B6554">
        <w:rPr>
          <w:sz w:val="22"/>
        </w:rPr>
        <w:t xml:space="preserve">U.S. </w:t>
      </w:r>
      <w:r w:rsidR="00BC02C5">
        <w:rPr>
          <w:sz w:val="22"/>
        </w:rPr>
        <w:t>EPA 2017)</w:t>
      </w:r>
      <w:r w:rsidRPr="001913E9">
        <w:rPr>
          <w:sz w:val="22"/>
        </w:rPr>
        <w:t xml:space="preserve">. Since this last published description, modifications have been made to the NCPM, which include: </w:t>
      </w:r>
    </w:p>
    <w:p w14:paraId="40404ABE" w14:textId="77777777" w:rsidR="001913E9" w:rsidRPr="001913E9" w:rsidRDefault="001913E9" w:rsidP="001913E9">
      <w:pPr>
        <w:pStyle w:val="BodyTextIndent"/>
        <w:spacing w:after="0"/>
        <w:ind w:firstLine="0"/>
        <w:rPr>
          <w:sz w:val="22"/>
        </w:rPr>
      </w:pPr>
    </w:p>
    <w:p w14:paraId="7D8030E3" w14:textId="77777777" w:rsidR="001913E9" w:rsidRPr="001913E9" w:rsidRDefault="001913E9" w:rsidP="001913E9">
      <w:pPr>
        <w:pStyle w:val="BodyTextIndent"/>
        <w:numPr>
          <w:ilvl w:val="0"/>
          <w:numId w:val="5"/>
        </w:numPr>
        <w:spacing w:after="0"/>
        <w:rPr>
          <w:sz w:val="22"/>
        </w:rPr>
      </w:pPr>
      <w:r w:rsidRPr="001913E9">
        <w:rPr>
          <w:sz w:val="22"/>
        </w:rPr>
        <w:t>Energy infrastructure damage assessment</w:t>
      </w:r>
    </w:p>
    <w:p w14:paraId="39E07AD0" w14:textId="77777777" w:rsidR="001913E9" w:rsidRPr="001913E9" w:rsidRDefault="001913E9" w:rsidP="001913E9">
      <w:pPr>
        <w:pStyle w:val="BodyTextIndent"/>
        <w:numPr>
          <w:ilvl w:val="0"/>
          <w:numId w:val="5"/>
        </w:numPr>
        <w:spacing w:after="0"/>
        <w:rPr>
          <w:sz w:val="22"/>
        </w:rPr>
      </w:pPr>
      <w:r w:rsidRPr="001913E9">
        <w:rPr>
          <w:sz w:val="22"/>
        </w:rPr>
        <w:t>Updating sea level rise projections</w:t>
      </w:r>
    </w:p>
    <w:p w14:paraId="73D44B43" w14:textId="1E32C5C4" w:rsidR="001913E9" w:rsidRPr="001913E9" w:rsidRDefault="001913E9" w:rsidP="001913E9">
      <w:pPr>
        <w:pStyle w:val="BodyTextIndent"/>
        <w:numPr>
          <w:ilvl w:val="0"/>
          <w:numId w:val="5"/>
        </w:numPr>
        <w:spacing w:after="0"/>
        <w:rPr>
          <w:sz w:val="22"/>
        </w:rPr>
      </w:pPr>
      <w:r w:rsidRPr="001913E9">
        <w:rPr>
          <w:sz w:val="22"/>
        </w:rPr>
        <w:t xml:space="preserve">Updating storm surge heights </w:t>
      </w:r>
    </w:p>
    <w:p w14:paraId="3258310B" w14:textId="77777777" w:rsidR="001913E9" w:rsidRPr="001913E9" w:rsidRDefault="001913E9" w:rsidP="001913E9">
      <w:pPr>
        <w:pStyle w:val="BodyTextIndent"/>
        <w:numPr>
          <w:ilvl w:val="0"/>
          <w:numId w:val="5"/>
        </w:numPr>
        <w:spacing w:after="0"/>
        <w:rPr>
          <w:sz w:val="22"/>
        </w:rPr>
      </w:pPr>
      <w:r w:rsidRPr="001913E9">
        <w:rPr>
          <w:sz w:val="22"/>
        </w:rPr>
        <w:t>Improving the decision rules used for selecting protection the best protection options</w:t>
      </w:r>
    </w:p>
    <w:p w14:paraId="7C5E3574" w14:textId="77777777" w:rsidR="001913E9" w:rsidRPr="001913E9" w:rsidRDefault="001913E9" w:rsidP="001913E9">
      <w:pPr>
        <w:pStyle w:val="BodyTextIndent"/>
        <w:numPr>
          <w:ilvl w:val="0"/>
          <w:numId w:val="5"/>
        </w:numPr>
        <w:spacing w:after="0"/>
        <w:rPr>
          <w:sz w:val="22"/>
        </w:rPr>
      </w:pPr>
      <w:r w:rsidRPr="001913E9">
        <w:rPr>
          <w:sz w:val="22"/>
        </w:rPr>
        <w:t>Updating model initialization</w:t>
      </w:r>
      <w:r w:rsidR="00D52C60">
        <w:rPr>
          <w:sz w:val="22"/>
        </w:rPr>
        <w:t xml:space="preserve"> (or spin-up)</w:t>
      </w:r>
    </w:p>
    <w:p w14:paraId="4535A7C4" w14:textId="77777777" w:rsidR="001913E9" w:rsidRPr="001913E9" w:rsidRDefault="001913E9" w:rsidP="001913E9">
      <w:pPr>
        <w:pStyle w:val="BodyTextIndent"/>
        <w:numPr>
          <w:ilvl w:val="0"/>
          <w:numId w:val="5"/>
        </w:numPr>
        <w:spacing w:after="0"/>
        <w:rPr>
          <w:sz w:val="22"/>
        </w:rPr>
      </w:pPr>
      <w:r w:rsidRPr="001913E9">
        <w:rPr>
          <w:sz w:val="22"/>
        </w:rPr>
        <w:t>Updating property values</w:t>
      </w:r>
    </w:p>
    <w:p w14:paraId="3671D129" w14:textId="77777777" w:rsidR="001913E9" w:rsidRPr="001913E9" w:rsidRDefault="001913E9" w:rsidP="001913E9">
      <w:pPr>
        <w:pStyle w:val="BodyTextIndent"/>
        <w:spacing w:after="0"/>
        <w:ind w:left="720" w:firstLine="0"/>
        <w:rPr>
          <w:sz w:val="22"/>
        </w:rPr>
      </w:pPr>
    </w:p>
    <w:p w14:paraId="4771EC42" w14:textId="77777777" w:rsidR="002C5204" w:rsidRDefault="00941819" w:rsidP="001913E9">
      <w:pPr>
        <w:pStyle w:val="BodyTextIndent"/>
        <w:spacing w:after="0"/>
        <w:ind w:firstLine="0"/>
        <w:rPr>
          <w:b/>
          <w:sz w:val="22"/>
        </w:rPr>
      </w:pPr>
      <w:r w:rsidRPr="00941819">
        <w:rPr>
          <w:b/>
          <w:sz w:val="22"/>
        </w:rPr>
        <w:t>Energy Infrastructure Damage</w:t>
      </w:r>
    </w:p>
    <w:p w14:paraId="78817C0F" w14:textId="77777777" w:rsidR="00941819" w:rsidRDefault="00941819" w:rsidP="001913E9">
      <w:pPr>
        <w:pStyle w:val="BodyTextIndent"/>
        <w:spacing w:after="0"/>
        <w:ind w:firstLine="0"/>
        <w:rPr>
          <w:sz w:val="22"/>
        </w:rPr>
      </w:pPr>
    </w:p>
    <w:p w14:paraId="1A8154B8" w14:textId="32C6FB0E" w:rsidR="00941819" w:rsidRDefault="009131C8" w:rsidP="007B555D">
      <w:pPr>
        <w:pStyle w:val="BodyTextIndent"/>
        <w:spacing w:after="0"/>
        <w:ind w:firstLine="0"/>
        <w:jc w:val="left"/>
        <w:rPr>
          <w:sz w:val="22"/>
        </w:rPr>
      </w:pPr>
      <w:r>
        <w:rPr>
          <w:sz w:val="22"/>
        </w:rPr>
        <w:t>I</w:t>
      </w:r>
      <w:r w:rsidR="00941819" w:rsidRPr="00941819">
        <w:rPr>
          <w:sz w:val="22"/>
        </w:rPr>
        <w:t xml:space="preserve">n 2015, energy infrastructure was added as an additional type of infrastructure damage assessed. The objective of this module is to analyze the value of at-risk coastal energy infrastructure and the costs of adapting that infrastructure to SLR and storm surge.  </w:t>
      </w:r>
      <w:r w:rsidR="00F606D3">
        <w:rPr>
          <w:sz w:val="22"/>
        </w:rPr>
        <w:t>Prior to 2015</w:t>
      </w:r>
      <w:r w:rsidR="00941819" w:rsidRPr="00941819">
        <w:rPr>
          <w:sz w:val="22"/>
        </w:rPr>
        <w:t>, we analyzed the extent to which coastal energy infrastructure within the conti</w:t>
      </w:r>
      <w:r w:rsidR="00F606D3">
        <w:rPr>
          <w:sz w:val="22"/>
        </w:rPr>
        <w:t>guous</w:t>
      </w:r>
      <w:r w:rsidR="00941819" w:rsidRPr="00941819">
        <w:rPr>
          <w:sz w:val="22"/>
        </w:rPr>
        <w:t xml:space="preserve"> U.S. </w:t>
      </w:r>
      <w:r w:rsidR="00CF32D2">
        <w:rPr>
          <w:sz w:val="22"/>
        </w:rPr>
        <w:t xml:space="preserve">could </w:t>
      </w:r>
      <w:r w:rsidR="00941819" w:rsidRPr="00941819">
        <w:rPr>
          <w:sz w:val="22"/>
        </w:rPr>
        <w:t xml:space="preserve">be </w:t>
      </w:r>
      <w:r w:rsidR="00CF32D2">
        <w:rPr>
          <w:sz w:val="22"/>
        </w:rPr>
        <w:t xml:space="preserve">vulnerable to </w:t>
      </w:r>
      <w:r w:rsidR="00941819" w:rsidRPr="00941819">
        <w:rPr>
          <w:sz w:val="22"/>
        </w:rPr>
        <w:t xml:space="preserve">SLR and storm surge (Version 2).  </w:t>
      </w:r>
      <w:r w:rsidR="00CF32D2">
        <w:rPr>
          <w:sz w:val="22"/>
        </w:rPr>
        <w:t xml:space="preserve">One of the updates since 2015 was to build </w:t>
      </w:r>
      <w:r w:rsidR="00941819" w:rsidRPr="00941819">
        <w:rPr>
          <w:sz w:val="22"/>
        </w:rPr>
        <w:t xml:space="preserve">upon </w:t>
      </w:r>
      <w:r w:rsidR="00CF32D2">
        <w:rPr>
          <w:sz w:val="22"/>
        </w:rPr>
        <w:t xml:space="preserve">Version 2 </w:t>
      </w:r>
      <w:r w:rsidR="00941819" w:rsidRPr="00941819">
        <w:rPr>
          <w:sz w:val="22"/>
        </w:rPr>
        <w:t xml:space="preserve">by considering the adaptive </w:t>
      </w:r>
      <w:r w:rsidR="00941819" w:rsidRPr="00941819">
        <w:rPr>
          <w:sz w:val="22"/>
        </w:rPr>
        <w:lastRenderedPageBreak/>
        <w:t xml:space="preserve">response and evaluating </w:t>
      </w:r>
      <w:r w:rsidR="00F606D3">
        <w:rPr>
          <w:sz w:val="22"/>
        </w:rPr>
        <w:t xml:space="preserve">direct </w:t>
      </w:r>
      <w:r w:rsidR="00941819" w:rsidRPr="00941819">
        <w:rPr>
          <w:sz w:val="22"/>
        </w:rPr>
        <w:t xml:space="preserve">costs to energy infrastructure.  </w:t>
      </w:r>
      <w:r w:rsidR="00CF32D2">
        <w:rPr>
          <w:sz w:val="22"/>
        </w:rPr>
        <w:t>The adaptive response component is described below.</w:t>
      </w:r>
    </w:p>
    <w:p w14:paraId="6E9BE7B0" w14:textId="77777777" w:rsidR="009131C8" w:rsidRPr="00941819" w:rsidRDefault="009131C8" w:rsidP="007B555D">
      <w:pPr>
        <w:pStyle w:val="BodyTextIndent"/>
        <w:spacing w:after="0"/>
        <w:ind w:firstLine="0"/>
        <w:jc w:val="left"/>
        <w:rPr>
          <w:sz w:val="22"/>
        </w:rPr>
      </w:pPr>
    </w:p>
    <w:p w14:paraId="6E144AC3" w14:textId="385534AC" w:rsidR="00941819" w:rsidRDefault="00941819" w:rsidP="007B555D">
      <w:pPr>
        <w:pStyle w:val="BodyTextIndent"/>
        <w:spacing w:after="0"/>
        <w:ind w:firstLine="0"/>
        <w:jc w:val="left"/>
        <w:rPr>
          <w:sz w:val="22"/>
        </w:rPr>
      </w:pPr>
      <w:r w:rsidRPr="00941819">
        <w:rPr>
          <w:sz w:val="22"/>
        </w:rPr>
        <w:t>To evaluate exposure to these threats, spatial data were downloaded from the Energy Information Administration’s (EIA’s) U.S. Energy Mapping System</w:t>
      </w:r>
      <w:r w:rsidR="00BC02C5">
        <w:rPr>
          <w:sz w:val="22"/>
        </w:rPr>
        <w:t xml:space="preserve"> (USEIA 2016)</w:t>
      </w:r>
      <w:r w:rsidRPr="00941819">
        <w:rPr>
          <w:sz w:val="22"/>
        </w:rPr>
        <w:t xml:space="preserve">. In particular, we gathered data on natural gas, natural gas liquid, crude oil, and petroleum pipelines as well as power plants, petroleum refineries, liquefied natural gas import/export terminals, crude oil rail terminals, petroleum product terminals, and natural gas market hubs.  To estimate energy infrastructure sensitivity to the risks of SLR and storm surge, the EIA data were joined to the county-level data used in the NCPM. The data were summarized by grid cell, producing statistics such as facility counts, kilometers of pipeline by type, and total capacity </w:t>
      </w:r>
      <w:r w:rsidR="009131C8">
        <w:rPr>
          <w:sz w:val="22"/>
        </w:rPr>
        <w:t>l</w:t>
      </w:r>
      <w:r w:rsidRPr="00941819">
        <w:rPr>
          <w:sz w:val="22"/>
        </w:rPr>
        <w:t xml:space="preserve">evels for power plants and petroleum refineries, and incorporated into the NCPM.  </w:t>
      </w:r>
    </w:p>
    <w:p w14:paraId="1B85168D" w14:textId="77777777" w:rsidR="009131C8" w:rsidRPr="00941819" w:rsidRDefault="009131C8" w:rsidP="007B555D">
      <w:pPr>
        <w:pStyle w:val="BodyTextIndent"/>
        <w:spacing w:after="0"/>
        <w:ind w:firstLine="0"/>
        <w:jc w:val="left"/>
        <w:rPr>
          <w:sz w:val="22"/>
        </w:rPr>
      </w:pPr>
    </w:p>
    <w:p w14:paraId="5BBECE80" w14:textId="77777777" w:rsidR="00941819" w:rsidRDefault="00941819" w:rsidP="007B555D">
      <w:pPr>
        <w:pStyle w:val="BodyTextIndent"/>
        <w:spacing w:after="0"/>
        <w:ind w:firstLine="0"/>
        <w:jc w:val="left"/>
        <w:rPr>
          <w:sz w:val="22"/>
        </w:rPr>
      </w:pPr>
      <w:r w:rsidRPr="00941819">
        <w:rPr>
          <w:sz w:val="22"/>
        </w:rPr>
        <w:t xml:space="preserve">The first step in evaluating the adaptive response is to value the facilities and pipelines at risk.  Facilities were valued using the property values incorporated into the NCPM.  The property value data in the NCPM were primarily derived from assessor data and where these data were not available from Census property value data.  Some corrections were made to the property value data where grid cells containing energy facilities had particularly low or high values.  Low valued grid cells (those with values less than $250,000) were scaled upwards using the average value per facility calculated by facility type and applying this value to the facilities falling within the grid cell.  High valued grid cells (those with values more than $50 million) were scaled downwards according to the percentage of value derived from industrial and commercial land uses.  </w:t>
      </w:r>
    </w:p>
    <w:p w14:paraId="4204F5F1" w14:textId="77777777" w:rsidR="009131C8" w:rsidRPr="00941819" w:rsidRDefault="009131C8" w:rsidP="009131C8">
      <w:pPr>
        <w:pStyle w:val="BodyTextIndent"/>
        <w:spacing w:after="0"/>
        <w:ind w:firstLine="0"/>
        <w:rPr>
          <w:sz w:val="22"/>
        </w:rPr>
      </w:pPr>
    </w:p>
    <w:p w14:paraId="535BF88A" w14:textId="21D219D6" w:rsidR="00941819" w:rsidRDefault="00941819" w:rsidP="00CA504E">
      <w:pPr>
        <w:pStyle w:val="BodyTextIndent"/>
        <w:spacing w:after="0"/>
        <w:ind w:firstLine="0"/>
        <w:jc w:val="left"/>
        <w:rPr>
          <w:sz w:val="22"/>
        </w:rPr>
      </w:pPr>
      <w:r w:rsidRPr="00941819">
        <w:rPr>
          <w:sz w:val="22"/>
        </w:rPr>
        <w:t>Pipelines were valued based on replacement cost, or the cost of constructing new pipeline.  Average construction cost for natural gas, natural gas liquid, and crude oil pipeline were calculated using data from the INGAA Foundation, which represents natural gas pipelines and companies that provide goods and services to pipelines</w:t>
      </w:r>
      <w:r w:rsidR="00BC02C5">
        <w:rPr>
          <w:sz w:val="22"/>
        </w:rPr>
        <w:t xml:space="preserve"> (INGAA Foundation 2014)</w:t>
      </w:r>
      <w:r w:rsidRPr="00941819">
        <w:rPr>
          <w:sz w:val="22"/>
        </w:rPr>
        <w:t>.  These costs were applied to our spatial pipeline data assuming that the cost to construct petroleum pipelines would be most similar to the cost to construct crude oil pipelines to estimate the pipeline value per grid cell.</w:t>
      </w:r>
    </w:p>
    <w:p w14:paraId="0A5AA5BF" w14:textId="77777777" w:rsidR="009131C8" w:rsidRPr="00941819" w:rsidRDefault="009131C8" w:rsidP="00CA504E">
      <w:pPr>
        <w:pStyle w:val="BodyTextIndent"/>
        <w:spacing w:after="0"/>
        <w:ind w:firstLine="0"/>
        <w:jc w:val="left"/>
        <w:rPr>
          <w:sz w:val="22"/>
        </w:rPr>
      </w:pPr>
    </w:p>
    <w:p w14:paraId="52953B2C" w14:textId="08CC7E56" w:rsidR="00941819" w:rsidRDefault="00941819" w:rsidP="00CA504E">
      <w:pPr>
        <w:pStyle w:val="BodyTextIndent"/>
        <w:spacing w:after="0"/>
        <w:ind w:firstLine="0"/>
        <w:jc w:val="left"/>
        <w:rPr>
          <w:sz w:val="22"/>
        </w:rPr>
      </w:pPr>
      <w:r w:rsidRPr="00941819">
        <w:rPr>
          <w:sz w:val="22"/>
        </w:rPr>
        <w:t>The next step in evaluating the adaptive response is to determine the value that could be lost due to SLR inundation or flooding caused by storm surge.  For SLR inundation, this value is simply the total property value.  On the other hand, because storm surge only causes temporary inundation, the full property value would not be lost</w:t>
      </w:r>
      <w:r w:rsidR="001813C4">
        <w:rPr>
          <w:sz w:val="22"/>
        </w:rPr>
        <w:t xml:space="preserve"> following these episodic events</w:t>
      </w:r>
      <w:r w:rsidRPr="00941819">
        <w:rPr>
          <w:sz w:val="22"/>
        </w:rPr>
        <w:t xml:space="preserve">.  Instead, we apply depth-damage functions from the Army Corps to calculate the percentage of a property’s structural value that could be lost.  For pipelines, we assume that the full value of pipeline would be lost (i.e., the pipeline would be completely destroyed) due to any amount of storm surge.  Although it is likely that pipeline along the coast would be built to withstand some amount of storm surge, we were unable to identify evidence of this.  Therefore, our assumption of complete loss provides a high-end estimate of potential damages to </w:t>
      </w:r>
      <w:r w:rsidR="00AB1700">
        <w:rPr>
          <w:sz w:val="22"/>
        </w:rPr>
        <w:t xml:space="preserve">this type of </w:t>
      </w:r>
      <w:r w:rsidRPr="00941819">
        <w:rPr>
          <w:sz w:val="22"/>
        </w:rPr>
        <w:t>energy distribution</w:t>
      </w:r>
      <w:r w:rsidR="00AB1700">
        <w:rPr>
          <w:sz w:val="22"/>
        </w:rPr>
        <w:t xml:space="preserve"> infrastructure</w:t>
      </w:r>
      <w:r w:rsidRPr="00941819">
        <w:rPr>
          <w:sz w:val="22"/>
        </w:rPr>
        <w:t>.</w:t>
      </w:r>
    </w:p>
    <w:p w14:paraId="420BD5F6" w14:textId="77777777" w:rsidR="007D7566" w:rsidRPr="00941819" w:rsidRDefault="007D7566" w:rsidP="00CA504E">
      <w:pPr>
        <w:pStyle w:val="BodyTextIndent"/>
        <w:spacing w:after="0"/>
        <w:ind w:firstLine="0"/>
        <w:jc w:val="left"/>
        <w:rPr>
          <w:sz w:val="22"/>
        </w:rPr>
      </w:pPr>
    </w:p>
    <w:p w14:paraId="5B1C0313" w14:textId="2643AE60" w:rsidR="00941819" w:rsidRDefault="00941819" w:rsidP="00CA504E">
      <w:pPr>
        <w:pStyle w:val="BodyTextIndent"/>
        <w:spacing w:after="0"/>
        <w:ind w:firstLine="0"/>
        <w:jc w:val="left"/>
        <w:rPr>
          <w:sz w:val="22"/>
        </w:rPr>
      </w:pPr>
      <w:r w:rsidRPr="00941819">
        <w:rPr>
          <w:sz w:val="22"/>
        </w:rPr>
        <w:t xml:space="preserve">Once we have determined the value that could be lost due to SLR inundation and flooding, the model weighs these values against the costs to protect the property.  Figures </w:t>
      </w:r>
      <w:r w:rsidR="00AB1700">
        <w:rPr>
          <w:sz w:val="22"/>
        </w:rPr>
        <w:t>S-1</w:t>
      </w:r>
      <w:r w:rsidRPr="00941819">
        <w:rPr>
          <w:sz w:val="22"/>
        </w:rPr>
        <w:t xml:space="preserve"> </w:t>
      </w:r>
      <w:r w:rsidR="00AB1700">
        <w:rPr>
          <w:sz w:val="22"/>
        </w:rPr>
        <w:t>S-2</w:t>
      </w:r>
      <w:r w:rsidRPr="00941819">
        <w:rPr>
          <w:sz w:val="22"/>
        </w:rPr>
        <w:t xml:space="preserve"> outline the protection decisions contained within the model.  In summary, when at risk from SLR, a property will be abandoned if the cost to protect the property is greater than its value.  If the cost is less than the value of the property the property will either armor or nourish depending upon whether it is located on a sandy beach.  The value of a property includes both the assessed property value plus the value of any energy pipelines located within the property.  </w:t>
      </w:r>
    </w:p>
    <w:p w14:paraId="5CAEDF65" w14:textId="77777777" w:rsidR="007D7566" w:rsidRPr="00941819" w:rsidRDefault="007D7566" w:rsidP="00CA504E">
      <w:pPr>
        <w:pStyle w:val="BodyTextIndent"/>
        <w:spacing w:after="0"/>
        <w:ind w:firstLine="0"/>
        <w:jc w:val="left"/>
        <w:rPr>
          <w:sz w:val="22"/>
        </w:rPr>
      </w:pPr>
    </w:p>
    <w:p w14:paraId="3BBD0A52" w14:textId="77777777" w:rsidR="00941819" w:rsidRDefault="00941819" w:rsidP="00CA504E">
      <w:pPr>
        <w:pStyle w:val="BodyTextIndent"/>
        <w:spacing w:after="0"/>
        <w:ind w:firstLine="0"/>
        <w:jc w:val="left"/>
        <w:rPr>
          <w:sz w:val="22"/>
        </w:rPr>
      </w:pPr>
      <w:r w:rsidRPr="00941819">
        <w:rPr>
          <w:sz w:val="22"/>
        </w:rPr>
        <w:t xml:space="preserve">In the case of storm surge there is one additional decision option available to property owners, to neither abandon nor protect, but temporarily incur storm surge damages and the costs associated with repair.  For storm surge, a property will be abandoned if storm surge damages over a 10-year time frame are greater </w:t>
      </w:r>
      <w:r w:rsidRPr="00941819">
        <w:rPr>
          <w:sz w:val="22"/>
        </w:rPr>
        <w:lastRenderedPageBreak/>
        <w:t>than the value of the property, if not the property will temporarily incur storm surge damages if the costs to protect are greater than the 10-year storm surge damages and will either armor or elevate, whichever is lower cost, if the costs to protect are less than the 10-year storm surge damages.</w:t>
      </w:r>
    </w:p>
    <w:p w14:paraId="5E41C374" w14:textId="77777777" w:rsidR="007D7566" w:rsidRPr="00941819" w:rsidRDefault="007D7566" w:rsidP="007D7566">
      <w:pPr>
        <w:pStyle w:val="BodyTextIndent"/>
        <w:spacing w:after="0"/>
        <w:ind w:firstLine="0"/>
        <w:rPr>
          <w:sz w:val="22"/>
        </w:rPr>
      </w:pPr>
    </w:p>
    <w:p w14:paraId="1BF426EA" w14:textId="77777777" w:rsidR="00941819" w:rsidRPr="00941819" w:rsidRDefault="00941819" w:rsidP="00941819">
      <w:pPr>
        <w:pStyle w:val="BodyTextIndent"/>
        <w:spacing w:after="0"/>
        <w:rPr>
          <w:sz w:val="22"/>
        </w:rPr>
      </w:pPr>
    </w:p>
    <w:p w14:paraId="00859675" w14:textId="77777777" w:rsidR="00941819" w:rsidRPr="00941819" w:rsidRDefault="007D7566" w:rsidP="00941819">
      <w:pPr>
        <w:pStyle w:val="BodyTextIndent"/>
        <w:spacing w:after="0"/>
        <w:ind w:firstLine="0"/>
        <w:rPr>
          <w:b/>
          <w:sz w:val="22"/>
        </w:rPr>
      </w:pPr>
      <w:r>
        <w:rPr>
          <w:b/>
          <w:sz w:val="22"/>
        </w:rPr>
        <w:t>F</w:t>
      </w:r>
      <w:r w:rsidR="00941819" w:rsidRPr="00941819">
        <w:rPr>
          <w:b/>
          <w:sz w:val="22"/>
        </w:rPr>
        <w:t xml:space="preserve">igure </w:t>
      </w:r>
      <w:r>
        <w:rPr>
          <w:b/>
          <w:sz w:val="22"/>
        </w:rPr>
        <w:t>S-1</w:t>
      </w:r>
      <w:r w:rsidR="00941819" w:rsidRPr="00941819">
        <w:rPr>
          <w:b/>
          <w:sz w:val="22"/>
        </w:rPr>
        <w:tab/>
        <w:t>SLR Decision Tree with Energy Analysis</w:t>
      </w:r>
      <w:r w:rsidR="00941819" w:rsidRPr="00941819">
        <w:rPr>
          <w:b/>
          <w:sz w:val="22"/>
        </w:rPr>
        <w:tab/>
      </w:r>
    </w:p>
    <w:p w14:paraId="1FE9C9DE" w14:textId="77777777" w:rsidR="00941819" w:rsidRPr="00941819" w:rsidRDefault="00941819" w:rsidP="00941819">
      <w:pPr>
        <w:pStyle w:val="BodyTextIndent"/>
        <w:spacing w:after="0"/>
        <w:rPr>
          <w:sz w:val="22"/>
        </w:rPr>
      </w:pPr>
      <w:r w:rsidRPr="00941819">
        <w:rPr>
          <w:noProof/>
          <w:sz w:val="22"/>
        </w:rPr>
        <w:drawing>
          <wp:inline distT="0" distB="0" distL="0" distR="0" wp14:anchorId="0A2DFC1D" wp14:editId="212D8C2D">
            <wp:extent cx="4624431" cy="206654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24431" cy="2066544"/>
                    </a:xfrm>
                    <a:prstGeom prst="rect">
                      <a:avLst/>
                    </a:prstGeom>
                    <a:noFill/>
                  </pic:spPr>
                </pic:pic>
              </a:graphicData>
            </a:graphic>
          </wp:inline>
        </w:drawing>
      </w:r>
    </w:p>
    <w:p w14:paraId="66F20870" w14:textId="77777777" w:rsidR="00941819" w:rsidRPr="00941819" w:rsidRDefault="007D7566" w:rsidP="00941819">
      <w:pPr>
        <w:pStyle w:val="BodyTextIndent"/>
        <w:spacing w:after="0"/>
        <w:ind w:firstLine="0"/>
        <w:rPr>
          <w:b/>
          <w:sz w:val="22"/>
        </w:rPr>
      </w:pPr>
      <w:r>
        <w:rPr>
          <w:b/>
          <w:sz w:val="22"/>
        </w:rPr>
        <w:t>F</w:t>
      </w:r>
      <w:r w:rsidR="00941819" w:rsidRPr="00941819">
        <w:rPr>
          <w:b/>
          <w:sz w:val="22"/>
        </w:rPr>
        <w:t xml:space="preserve">igure </w:t>
      </w:r>
      <w:r>
        <w:rPr>
          <w:b/>
          <w:sz w:val="22"/>
        </w:rPr>
        <w:t>S-2</w:t>
      </w:r>
      <w:r w:rsidR="00941819" w:rsidRPr="00941819">
        <w:rPr>
          <w:b/>
          <w:sz w:val="22"/>
        </w:rPr>
        <w:tab/>
        <w:t>Storm Surge Decision Tree with Energy analysis</w:t>
      </w:r>
      <w:r w:rsidR="00941819" w:rsidRPr="00941819">
        <w:rPr>
          <w:b/>
          <w:sz w:val="22"/>
        </w:rPr>
        <w:tab/>
      </w:r>
    </w:p>
    <w:p w14:paraId="6E3A9E45" w14:textId="77777777" w:rsidR="00941819" w:rsidRPr="00941819" w:rsidRDefault="00941819" w:rsidP="00941819">
      <w:pPr>
        <w:pStyle w:val="BodyTextIndent"/>
        <w:spacing w:after="0"/>
        <w:rPr>
          <w:sz w:val="22"/>
        </w:rPr>
      </w:pPr>
      <w:r w:rsidRPr="00941819">
        <w:rPr>
          <w:noProof/>
          <w:sz w:val="22"/>
        </w:rPr>
        <w:drawing>
          <wp:inline distT="0" distB="0" distL="0" distR="0" wp14:anchorId="6B675131" wp14:editId="75A2C380">
            <wp:extent cx="5731913" cy="24003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5799" cy="2401927"/>
                    </a:xfrm>
                    <a:prstGeom prst="rect">
                      <a:avLst/>
                    </a:prstGeom>
                    <a:noFill/>
                  </pic:spPr>
                </pic:pic>
              </a:graphicData>
            </a:graphic>
          </wp:inline>
        </w:drawing>
      </w:r>
    </w:p>
    <w:p w14:paraId="59D69CAC" w14:textId="1CE85BD9" w:rsidR="00941819" w:rsidRDefault="00941819" w:rsidP="00CA504E">
      <w:pPr>
        <w:pStyle w:val="BodyTextIndent"/>
        <w:spacing w:after="0"/>
        <w:ind w:firstLine="0"/>
        <w:jc w:val="left"/>
        <w:rPr>
          <w:sz w:val="22"/>
        </w:rPr>
      </w:pPr>
      <w:r w:rsidRPr="00941819">
        <w:rPr>
          <w:sz w:val="22"/>
        </w:rPr>
        <w:t xml:space="preserve">The storm surge analysis </w:t>
      </w:r>
      <w:r w:rsidR="00CF32D2">
        <w:rPr>
          <w:sz w:val="22"/>
        </w:rPr>
        <w:t xml:space="preserve">can be run for </w:t>
      </w:r>
      <w:r w:rsidRPr="00941819">
        <w:rPr>
          <w:sz w:val="22"/>
        </w:rPr>
        <w:t>17 multi-county study areas (covering 70 of the 302 coastal counties in the NCPM) for which we have modeled storm surge</w:t>
      </w:r>
      <w:r w:rsidR="00CF32D2">
        <w:rPr>
          <w:sz w:val="22"/>
        </w:rPr>
        <w:t xml:space="preserve"> from Emanuel (2013)</w:t>
      </w:r>
      <w:r w:rsidRPr="00941819">
        <w:rPr>
          <w:sz w:val="22"/>
        </w:rPr>
        <w:t>.  These results are then extrapolated to the remaining 232 unmodeled counties using a discrete approach that first assigns the unmodeled counties to the closest multi-county study area within the same coastal region (East, Gulf, or West Coast) and then assigns the unmodeled counties to a modeled county within that study area based on the closest match for property value at risk.  This extrapolation allows us to preliminarily assess the impacts to energy infrastructure at a national level.</w:t>
      </w:r>
      <w:r w:rsidR="00CF32D2">
        <w:rPr>
          <w:sz w:val="22"/>
        </w:rPr>
        <w:t xml:space="preserve">  The storm surge component of the energy analysis can also be run using the comprehensive historic storm surge data available for all coastal counties – when this alternative storm surge data is used, no extrapolation is necessary.</w:t>
      </w:r>
    </w:p>
    <w:p w14:paraId="194569FF" w14:textId="77777777" w:rsidR="007D7566" w:rsidRDefault="007D7566" w:rsidP="007D7566">
      <w:pPr>
        <w:pStyle w:val="BodyTextIndent"/>
        <w:spacing w:after="0"/>
        <w:ind w:firstLine="0"/>
        <w:rPr>
          <w:sz w:val="22"/>
        </w:rPr>
      </w:pPr>
    </w:p>
    <w:p w14:paraId="17002A9D" w14:textId="77777777" w:rsidR="007D7566" w:rsidRPr="0081666E" w:rsidRDefault="0081666E" w:rsidP="007D7566">
      <w:pPr>
        <w:pStyle w:val="BodyTextIndent"/>
        <w:spacing w:after="0"/>
        <w:ind w:firstLine="0"/>
        <w:rPr>
          <w:b/>
          <w:sz w:val="22"/>
        </w:rPr>
      </w:pPr>
      <w:r w:rsidRPr="0081666E">
        <w:rPr>
          <w:b/>
          <w:sz w:val="22"/>
        </w:rPr>
        <w:t>Sea Level Rise Projections</w:t>
      </w:r>
    </w:p>
    <w:p w14:paraId="7C6F8DBE" w14:textId="77777777" w:rsidR="0081666E" w:rsidRDefault="0081666E" w:rsidP="007D7566">
      <w:pPr>
        <w:pStyle w:val="BodyTextIndent"/>
        <w:spacing w:after="0"/>
        <w:ind w:firstLine="0"/>
        <w:rPr>
          <w:sz w:val="22"/>
        </w:rPr>
      </w:pPr>
    </w:p>
    <w:p w14:paraId="5E9DA184" w14:textId="7B12A144" w:rsidR="0081666E" w:rsidRPr="0081666E" w:rsidRDefault="0081666E" w:rsidP="00CA504E">
      <w:pPr>
        <w:pStyle w:val="BodyTextIndent"/>
        <w:spacing w:after="0"/>
        <w:ind w:firstLine="0"/>
        <w:jc w:val="left"/>
        <w:rPr>
          <w:sz w:val="22"/>
        </w:rPr>
      </w:pPr>
      <w:r w:rsidRPr="0081666E">
        <w:rPr>
          <w:sz w:val="22"/>
        </w:rPr>
        <w:t xml:space="preserve">For the Fourth National Climate Assessment, Sweet et al. (2017) developed a set of six global sea level rise scenarios that used the Kopp et al. (2014) projections to tie global scenarios to regional sea level changes. The highest of their six scenarios (the ‘extreme’ scenario) led to 2.5 m (8.2 ft) of global mean sea level (GMSL) rise between 2000 and 2100.  The decision to add this 2.5 m scenario (which ended at </w:t>
      </w:r>
      <w:r w:rsidRPr="0081666E">
        <w:rPr>
          <w:sz w:val="22"/>
        </w:rPr>
        <w:lastRenderedPageBreak/>
        <w:t xml:space="preserve">2.0 m for the Third National Climate Assessment) was based on newer evidence about the contributions of Antarctic ice-sheets to sea level rise (Kopp et al. (2017) and arguments from Miller et al. (2013) that 2.3–2.7 m (7.5–8.9 ft) of global mean sea level (GMSL) rise by 2100 was within the realm of physically plausibility. In addition, leveraging the Kopp et al. (2014) projection engine, the results from Sweet et al. (2017) include local sea level rise grids for each of their six GMSL rise scenarios. For this analysis, we use these 1-degree gridded projections from Sweet et al. (2017) by aggregating to the county-level. Of the three uncertainty scenarios—low, medium, high—we use the medium. </w:t>
      </w:r>
    </w:p>
    <w:p w14:paraId="604A2995" w14:textId="77777777" w:rsidR="00941819" w:rsidRDefault="00941819" w:rsidP="001913E9">
      <w:pPr>
        <w:pStyle w:val="BodyTextIndent"/>
        <w:spacing w:after="0"/>
        <w:ind w:firstLine="0"/>
        <w:rPr>
          <w:sz w:val="22"/>
        </w:rPr>
      </w:pPr>
    </w:p>
    <w:p w14:paraId="182A10CC" w14:textId="77777777" w:rsidR="0081666E" w:rsidRDefault="0081666E" w:rsidP="001913E9">
      <w:pPr>
        <w:pStyle w:val="BodyTextIndent"/>
        <w:spacing w:after="0"/>
        <w:ind w:firstLine="0"/>
        <w:rPr>
          <w:sz w:val="22"/>
        </w:rPr>
      </w:pPr>
      <w:r w:rsidRPr="0081666E">
        <w:rPr>
          <w:b/>
          <w:sz w:val="22"/>
        </w:rPr>
        <w:t>Storm Surge Probabilities</w:t>
      </w:r>
    </w:p>
    <w:p w14:paraId="20D32985" w14:textId="77777777" w:rsidR="0081666E" w:rsidRDefault="0081666E" w:rsidP="001913E9">
      <w:pPr>
        <w:pStyle w:val="BodyTextIndent"/>
        <w:spacing w:after="0"/>
        <w:ind w:firstLine="0"/>
        <w:rPr>
          <w:sz w:val="22"/>
        </w:rPr>
      </w:pPr>
    </w:p>
    <w:p w14:paraId="5FEC8AC3" w14:textId="26B00816" w:rsidR="0081666E" w:rsidRPr="0081666E" w:rsidRDefault="0081666E" w:rsidP="00CA504E">
      <w:pPr>
        <w:pStyle w:val="BodyTextIndent"/>
        <w:spacing w:after="0"/>
        <w:ind w:firstLine="0"/>
        <w:jc w:val="left"/>
        <w:rPr>
          <w:sz w:val="22"/>
        </w:rPr>
      </w:pPr>
      <w:r>
        <w:rPr>
          <w:sz w:val="22"/>
        </w:rPr>
        <w:t xml:space="preserve">Previous </w:t>
      </w:r>
      <w:r w:rsidRPr="0081666E">
        <w:rPr>
          <w:sz w:val="22"/>
        </w:rPr>
        <w:t>studies using the NCPM relied on projected storm surge probabilities derived from Emmanuel (2013). The modeling in Emanuel (2013) is complex and computationally expensive. As a result, storm surge probabilities were produced for 70 counties (of the 302) where major damages were expected. In previous NCPM work, an extrapolation technique was used to estimate damages for the remaining 232 counties. For this analysis we use historical tide gauge measurements</w:t>
      </w:r>
      <w:r w:rsidR="00727BFE">
        <w:rPr>
          <w:sz w:val="22"/>
        </w:rPr>
        <w:t xml:space="preserve"> (NOAA 2018)</w:t>
      </w:r>
      <w:r w:rsidRPr="0081666E">
        <w:rPr>
          <w:sz w:val="22"/>
        </w:rPr>
        <w:t>, which allows direct estimation of storm surge for all counties. Using these tide ga</w:t>
      </w:r>
      <w:r w:rsidR="00B542E5">
        <w:rPr>
          <w:sz w:val="22"/>
        </w:rPr>
        <w:t>u</w:t>
      </w:r>
      <w:r w:rsidRPr="0081666E">
        <w:rPr>
          <w:sz w:val="22"/>
        </w:rPr>
        <w:t xml:space="preserve">ges, we extracted the maximum daily water level from each record, and de-trended the resulting set of maximum gauge heights from each time series. From the detrended data, we then calculated a distribution of storm surge heights by fitting a generalized extreme value distribution to the annual maximum time series from each gauge. This provided an estimate of the surge heights associated with return intervals ranging from 2 years to 500 years. Tide gauges with less than 10 years of data were excluded. Stations were matched to counties using proximity and topography.  Storm surge probabilities may change in the future. However, for this analysis we opt to use historical tide gauge information because these provide greater coverage across coastal counties. </w:t>
      </w:r>
    </w:p>
    <w:p w14:paraId="10944491" w14:textId="77777777" w:rsidR="0081666E" w:rsidRDefault="0081666E" w:rsidP="001913E9">
      <w:pPr>
        <w:pStyle w:val="BodyTextIndent"/>
        <w:spacing w:after="0"/>
        <w:ind w:firstLine="0"/>
        <w:rPr>
          <w:sz w:val="22"/>
        </w:rPr>
      </w:pPr>
    </w:p>
    <w:p w14:paraId="23172D78" w14:textId="77777777" w:rsidR="0081666E" w:rsidRPr="00C75F03" w:rsidRDefault="00C75F03" w:rsidP="001913E9">
      <w:pPr>
        <w:pStyle w:val="BodyTextIndent"/>
        <w:spacing w:after="0"/>
        <w:ind w:firstLine="0"/>
        <w:rPr>
          <w:b/>
          <w:sz w:val="22"/>
        </w:rPr>
      </w:pPr>
      <w:r w:rsidRPr="00C75F03">
        <w:rPr>
          <w:b/>
          <w:sz w:val="22"/>
        </w:rPr>
        <w:t>Property Protection Decision Rules</w:t>
      </w:r>
    </w:p>
    <w:p w14:paraId="4B381050" w14:textId="77777777" w:rsidR="00C75F03" w:rsidRDefault="00C75F03" w:rsidP="001913E9">
      <w:pPr>
        <w:pStyle w:val="BodyTextIndent"/>
        <w:spacing w:after="0"/>
        <w:ind w:firstLine="0"/>
        <w:rPr>
          <w:sz w:val="22"/>
        </w:rPr>
      </w:pPr>
    </w:p>
    <w:p w14:paraId="40D69DFC" w14:textId="77777777" w:rsidR="00C75F03" w:rsidRPr="00C75F03" w:rsidRDefault="00C75F03" w:rsidP="00CA504E">
      <w:pPr>
        <w:pStyle w:val="BodyTextIndent"/>
        <w:spacing w:after="0"/>
        <w:ind w:firstLine="0"/>
        <w:jc w:val="left"/>
        <w:rPr>
          <w:sz w:val="22"/>
        </w:rPr>
      </w:pPr>
      <w:r w:rsidRPr="00C75F03">
        <w:rPr>
          <w:sz w:val="22"/>
        </w:rPr>
        <w:t>The original formulation of the NCPM triggered adaptation decisions for storm surge with simplified cost-benefit tests. The decision rules for permanent inundation associated with SLR were not changed. However, the decision rules for adaptation to episodic flooding caused by storm surge, which rises as sea levels rise, were reformulated to enable a traditional cost-benefit test. New rules were developed that compare the cost of different adaptation options within each cell to the expected reduction in damages that would result from those adaption options. As with the previous version of the NCPM, we assume that armoring and elevation will be implemented for the 100-year flood. The new cost-benefit test compares an estimate of discounted avoided damages over the next 30 years with the cost of each adaptation option. This decision rule is based on an estimate of expected annual damages (EAD) and expected annual benefits of adaptation. EAB is the avoided damages given the assumption that adaptation will prevent damages for events up to and including the current 100-year flood. The decision relies on the following variables:</w:t>
      </w:r>
    </w:p>
    <w:p w14:paraId="0477ACFC" w14:textId="77777777" w:rsidR="00C75F03" w:rsidRPr="00C75F03" w:rsidRDefault="00C75F03" w:rsidP="00C75F03">
      <w:pPr>
        <w:pStyle w:val="BodyTextIndent"/>
        <w:spacing w:after="0"/>
        <w:rPr>
          <w:sz w:val="22"/>
        </w:rPr>
      </w:pPr>
    </w:p>
    <w:p w14:paraId="7E33EA41" w14:textId="77777777" w:rsidR="00C75F03" w:rsidRPr="00C75F03" w:rsidRDefault="00C75F03" w:rsidP="00C75F03">
      <w:pPr>
        <w:pStyle w:val="BodyTextIndent"/>
        <w:spacing w:after="0"/>
        <w:rPr>
          <w:sz w:val="22"/>
        </w:rPr>
      </w:pPr>
      <w:r w:rsidRPr="00C75F03">
        <w:rPr>
          <w:sz w:val="22"/>
        </w:rPr>
        <w:t>P = Property value in a cell; varies across cells and is inflated over the model run</w:t>
      </w:r>
    </w:p>
    <w:p w14:paraId="28AEADFC" w14:textId="77777777" w:rsidR="00C75F03" w:rsidRPr="00C75F03" w:rsidRDefault="00C75F03" w:rsidP="00C75F03">
      <w:pPr>
        <w:pStyle w:val="BodyTextIndent"/>
        <w:spacing w:after="0"/>
        <w:rPr>
          <w:sz w:val="22"/>
        </w:rPr>
      </w:pPr>
      <w:r w:rsidRPr="00C75F03">
        <w:rPr>
          <w:sz w:val="22"/>
        </w:rPr>
        <w:t>C = Cost of adaptation; varies across cells and adaptation type. For abandonment, C = P. For armoring and elevation, cost includes capital and present value of maintenance.</w:t>
      </w:r>
    </w:p>
    <w:p w14:paraId="50556574" w14:textId="0B697A12" w:rsidR="00C75F03" w:rsidRPr="00C75F03" w:rsidRDefault="00C75F03" w:rsidP="00C75F03">
      <w:pPr>
        <w:pStyle w:val="BodyTextIndent"/>
        <w:spacing w:after="0"/>
        <w:rPr>
          <w:sz w:val="22"/>
        </w:rPr>
      </w:pPr>
      <w:r w:rsidRPr="00C75F03">
        <w:rPr>
          <w:sz w:val="22"/>
        </w:rPr>
        <w:t xml:space="preserve">EAD = Expected annual damages = Area A + Area B from </w:t>
      </w:r>
      <w:r w:rsidR="00941523">
        <w:rPr>
          <w:sz w:val="22"/>
        </w:rPr>
        <w:t>Figure S-3</w:t>
      </w:r>
      <w:r w:rsidRPr="00C75F03">
        <w:rPr>
          <w:sz w:val="22"/>
        </w:rPr>
        <w:t xml:space="preserve"> </w:t>
      </w:r>
      <w:r w:rsidR="00941523">
        <w:rPr>
          <w:sz w:val="22"/>
        </w:rPr>
        <w:t>below</w:t>
      </w:r>
      <w:r w:rsidRPr="00C75F03">
        <w:rPr>
          <w:sz w:val="22"/>
        </w:rPr>
        <w:t xml:space="preserve">. </w:t>
      </w:r>
    </w:p>
    <w:p w14:paraId="7721E2DC" w14:textId="77777777" w:rsidR="00C75F03" w:rsidRPr="00C75F03" w:rsidRDefault="00C75F03" w:rsidP="00C75F03">
      <w:pPr>
        <w:pStyle w:val="BodyTextIndent"/>
        <w:spacing w:after="0"/>
        <w:rPr>
          <w:sz w:val="22"/>
        </w:rPr>
      </w:pPr>
      <w:r w:rsidRPr="00C75F03">
        <w:rPr>
          <w:sz w:val="22"/>
        </w:rPr>
        <w:t>EADP = Expected annual damages with adaptation in place = Area B (i.e., damages for events larger than the 100-year event)</w:t>
      </w:r>
    </w:p>
    <w:p w14:paraId="6A091C50" w14:textId="77777777" w:rsidR="00C75F03" w:rsidRPr="00C75F03" w:rsidRDefault="00C75F03" w:rsidP="00C75F03">
      <w:pPr>
        <w:pStyle w:val="BodyTextIndent"/>
        <w:spacing w:after="0"/>
        <w:rPr>
          <w:sz w:val="22"/>
        </w:rPr>
      </w:pPr>
      <w:r w:rsidRPr="00C75F03">
        <w:rPr>
          <w:sz w:val="22"/>
        </w:rPr>
        <w:t>EAB = expected annual benefits of adaptation = EAD – EADP</w:t>
      </w:r>
    </w:p>
    <w:p w14:paraId="7A9015C8" w14:textId="1CC7DB4C" w:rsidR="00C75F03" w:rsidRDefault="00C75F03" w:rsidP="00C75F03">
      <w:pPr>
        <w:pStyle w:val="BodyTextIndent"/>
        <w:spacing w:after="0"/>
        <w:rPr>
          <w:sz w:val="22"/>
        </w:rPr>
      </w:pPr>
      <w:r w:rsidRPr="00C75F03">
        <w:rPr>
          <w:sz w:val="22"/>
        </w:rPr>
        <w:t xml:space="preserve">The new cost-benefit test compares an estimate of discounted avoided damages over the next 30 years with the cost of each adaptation option (see </w:t>
      </w:r>
      <w:r w:rsidRPr="00C75F03">
        <w:rPr>
          <w:sz w:val="22"/>
        </w:rPr>
        <w:fldChar w:fldCharType="begin"/>
      </w:r>
      <w:r w:rsidRPr="00C75F03">
        <w:rPr>
          <w:sz w:val="22"/>
        </w:rPr>
        <w:instrText xml:space="preserve"> REF _Ref508802436 \h </w:instrText>
      </w:r>
      <w:r w:rsidRPr="00C75F03">
        <w:rPr>
          <w:sz w:val="22"/>
        </w:rPr>
      </w:r>
      <w:r w:rsidRPr="00C75F03">
        <w:rPr>
          <w:sz w:val="22"/>
        </w:rPr>
        <w:fldChar w:fldCharType="separate"/>
      </w:r>
      <w:r w:rsidRPr="00C75F03">
        <w:rPr>
          <w:sz w:val="22"/>
        </w:rPr>
        <w:t>Figure</w:t>
      </w:r>
      <w:r w:rsidRPr="00C75F03">
        <w:rPr>
          <w:sz w:val="22"/>
        </w:rPr>
        <w:fldChar w:fldCharType="end"/>
      </w:r>
      <w:r w:rsidRPr="00C75F03">
        <w:rPr>
          <w:sz w:val="22"/>
        </w:rPr>
        <w:t xml:space="preserve"> </w:t>
      </w:r>
      <w:r w:rsidR="00B542E5">
        <w:rPr>
          <w:sz w:val="22"/>
        </w:rPr>
        <w:t>S-</w:t>
      </w:r>
      <w:r w:rsidR="00941523">
        <w:rPr>
          <w:sz w:val="22"/>
        </w:rPr>
        <w:t>4</w:t>
      </w:r>
      <w:r w:rsidRPr="00C75F03">
        <w:rPr>
          <w:sz w:val="22"/>
        </w:rPr>
        <w:t>). The decision rule is based on an estimate of expected annual damages (EAD) and expected annual benefits of adaptation.</w:t>
      </w:r>
    </w:p>
    <w:p w14:paraId="3A34C10F" w14:textId="14DF3D1C" w:rsidR="00941523" w:rsidRDefault="00941523" w:rsidP="00C75F03">
      <w:pPr>
        <w:pStyle w:val="BodyTextIndent"/>
        <w:spacing w:after="0"/>
        <w:rPr>
          <w:sz w:val="22"/>
        </w:rPr>
      </w:pPr>
    </w:p>
    <w:p w14:paraId="53381AC9" w14:textId="77777777" w:rsidR="00941523" w:rsidRDefault="00941523" w:rsidP="00C75F03">
      <w:pPr>
        <w:pStyle w:val="BodyTextIndent"/>
        <w:spacing w:after="0"/>
        <w:rPr>
          <w:sz w:val="22"/>
        </w:rPr>
      </w:pPr>
    </w:p>
    <w:p w14:paraId="2D61324C" w14:textId="2534BD7B" w:rsidR="00941523" w:rsidRDefault="00941523" w:rsidP="00941523">
      <w:pPr>
        <w:pStyle w:val="BodyTextIndent"/>
        <w:ind w:firstLine="0"/>
        <w:rPr>
          <w:sz w:val="22"/>
        </w:rPr>
      </w:pPr>
      <w:r w:rsidRPr="00E2342A">
        <w:rPr>
          <w:b/>
          <w:bCs/>
          <w:sz w:val="22"/>
        </w:rPr>
        <w:lastRenderedPageBreak/>
        <w:t>Figure S-3</w:t>
      </w:r>
      <w:r>
        <w:rPr>
          <w:sz w:val="22"/>
        </w:rPr>
        <w:tab/>
      </w:r>
      <w:r w:rsidRPr="00941523">
        <w:rPr>
          <w:sz w:val="22"/>
        </w:rPr>
        <w:t>Illustration of how the NCPM estimates expected annual damage. The area under the curve represents EAD; area A is the EAD for floods that</w:t>
      </w:r>
      <w:r>
        <w:rPr>
          <w:sz w:val="22"/>
        </w:rPr>
        <w:t xml:space="preserve"> </w:t>
      </w:r>
      <w:r w:rsidRPr="00941523">
        <w:rPr>
          <w:sz w:val="22"/>
        </w:rPr>
        <w:t xml:space="preserve">have at least 1% annual chance exceedance and area B is the EAD for floods that have less than 1% annual chance exceedance. The NCPM </w:t>
      </w:r>
      <w:proofErr w:type="spellStart"/>
      <w:r w:rsidRPr="00941523">
        <w:rPr>
          <w:sz w:val="22"/>
        </w:rPr>
        <w:t>estimatesdamages</w:t>
      </w:r>
      <w:proofErr w:type="spellEnd"/>
      <w:r w:rsidRPr="00941523">
        <w:rPr>
          <w:sz w:val="22"/>
        </w:rPr>
        <w:t xml:space="preserve"> for flood events shown by the larger points along the curve.</w:t>
      </w:r>
    </w:p>
    <w:p w14:paraId="38914DDD" w14:textId="77777777" w:rsidR="00941523" w:rsidRDefault="00941523" w:rsidP="00C75F03">
      <w:pPr>
        <w:pStyle w:val="BodyTextIndent"/>
        <w:spacing w:after="0"/>
        <w:rPr>
          <w:sz w:val="22"/>
        </w:rPr>
      </w:pPr>
    </w:p>
    <w:p w14:paraId="04A08901" w14:textId="76C8D05A" w:rsidR="00BB3214" w:rsidRDefault="00941523">
      <w:pPr>
        <w:rPr>
          <w:sz w:val="22"/>
        </w:rPr>
      </w:pPr>
      <w:r w:rsidRPr="00941523">
        <w:rPr>
          <w:noProof/>
          <w:sz w:val="22"/>
        </w:rPr>
        <w:drawing>
          <wp:inline distT="0" distB="0" distL="0" distR="0" wp14:anchorId="5DEF9530" wp14:editId="03B60481">
            <wp:extent cx="5943600" cy="2381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381250"/>
                    </a:xfrm>
                    <a:prstGeom prst="rect">
                      <a:avLst/>
                    </a:prstGeom>
                    <a:noFill/>
                    <a:ln>
                      <a:noFill/>
                    </a:ln>
                  </pic:spPr>
                </pic:pic>
              </a:graphicData>
            </a:graphic>
          </wp:inline>
        </w:drawing>
      </w:r>
      <w:r w:rsidR="00BB3214">
        <w:rPr>
          <w:sz w:val="22"/>
        </w:rPr>
        <w:br w:type="page"/>
      </w:r>
    </w:p>
    <w:p w14:paraId="1DB49BD8" w14:textId="77777777" w:rsidR="00BB3214" w:rsidRPr="00C75F03" w:rsidRDefault="00BB3214" w:rsidP="00C75F03">
      <w:pPr>
        <w:pStyle w:val="BodyTextIndent"/>
        <w:spacing w:after="0"/>
        <w:rPr>
          <w:sz w:val="22"/>
        </w:rPr>
      </w:pPr>
    </w:p>
    <w:p w14:paraId="34CB74F4" w14:textId="4B34168B" w:rsidR="00C75F03" w:rsidRDefault="007D2389" w:rsidP="00C75F03">
      <w:pPr>
        <w:pStyle w:val="BodyTextIndent"/>
        <w:spacing w:after="0"/>
        <w:ind w:firstLine="0"/>
        <w:rPr>
          <w:b/>
          <w:sz w:val="22"/>
        </w:rPr>
      </w:pPr>
      <w:r>
        <w:rPr>
          <w:b/>
          <w:sz w:val="22"/>
        </w:rPr>
        <w:t>F</w:t>
      </w:r>
      <w:r w:rsidR="00C75F03" w:rsidRPr="00C75F03">
        <w:rPr>
          <w:b/>
          <w:sz w:val="22"/>
        </w:rPr>
        <w:t xml:space="preserve">igure </w:t>
      </w:r>
      <w:r>
        <w:rPr>
          <w:b/>
          <w:sz w:val="22"/>
        </w:rPr>
        <w:t>S-</w:t>
      </w:r>
      <w:r w:rsidR="00E2342A">
        <w:rPr>
          <w:b/>
          <w:sz w:val="22"/>
        </w:rPr>
        <w:t>4</w:t>
      </w:r>
      <w:r w:rsidR="00C75F03" w:rsidRPr="00C75F03">
        <w:rPr>
          <w:b/>
          <w:sz w:val="22"/>
        </w:rPr>
        <w:tab/>
        <w:t xml:space="preserve">New adaptation decision rule </w:t>
      </w:r>
      <w:r w:rsidR="00B542E5">
        <w:rPr>
          <w:b/>
          <w:sz w:val="22"/>
        </w:rPr>
        <w:t xml:space="preserve">for storm surge </w:t>
      </w:r>
      <w:r w:rsidR="00C75F03" w:rsidRPr="00C75F03">
        <w:rPr>
          <w:b/>
          <w:sz w:val="22"/>
        </w:rPr>
        <w:t>in the NCPM</w:t>
      </w:r>
    </w:p>
    <w:p w14:paraId="7C52730D" w14:textId="77777777" w:rsidR="007D2389" w:rsidRPr="00C75F03" w:rsidRDefault="007D2389" w:rsidP="00C75F03">
      <w:pPr>
        <w:pStyle w:val="BodyTextIndent"/>
        <w:spacing w:after="0"/>
        <w:ind w:firstLine="0"/>
        <w:rPr>
          <w:b/>
          <w:sz w:val="22"/>
        </w:rPr>
      </w:pPr>
    </w:p>
    <w:p w14:paraId="0214C5B1" w14:textId="77777777" w:rsidR="00C75F03" w:rsidRPr="00C75F03" w:rsidRDefault="00C75F03" w:rsidP="00C75F03">
      <w:pPr>
        <w:pStyle w:val="BodyTextIndent"/>
        <w:spacing w:after="0"/>
        <w:rPr>
          <w:sz w:val="22"/>
        </w:rPr>
      </w:pPr>
      <w:r w:rsidRPr="00C75F03">
        <w:rPr>
          <w:noProof/>
          <w:sz w:val="22"/>
        </w:rPr>
        <w:drawing>
          <wp:inline distT="0" distB="0" distL="0" distR="0" wp14:anchorId="00330BB3" wp14:editId="415491CB">
            <wp:extent cx="2667000" cy="4386005"/>
            <wp:effectExtent l="0" t="0" r="0" b="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73912" cy="4397371"/>
                    </a:xfrm>
                    <a:prstGeom prst="rect">
                      <a:avLst/>
                    </a:prstGeom>
                  </pic:spPr>
                </pic:pic>
              </a:graphicData>
            </a:graphic>
          </wp:inline>
        </w:drawing>
      </w:r>
    </w:p>
    <w:p w14:paraId="71F0D676" w14:textId="77777777" w:rsidR="007D2389" w:rsidRDefault="007D2389" w:rsidP="007D2389">
      <w:pPr>
        <w:pStyle w:val="BodyTextIndent"/>
        <w:spacing w:after="0"/>
        <w:ind w:firstLine="0"/>
        <w:rPr>
          <w:sz w:val="22"/>
        </w:rPr>
      </w:pPr>
    </w:p>
    <w:p w14:paraId="3F6071CB" w14:textId="77777777" w:rsidR="00C75F03" w:rsidRPr="00C75F03" w:rsidRDefault="00C75F03" w:rsidP="00CA504E">
      <w:pPr>
        <w:pStyle w:val="BodyTextIndent"/>
        <w:spacing w:after="0"/>
        <w:ind w:firstLine="0"/>
        <w:jc w:val="left"/>
        <w:rPr>
          <w:sz w:val="22"/>
        </w:rPr>
      </w:pPr>
      <w:r w:rsidRPr="00C75F03">
        <w:rPr>
          <w:sz w:val="22"/>
        </w:rPr>
        <w:t xml:space="preserve">For each adaptation decision, the NCPM looks ahead 30 years, using current EAD as the approximation. The NCPM discounts future EAD, which has for Federal Government sponsored analyses been the 3 percent (real) rate required by OMB Circular A-4, to obtain a present value of expected damages over 30 years. Expected damages are estimated with and without adaptation for the 100-year event in order to estimate a present value of expected benefits of adaptation. In its simplest form, the decision rule implements the lowest cost adaptation option if EAB for that option exceeds C. This represents a traditional cost-benefit test for optimal risk reduction investment. </w:t>
      </w:r>
    </w:p>
    <w:p w14:paraId="71FA4C23" w14:textId="77777777" w:rsidR="00C75F03" w:rsidRDefault="00C75F03" w:rsidP="001913E9">
      <w:pPr>
        <w:pStyle w:val="BodyTextIndent"/>
        <w:spacing w:after="0"/>
        <w:ind w:firstLine="0"/>
        <w:rPr>
          <w:sz w:val="22"/>
        </w:rPr>
      </w:pPr>
    </w:p>
    <w:p w14:paraId="2A47E14A" w14:textId="56B71736" w:rsidR="00651AEB" w:rsidRPr="00651AEB" w:rsidRDefault="00651AEB" w:rsidP="001913E9">
      <w:pPr>
        <w:pStyle w:val="BodyTextIndent"/>
        <w:spacing w:after="0"/>
        <w:ind w:firstLine="0"/>
        <w:rPr>
          <w:b/>
          <w:sz w:val="22"/>
        </w:rPr>
      </w:pPr>
      <w:r w:rsidRPr="00651AEB">
        <w:rPr>
          <w:b/>
          <w:sz w:val="22"/>
        </w:rPr>
        <w:t>Model Initiation</w:t>
      </w:r>
      <w:r w:rsidR="000D50D6">
        <w:rPr>
          <w:b/>
          <w:sz w:val="22"/>
        </w:rPr>
        <w:t xml:space="preserve"> (</w:t>
      </w:r>
      <w:proofErr w:type="spellStart"/>
      <w:r w:rsidR="000D50D6">
        <w:rPr>
          <w:b/>
          <w:sz w:val="22"/>
        </w:rPr>
        <w:t>Spinup</w:t>
      </w:r>
      <w:proofErr w:type="spellEnd"/>
      <w:r w:rsidR="000D50D6">
        <w:rPr>
          <w:b/>
          <w:sz w:val="22"/>
        </w:rPr>
        <w:t>)</w:t>
      </w:r>
    </w:p>
    <w:p w14:paraId="229A900D" w14:textId="77777777" w:rsidR="00651AEB" w:rsidRDefault="00651AEB" w:rsidP="001913E9">
      <w:pPr>
        <w:pStyle w:val="BodyTextIndent"/>
        <w:spacing w:after="0"/>
        <w:ind w:firstLine="0"/>
        <w:rPr>
          <w:sz w:val="22"/>
        </w:rPr>
      </w:pPr>
    </w:p>
    <w:p w14:paraId="1E951718" w14:textId="156A108D" w:rsidR="00651AEB" w:rsidRDefault="00651AEB" w:rsidP="00CA504E">
      <w:pPr>
        <w:pStyle w:val="BodyTextIndent"/>
        <w:spacing w:after="0"/>
        <w:ind w:firstLine="0"/>
        <w:jc w:val="left"/>
        <w:rPr>
          <w:sz w:val="22"/>
        </w:rPr>
      </w:pPr>
      <w:r>
        <w:rPr>
          <w:sz w:val="22"/>
        </w:rPr>
        <w:t>C</w:t>
      </w:r>
      <w:r w:rsidRPr="00651AEB">
        <w:rPr>
          <w:sz w:val="22"/>
        </w:rPr>
        <w:t>omprehensive data on existing storm surge protection (sea walls, elevated structures) across CONUS, to our knowledge, is not available. We account for existing protection by first running the NCPM over an initiation period. This technique is also called model “spin-up” and is often used in dynamic models to provide a consistent starting point for each simulation. Model initiation allows for the most cost-effective protection during model initiation, with all options available independent of the adaptation scenario. These costs are excluded in the total costs. There is evidence</w:t>
      </w:r>
      <w:r w:rsidR="00727BFE">
        <w:rPr>
          <w:sz w:val="22"/>
        </w:rPr>
        <w:t xml:space="preserve"> (</w:t>
      </w:r>
      <w:proofErr w:type="spellStart"/>
      <w:r w:rsidR="00727BFE" w:rsidRPr="00727BFE">
        <w:rPr>
          <w:sz w:val="22"/>
        </w:rPr>
        <w:t>Bakkensen</w:t>
      </w:r>
      <w:proofErr w:type="spellEnd"/>
      <w:r w:rsidR="00727BFE">
        <w:rPr>
          <w:sz w:val="22"/>
        </w:rPr>
        <w:t xml:space="preserve"> and </w:t>
      </w:r>
      <w:r w:rsidR="00727BFE" w:rsidRPr="00727BFE">
        <w:rPr>
          <w:sz w:val="22"/>
        </w:rPr>
        <w:t>Mendelsohn</w:t>
      </w:r>
      <w:r w:rsidR="00727BFE">
        <w:rPr>
          <w:sz w:val="22"/>
        </w:rPr>
        <w:t xml:space="preserve"> </w:t>
      </w:r>
      <w:r w:rsidR="00727BFE" w:rsidRPr="00727BFE">
        <w:rPr>
          <w:sz w:val="22"/>
        </w:rPr>
        <w:t>2016</w:t>
      </w:r>
      <w:r w:rsidR="00727BFE">
        <w:rPr>
          <w:sz w:val="22"/>
        </w:rPr>
        <w:t>)</w:t>
      </w:r>
      <w:r w:rsidRPr="00651AEB">
        <w:rPr>
          <w:sz w:val="22"/>
        </w:rPr>
        <w:t xml:space="preserve"> that suggests there is little meaningful adaptation to coastal flood risk in the U.S. Further, there is ample evidence that people’s flood risk choices, including mitigation investments, do not follow traditional rational economic assumptions</w:t>
      </w:r>
      <w:r w:rsidR="00727BFE">
        <w:rPr>
          <w:sz w:val="22"/>
        </w:rPr>
        <w:t xml:space="preserve"> (</w:t>
      </w:r>
      <w:proofErr w:type="spellStart"/>
      <w:r w:rsidR="00727BFE">
        <w:rPr>
          <w:sz w:val="22"/>
        </w:rPr>
        <w:t>Wachinger</w:t>
      </w:r>
      <w:proofErr w:type="spellEnd"/>
      <w:r w:rsidR="00727BFE">
        <w:rPr>
          <w:sz w:val="22"/>
        </w:rPr>
        <w:t xml:space="preserve"> et al. 2013; </w:t>
      </w:r>
      <w:proofErr w:type="spellStart"/>
      <w:r w:rsidR="00727BFE">
        <w:rPr>
          <w:sz w:val="22"/>
        </w:rPr>
        <w:t>Bubeck</w:t>
      </w:r>
      <w:proofErr w:type="spellEnd"/>
      <w:r w:rsidR="00727BFE">
        <w:rPr>
          <w:sz w:val="22"/>
        </w:rPr>
        <w:t xml:space="preserve"> et al. 2012;</w:t>
      </w:r>
      <w:r w:rsidR="00727BFE" w:rsidRPr="00727BFE">
        <w:rPr>
          <w:rFonts w:eastAsia="Times"/>
          <w:sz w:val="20"/>
        </w:rPr>
        <w:t xml:space="preserve"> </w:t>
      </w:r>
      <w:r w:rsidR="00727BFE" w:rsidRPr="00727BFE">
        <w:rPr>
          <w:sz w:val="22"/>
        </w:rPr>
        <w:t>Poussin</w:t>
      </w:r>
      <w:r w:rsidR="00727BFE">
        <w:rPr>
          <w:sz w:val="22"/>
        </w:rPr>
        <w:t xml:space="preserve"> et al. 2014)</w:t>
      </w:r>
      <w:r w:rsidRPr="00651AEB">
        <w:rPr>
          <w:sz w:val="22"/>
        </w:rPr>
        <w:t>.</w:t>
      </w:r>
      <w:r w:rsidR="00BE490F">
        <w:rPr>
          <w:sz w:val="22"/>
        </w:rPr>
        <w:t xml:space="preserve"> </w:t>
      </w:r>
      <w:r w:rsidRPr="00651AEB">
        <w:rPr>
          <w:sz w:val="22"/>
        </w:rPr>
        <w:t xml:space="preserve"> With </w:t>
      </w:r>
      <w:r w:rsidRPr="00651AEB">
        <w:rPr>
          <w:sz w:val="22"/>
        </w:rPr>
        <w:lastRenderedPageBreak/>
        <w:t xml:space="preserve">this in mind, it’s likely that our model initiation overbuilds—i.e., decisions made are more cost effective than reality. If we were to use a less than optimal initiation, three main issues arise. First, the model would need to estimate a suboptimal decision framework that mimics reality—a difficult task for model developers and nearly-impossible without historical information to tune or calibrate the results. Second, the model needs to start from a “stable” state. For example, if the model starts in a sub-optimal state for a proactive adaptation, a slug of protection will occur in the earlier years.   </w:t>
      </w:r>
    </w:p>
    <w:p w14:paraId="49026063" w14:textId="77777777" w:rsidR="000D50D6" w:rsidRDefault="000D50D6" w:rsidP="00CA504E">
      <w:pPr>
        <w:pStyle w:val="BodyTextIndent"/>
        <w:spacing w:after="0"/>
        <w:ind w:firstLine="0"/>
        <w:jc w:val="left"/>
        <w:rPr>
          <w:sz w:val="22"/>
        </w:rPr>
      </w:pPr>
    </w:p>
    <w:p w14:paraId="469085AF" w14:textId="032B7102" w:rsidR="000D50D6" w:rsidRDefault="000D50D6" w:rsidP="000D50D6">
      <w:pPr>
        <w:pStyle w:val="BodyTextIndent"/>
        <w:spacing w:after="0"/>
        <w:ind w:firstLine="0"/>
        <w:rPr>
          <w:sz w:val="22"/>
        </w:rPr>
      </w:pPr>
      <w:r>
        <w:rPr>
          <w:sz w:val="22"/>
        </w:rPr>
        <w:t xml:space="preserve">Costs were estimated nationally both with and without model initiation for the 150 cm, without adaptation scenario in order to better understand the impacts of model initiation on the final costs. The 150 cm scenario represents a high-end estimate but not as extreme as 200 or 250 cm and we expect model initiation (or </w:t>
      </w:r>
      <w:proofErr w:type="spellStart"/>
      <w:r>
        <w:rPr>
          <w:sz w:val="22"/>
        </w:rPr>
        <w:t>spinup</w:t>
      </w:r>
      <w:proofErr w:type="spellEnd"/>
      <w:r>
        <w:rPr>
          <w:sz w:val="22"/>
        </w:rPr>
        <w:t>) to have the largest impact on the No Adaptation scenario than either the Reactive or Proactive scenarios. Figure S-</w:t>
      </w:r>
      <w:r w:rsidR="00E2342A">
        <w:rPr>
          <w:sz w:val="22"/>
        </w:rPr>
        <w:t>5</w:t>
      </w:r>
      <w:r>
        <w:rPr>
          <w:sz w:val="22"/>
        </w:rPr>
        <w:t xml:space="preserve"> shows a comparison of these costs over time (left) and with a scatter plot (right) on a decadal basis. As shown, without </w:t>
      </w:r>
      <w:proofErr w:type="spellStart"/>
      <w:r>
        <w:rPr>
          <w:sz w:val="22"/>
        </w:rPr>
        <w:t>spinup</w:t>
      </w:r>
      <w:proofErr w:type="spellEnd"/>
      <w:r>
        <w:rPr>
          <w:sz w:val="22"/>
        </w:rPr>
        <w:t xml:space="preserve"> scenario starts in the first year with costs already reaching over $150 billion and rising to $350 billion. This gap of $150 billion persists between the with and without </w:t>
      </w:r>
      <w:proofErr w:type="spellStart"/>
      <w:r>
        <w:rPr>
          <w:sz w:val="22"/>
        </w:rPr>
        <w:t>spinup</w:t>
      </w:r>
      <w:proofErr w:type="spellEnd"/>
      <w:r>
        <w:rPr>
          <w:sz w:val="22"/>
        </w:rPr>
        <w:t xml:space="preserve"> results, although over time this gap lessens over time, as shown by the curve in the scatter plot.</w:t>
      </w:r>
    </w:p>
    <w:p w14:paraId="316552F5" w14:textId="619D81C8" w:rsidR="000D50D6" w:rsidRPr="000D6B5D" w:rsidRDefault="000D50D6" w:rsidP="000D50D6">
      <w:pPr>
        <w:keepNext/>
        <w:spacing w:before="240" w:after="120" w:line="280" w:lineRule="exact"/>
        <w:rPr>
          <w:rFonts w:ascii="Trebuchet MS" w:eastAsia="Times" w:hAnsi="Trebuchet MS"/>
          <w:b/>
          <w:caps/>
          <w:noProof/>
          <w:color w:val="003366"/>
          <w:spacing w:val="20"/>
          <w:kern w:val="8"/>
          <w:sz w:val="17"/>
        </w:rPr>
      </w:pPr>
      <w:r w:rsidRPr="000D6B5D">
        <w:rPr>
          <w:rFonts w:ascii="Trebuchet MS" w:eastAsia="Times" w:hAnsi="Trebuchet MS"/>
          <w:b/>
          <w:caps/>
          <w:noProof/>
          <w:color w:val="003366"/>
          <w:spacing w:val="20"/>
          <w:kern w:val="8"/>
          <w:sz w:val="17"/>
        </w:rPr>
        <w:t xml:space="preserve">Figure </w:t>
      </w:r>
      <w:r>
        <w:rPr>
          <w:rFonts w:ascii="Trebuchet MS" w:eastAsia="Times" w:hAnsi="Trebuchet MS"/>
          <w:b/>
          <w:caps/>
          <w:noProof/>
          <w:color w:val="003366"/>
          <w:spacing w:val="20"/>
          <w:kern w:val="8"/>
          <w:sz w:val="17"/>
        </w:rPr>
        <w:t>S-</w:t>
      </w:r>
      <w:r w:rsidR="00E2342A">
        <w:rPr>
          <w:rFonts w:ascii="Trebuchet MS" w:eastAsia="Times" w:hAnsi="Trebuchet MS"/>
          <w:b/>
          <w:caps/>
          <w:noProof/>
          <w:color w:val="003366"/>
          <w:spacing w:val="20"/>
          <w:kern w:val="8"/>
          <w:sz w:val="17"/>
        </w:rPr>
        <w:t>5</w:t>
      </w:r>
      <w:r w:rsidRPr="000D6B5D">
        <w:rPr>
          <w:rFonts w:ascii="Trebuchet MS" w:eastAsia="Times" w:hAnsi="Trebuchet MS"/>
          <w:b/>
          <w:caps/>
          <w:noProof/>
          <w:color w:val="003366"/>
          <w:spacing w:val="20"/>
          <w:kern w:val="8"/>
          <w:sz w:val="17"/>
        </w:rPr>
        <w:t>: Comparison of costs with and without spinup in timeseries (left) and in a scatter plot (right)</w:t>
      </w:r>
      <w:r>
        <w:rPr>
          <w:rFonts w:ascii="Trebuchet MS" w:eastAsia="Times" w:hAnsi="Trebuchet MS"/>
          <w:b/>
          <w:caps/>
          <w:noProof/>
          <w:color w:val="003366"/>
          <w:spacing w:val="20"/>
          <w:kern w:val="8"/>
          <w:sz w:val="17"/>
        </w:rPr>
        <w:t>, without adaptation, undiscounted, billion $2017 / year, for the 150 cm scenario</w:t>
      </w:r>
    </w:p>
    <w:p w14:paraId="172C4651" w14:textId="77777777" w:rsidR="000D50D6" w:rsidRDefault="000D50D6" w:rsidP="000D50D6">
      <w:pPr>
        <w:pStyle w:val="BodyTextIndent"/>
        <w:spacing w:after="0"/>
        <w:ind w:firstLine="0"/>
        <w:rPr>
          <w:sz w:val="22"/>
        </w:rPr>
      </w:pPr>
    </w:p>
    <w:p w14:paraId="18924594" w14:textId="77777777" w:rsidR="000D50D6" w:rsidRDefault="000D50D6" w:rsidP="000D50D6">
      <w:pPr>
        <w:pStyle w:val="BodyTextIndent"/>
        <w:keepNext/>
        <w:spacing w:after="0"/>
        <w:ind w:firstLine="0"/>
      </w:pPr>
      <w:r>
        <w:rPr>
          <w:noProof/>
          <w:sz w:val="22"/>
        </w:rPr>
        <w:drawing>
          <wp:inline distT="0" distB="0" distL="0" distR="0" wp14:anchorId="7D7F129B" wp14:editId="0EF9BD05">
            <wp:extent cx="5943600" cy="190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 Initiation Figure 150.jpg"/>
                    <pic:cNvPicPr/>
                  </pic:nvPicPr>
                  <pic:blipFill rotWithShape="1">
                    <a:blip r:embed="rId12">
                      <a:extLst>
                        <a:ext uri="{28A0092B-C50C-407E-A947-70E740481C1C}">
                          <a14:useLocalDpi xmlns:a14="http://schemas.microsoft.com/office/drawing/2010/main" val="0"/>
                        </a:ext>
                      </a:extLst>
                    </a:blip>
                    <a:srcRect t="24573" b="32692"/>
                    <a:stretch/>
                  </pic:blipFill>
                  <pic:spPr bwMode="auto">
                    <a:xfrm>
                      <a:off x="0" y="0"/>
                      <a:ext cx="5943600" cy="1905000"/>
                    </a:xfrm>
                    <a:prstGeom prst="rect">
                      <a:avLst/>
                    </a:prstGeom>
                    <a:ln>
                      <a:noFill/>
                    </a:ln>
                    <a:extLst>
                      <a:ext uri="{53640926-AAD7-44D8-BBD7-CCE9431645EC}">
                        <a14:shadowObscured xmlns:a14="http://schemas.microsoft.com/office/drawing/2010/main"/>
                      </a:ext>
                    </a:extLst>
                  </pic:spPr>
                </pic:pic>
              </a:graphicData>
            </a:graphic>
          </wp:inline>
        </w:drawing>
      </w:r>
    </w:p>
    <w:p w14:paraId="3E84026D" w14:textId="77777777" w:rsidR="000D50D6" w:rsidRDefault="000D50D6" w:rsidP="000D50D6">
      <w:pPr>
        <w:pStyle w:val="BodyTextIndent"/>
        <w:spacing w:after="0"/>
        <w:ind w:firstLine="0"/>
        <w:rPr>
          <w:sz w:val="22"/>
        </w:rPr>
      </w:pPr>
    </w:p>
    <w:p w14:paraId="695DEA42" w14:textId="77777777" w:rsidR="000D50D6" w:rsidRDefault="000D50D6" w:rsidP="000D50D6">
      <w:pPr>
        <w:pStyle w:val="BodyTextIndent"/>
        <w:spacing w:after="0"/>
        <w:ind w:firstLine="0"/>
        <w:rPr>
          <w:sz w:val="22"/>
        </w:rPr>
      </w:pPr>
      <w:r w:rsidRPr="00651AEB">
        <w:rPr>
          <w:sz w:val="22"/>
        </w:rPr>
        <w:t xml:space="preserve"> </w:t>
      </w:r>
    </w:p>
    <w:p w14:paraId="52F0DDF0" w14:textId="77777777" w:rsidR="000D50D6" w:rsidRDefault="000D50D6" w:rsidP="000D50D6">
      <w:pPr>
        <w:rPr>
          <w:b/>
          <w:sz w:val="22"/>
        </w:rPr>
      </w:pPr>
      <w:r>
        <w:rPr>
          <w:b/>
          <w:sz w:val="22"/>
        </w:rPr>
        <w:br w:type="page"/>
      </w:r>
    </w:p>
    <w:p w14:paraId="7FA1AF33" w14:textId="77777777" w:rsidR="00881F43" w:rsidRPr="00C16F84" w:rsidRDefault="00881F43" w:rsidP="00881F43">
      <w:pPr>
        <w:pStyle w:val="BodyTextIndent"/>
        <w:spacing w:after="0"/>
        <w:ind w:firstLine="0"/>
        <w:rPr>
          <w:b/>
          <w:sz w:val="22"/>
        </w:rPr>
      </w:pPr>
      <w:r>
        <w:rPr>
          <w:b/>
          <w:sz w:val="22"/>
        </w:rPr>
        <w:lastRenderedPageBreak/>
        <w:t>Comparison of costs for two sites</w:t>
      </w:r>
    </w:p>
    <w:p w14:paraId="78CB3794" w14:textId="77777777" w:rsidR="00881F43" w:rsidRPr="00651AEB" w:rsidRDefault="00881F43" w:rsidP="00881F43">
      <w:pPr>
        <w:pStyle w:val="BodyTextIndent"/>
        <w:spacing w:after="0"/>
        <w:ind w:firstLine="0"/>
        <w:rPr>
          <w:sz w:val="22"/>
        </w:rPr>
      </w:pPr>
    </w:p>
    <w:p w14:paraId="1081139D" w14:textId="77777777" w:rsidR="00881F43" w:rsidRDefault="00881F43" w:rsidP="00881F43">
      <w:pPr>
        <w:pStyle w:val="BodyTextIndent"/>
        <w:spacing w:after="0"/>
        <w:ind w:firstLine="0"/>
        <w:rPr>
          <w:sz w:val="22"/>
        </w:rPr>
      </w:pPr>
      <w:r w:rsidRPr="00651AEB">
        <w:rPr>
          <w:sz w:val="22"/>
        </w:rPr>
        <w:t xml:space="preserve">Two sites were chosen for comparison </w:t>
      </w:r>
      <w:r>
        <w:rPr>
          <w:sz w:val="22"/>
        </w:rPr>
        <w:t>because these sites have history with extensive storm surge damage.</w:t>
      </w:r>
      <w:r w:rsidRPr="00FA6530">
        <w:t xml:space="preserve"> </w:t>
      </w:r>
      <w:r>
        <w:rPr>
          <w:sz w:val="22"/>
        </w:rPr>
        <w:t>The</w:t>
      </w:r>
      <w:r w:rsidRPr="00FA6530">
        <w:rPr>
          <w:sz w:val="22"/>
        </w:rPr>
        <w:t xml:space="preserve"> two- county Tampa site</w:t>
      </w:r>
      <w:r>
        <w:rPr>
          <w:sz w:val="22"/>
        </w:rPr>
        <w:t xml:space="preserve"> (Pinellas and Hillsborough Counties)</w:t>
      </w:r>
      <w:r w:rsidRPr="00FA6530">
        <w:rPr>
          <w:sz w:val="22"/>
        </w:rPr>
        <w:t xml:space="preserve"> was chosen because it represents the highest estimated SLR and storm surge damage among Gulf Coast sites – Tampa also has an interesting combination of open ocean and back bay frontage; includes urban, rural, and beachfront settings; and includes a complex canal- style development that can be particularly difficult to assess in an</w:t>
      </w:r>
      <w:r>
        <w:rPr>
          <w:sz w:val="22"/>
        </w:rPr>
        <w:t xml:space="preserve"> aggregate model of this type. </w:t>
      </w:r>
      <w:r w:rsidRPr="00FA6530">
        <w:rPr>
          <w:sz w:val="22"/>
        </w:rPr>
        <w:t>The four- county Virginia Beach site was chosen because it ranks high on most SLR</w:t>
      </w:r>
      <w:r>
        <w:rPr>
          <w:sz w:val="22"/>
        </w:rPr>
        <w:t xml:space="preserve"> and storm surge vulnerability </w:t>
      </w:r>
      <w:r w:rsidRPr="00FA6530">
        <w:rPr>
          <w:sz w:val="22"/>
        </w:rPr>
        <w:t>assessments and also includes a mix of urban, suburban, and beachfront development.  Further, the Virginia Beach area has experienced a relatively high historic SLR rate for Atlantic Ocean fronting sites owing to high rates of subsidence (mainly due to isostatic rebound effects). The Virginia Beach site includes Hampton, Portsmouth, Norfolk, and Virginia Beach count</w:t>
      </w:r>
      <w:r>
        <w:rPr>
          <w:sz w:val="22"/>
        </w:rPr>
        <w:t>ies.</w:t>
      </w:r>
      <w:r w:rsidRPr="00651AEB">
        <w:rPr>
          <w:sz w:val="22"/>
        </w:rPr>
        <w:t xml:space="preserve"> </w:t>
      </w:r>
    </w:p>
    <w:p w14:paraId="43A682E2" w14:textId="77777777" w:rsidR="00881F43" w:rsidRDefault="00881F43" w:rsidP="00881F43">
      <w:pPr>
        <w:pStyle w:val="BodyTextIndent"/>
        <w:spacing w:after="0"/>
        <w:ind w:firstLine="0"/>
        <w:rPr>
          <w:sz w:val="22"/>
        </w:rPr>
      </w:pPr>
    </w:p>
    <w:p w14:paraId="272012F1" w14:textId="43567A14" w:rsidR="00881F43" w:rsidRDefault="00881F43" w:rsidP="00881F43">
      <w:pPr>
        <w:pStyle w:val="BodyTextIndent"/>
        <w:spacing w:after="0"/>
        <w:ind w:firstLine="0"/>
        <w:rPr>
          <w:sz w:val="22"/>
        </w:rPr>
      </w:pPr>
      <w:r w:rsidRPr="00651AEB">
        <w:rPr>
          <w:sz w:val="22"/>
        </w:rPr>
        <w:t xml:space="preserve">Table 1 shows differences in the resulting total costs (2001-2100) between Version 2 of the NCPM and the updated version that includes the updated SLR, updated storm surge probabilities, new decision rules, and model initiation. The main driver for these differences in total costs (particular discounted totals) is model initiation, which includes high abandonment costs for these two study sites, as well as costs for armoring and elevating. The new decision rules also significantly reduced abandonment, especially for the Tampa site (see Figure </w:t>
      </w:r>
      <w:r>
        <w:rPr>
          <w:sz w:val="22"/>
        </w:rPr>
        <w:t>S-</w:t>
      </w:r>
      <w:r w:rsidR="00E2342A">
        <w:rPr>
          <w:sz w:val="22"/>
        </w:rPr>
        <w:t>6</w:t>
      </w:r>
      <w:r w:rsidRPr="00651AEB">
        <w:rPr>
          <w:sz w:val="22"/>
        </w:rPr>
        <w:t xml:space="preserve">). </w:t>
      </w:r>
    </w:p>
    <w:p w14:paraId="47546B9C" w14:textId="3BFFB429" w:rsidR="00651AEB" w:rsidRPr="00CD30E7" w:rsidRDefault="00A03BCA" w:rsidP="00CD30E7">
      <w:pPr>
        <w:pStyle w:val="Heading2"/>
        <w:ind w:left="0" w:firstLine="0"/>
        <w:rPr>
          <w:rFonts w:eastAsia="Times"/>
          <w:b w:val="0"/>
          <w:noProof/>
          <w:sz w:val="22"/>
        </w:rPr>
      </w:pPr>
      <w:r w:rsidRPr="00E2720B">
        <w:rPr>
          <w:rFonts w:eastAsia="Times"/>
          <w:noProof/>
          <w:sz w:val="22"/>
          <w:u w:val="none"/>
        </w:rPr>
        <w:t>T</w:t>
      </w:r>
      <w:r w:rsidR="00651AEB" w:rsidRPr="00CD30E7">
        <w:rPr>
          <w:rFonts w:eastAsia="Times"/>
          <w:noProof/>
          <w:sz w:val="22"/>
          <w:u w:val="none"/>
        </w:rPr>
        <w:t xml:space="preserve">able </w:t>
      </w:r>
      <w:r w:rsidR="00050C19" w:rsidRPr="00CD30E7">
        <w:rPr>
          <w:rFonts w:eastAsia="Times"/>
          <w:noProof/>
          <w:sz w:val="22"/>
          <w:u w:val="none"/>
        </w:rPr>
        <w:t>S-</w:t>
      </w:r>
      <w:r w:rsidR="00651AEB" w:rsidRPr="00CD30E7">
        <w:rPr>
          <w:rFonts w:eastAsia="Times"/>
          <w:noProof/>
          <w:sz w:val="22"/>
          <w:u w:val="none"/>
        </w:rPr>
        <w:t>1</w:t>
      </w:r>
      <w:r w:rsidR="00651AEB" w:rsidRPr="00CD30E7">
        <w:rPr>
          <w:rFonts w:eastAsia="Times"/>
          <w:noProof/>
          <w:sz w:val="22"/>
          <w:u w:val="none"/>
        </w:rPr>
        <w:tab/>
        <w:t>Comparison of costs for two study sites, Tampa and Virginia Beach, undiscounted and discounted $2015, for 2001-2100 and the 150 cm SLR scenario.</w:t>
      </w:r>
    </w:p>
    <w:tbl>
      <w:tblPr>
        <w:tblW w:w="7290" w:type="dxa"/>
        <w:tblInd w:w="108" w:type="dxa"/>
        <w:tblLayout w:type="fixed"/>
        <w:tblLook w:val="04A0" w:firstRow="1" w:lastRow="0" w:firstColumn="1" w:lastColumn="0" w:noHBand="0" w:noVBand="1"/>
      </w:tblPr>
      <w:tblGrid>
        <w:gridCol w:w="854"/>
        <w:gridCol w:w="1216"/>
        <w:gridCol w:w="900"/>
        <w:gridCol w:w="900"/>
        <w:gridCol w:w="810"/>
        <w:gridCol w:w="900"/>
        <w:gridCol w:w="900"/>
        <w:gridCol w:w="810"/>
      </w:tblGrid>
      <w:tr w:rsidR="00651AEB" w:rsidRPr="00651AEB" w14:paraId="657DCABF" w14:textId="77777777" w:rsidTr="00E235EE">
        <w:trPr>
          <w:trHeight w:val="277"/>
        </w:trPr>
        <w:tc>
          <w:tcPr>
            <w:tcW w:w="854" w:type="dxa"/>
            <w:tcBorders>
              <w:top w:val="nil"/>
              <w:left w:val="nil"/>
              <w:right w:val="single" w:sz="4" w:space="0" w:color="auto"/>
            </w:tcBorders>
            <w:shd w:val="clear" w:color="000000" w:fill="FFFFFF"/>
            <w:vAlign w:val="center"/>
          </w:tcPr>
          <w:p w14:paraId="0CB12654" w14:textId="77777777" w:rsidR="00651AEB" w:rsidRPr="00651AEB" w:rsidRDefault="00651AEB" w:rsidP="00651AEB">
            <w:pPr>
              <w:jc w:val="center"/>
              <w:rPr>
                <w:rFonts w:ascii="Trebuchet MS" w:eastAsia="Times" w:hAnsi="Trebuchet MS"/>
                <w:b/>
                <w:bCs/>
                <w:color w:val="003366"/>
                <w:sz w:val="17"/>
                <w:szCs w:val="17"/>
              </w:rPr>
            </w:pPr>
          </w:p>
        </w:tc>
        <w:tc>
          <w:tcPr>
            <w:tcW w:w="1216" w:type="dxa"/>
            <w:vMerge w:val="restart"/>
            <w:tcBorders>
              <w:top w:val="single" w:sz="4" w:space="0" w:color="auto"/>
              <w:left w:val="single" w:sz="4" w:space="0" w:color="auto"/>
              <w:bottom w:val="single" w:sz="8" w:space="0" w:color="auto"/>
              <w:right w:val="single" w:sz="8" w:space="0" w:color="auto"/>
            </w:tcBorders>
            <w:shd w:val="clear" w:color="auto" w:fill="95B3D7" w:themeFill="accent1" w:themeFillTint="99"/>
            <w:noWrap/>
            <w:vAlign w:val="bottom"/>
          </w:tcPr>
          <w:p w14:paraId="03181227" w14:textId="77777777" w:rsidR="00651AEB" w:rsidRPr="00651AEB" w:rsidRDefault="00651AEB" w:rsidP="00651AEB">
            <w:pPr>
              <w:jc w:val="center"/>
              <w:rPr>
                <w:rFonts w:ascii="Trebuchet MS" w:eastAsia="Times" w:hAnsi="Trebuchet MS"/>
                <w:b/>
                <w:bCs/>
                <w:color w:val="003366"/>
                <w:sz w:val="17"/>
                <w:szCs w:val="17"/>
              </w:rPr>
            </w:pPr>
            <w:r w:rsidRPr="00651AEB">
              <w:rPr>
                <w:rFonts w:ascii="Trebuchet MS" w:eastAsia="Times" w:hAnsi="Trebuchet MS"/>
                <w:b/>
                <w:bCs/>
                <w:color w:val="003366"/>
                <w:sz w:val="17"/>
                <w:szCs w:val="17"/>
              </w:rPr>
              <w:t>Cost Type</w:t>
            </w:r>
          </w:p>
        </w:tc>
        <w:tc>
          <w:tcPr>
            <w:tcW w:w="2610" w:type="dxa"/>
            <w:gridSpan w:val="3"/>
            <w:tcBorders>
              <w:top w:val="single" w:sz="8" w:space="0" w:color="auto"/>
              <w:left w:val="single" w:sz="8" w:space="0" w:color="auto"/>
              <w:bottom w:val="single" w:sz="8" w:space="0" w:color="auto"/>
              <w:right w:val="single" w:sz="8" w:space="0" w:color="auto"/>
            </w:tcBorders>
            <w:shd w:val="clear" w:color="000000" w:fill="95B3D7"/>
            <w:vAlign w:val="bottom"/>
          </w:tcPr>
          <w:p w14:paraId="4D7D0708" w14:textId="77777777" w:rsidR="00651AEB" w:rsidRPr="00651AEB" w:rsidRDefault="00651AEB" w:rsidP="00651AEB">
            <w:pPr>
              <w:jc w:val="center"/>
              <w:rPr>
                <w:rFonts w:ascii="Trebuchet MS" w:eastAsia="Times" w:hAnsi="Trebuchet MS"/>
                <w:b/>
                <w:bCs/>
                <w:color w:val="003366"/>
                <w:sz w:val="17"/>
                <w:szCs w:val="17"/>
              </w:rPr>
            </w:pPr>
            <w:r w:rsidRPr="00651AEB">
              <w:rPr>
                <w:rFonts w:ascii="Trebuchet MS" w:eastAsia="Times" w:hAnsi="Trebuchet MS"/>
                <w:b/>
                <w:bCs/>
                <w:color w:val="003366"/>
                <w:sz w:val="17"/>
                <w:szCs w:val="17"/>
              </w:rPr>
              <w:t>Undiscounted Costs</w:t>
            </w:r>
          </w:p>
        </w:tc>
        <w:tc>
          <w:tcPr>
            <w:tcW w:w="2610" w:type="dxa"/>
            <w:gridSpan w:val="3"/>
            <w:tcBorders>
              <w:top w:val="single" w:sz="8" w:space="0" w:color="auto"/>
              <w:left w:val="single" w:sz="8" w:space="0" w:color="auto"/>
              <w:bottom w:val="single" w:sz="8" w:space="0" w:color="auto"/>
              <w:right w:val="single" w:sz="8" w:space="0" w:color="auto"/>
            </w:tcBorders>
            <w:shd w:val="clear" w:color="000000" w:fill="95B3D7"/>
            <w:vAlign w:val="bottom"/>
          </w:tcPr>
          <w:p w14:paraId="5083A5D5" w14:textId="77777777" w:rsidR="00651AEB" w:rsidRPr="00651AEB" w:rsidRDefault="00651AEB" w:rsidP="00651AEB">
            <w:pPr>
              <w:jc w:val="center"/>
              <w:rPr>
                <w:rFonts w:ascii="Trebuchet MS" w:eastAsia="Times" w:hAnsi="Trebuchet MS"/>
                <w:b/>
                <w:bCs/>
                <w:color w:val="003366"/>
                <w:sz w:val="17"/>
                <w:szCs w:val="17"/>
              </w:rPr>
            </w:pPr>
            <w:r w:rsidRPr="00651AEB">
              <w:rPr>
                <w:rFonts w:ascii="Trebuchet MS" w:eastAsia="Times" w:hAnsi="Trebuchet MS"/>
                <w:b/>
                <w:bCs/>
                <w:color w:val="003366"/>
                <w:sz w:val="17"/>
                <w:szCs w:val="17"/>
              </w:rPr>
              <w:t>Discounted Costs</w:t>
            </w:r>
          </w:p>
        </w:tc>
      </w:tr>
      <w:tr w:rsidR="00651AEB" w:rsidRPr="00651AEB" w14:paraId="7F5F737C" w14:textId="77777777" w:rsidTr="00E235EE">
        <w:trPr>
          <w:trHeight w:val="520"/>
        </w:trPr>
        <w:tc>
          <w:tcPr>
            <w:tcW w:w="854" w:type="dxa"/>
            <w:tcBorders>
              <w:left w:val="nil"/>
              <w:bottom w:val="single" w:sz="8" w:space="0" w:color="auto"/>
              <w:right w:val="single" w:sz="4" w:space="0" w:color="auto"/>
            </w:tcBorders>
            <w:shd w:val="clear" w:color="000000" w:fill="FFFFFF"/>
            <w:vAlign w:val="center"/>
            <w:hideMark/>
          </w:tcPr>
          <w:p w14:paraId="25D7F095" w14:textId="77777777" w:rsidR="00651AEB" w:rsidRPr="00651AEB" w:rsidRDefault="00651AEB" w:rsidP="00651AEB">
            <w:pPr>
              <w:jc w:val="center"/>
              <w:rPr>
                <w:rFonts w:ascii="Trebuchet MS" w:hAnsi="Trebuchet MS"/>
                <w:b/>
                <w:bCs/>
                <w:color w:val="003366"/>
                <w:sz w:val="17"/>
                <w:szCs w:val="17"/>
              </w:rPr>
            </w:pPr>
            <w:r w:rsidRPr="00651AEB">
              <w:rPr>
                <w:rFonts w:ascii="Trebuchet MS" w:eastAsia="Times" w:hAnsi="Trebuchet MS"/>
                <w:b/>
                <w:bCs/>
                <w:color w:val="003366"/>
                <w:sz w:val="17"/>
                <w:szCs w:val="17"/>
              </w:rPr>
              <w:t> </w:t>
            </w:r>
          </w:p>
        </w:tc>
        <w:tc>
          <w:tcPr>
            <w:tcW w:w="1216" w:type="dxa"/>
            <w:vMerge/>
            <w:tcBorders>
              <w:top w:val="single" w:sz="8" w:space="0" w:color="auto"/>
              <w:left w:val="single" w:sz="4" w:space="0" w:color="auto"/>
              <w:bottom w:val="single" w:sz="8" w:space="0" w:color="auto"/>
              <w:right w:val="single" w:sz="8" w:space="0" w:color="auto"/>
            </w:tcBorders>
            <w:shd w:val="clear" w:color="auto" w:fill="95B3D7" w:themeFill="accent1" w:themeFillTint="99"/>
            <w:noWrap/>
            <w:vAlign w:val="bottom"/>
            <w:hideMark/>
          </w:tcPr>
          <w:p w14:paraId="68354CE2" w14:textId="77777777" w:rsidR="00651AEB" w:rsidRPr="00651AEB" w:rsidRDefault="00651AEB" w:rsidP="00651AEB">
            <w:pPr>
              <w:jc w:val="center"/>
              <w:rPr>
                <w:rFonts w:ascii="Trebuchet MS" w:hAnsi="Trebuchet MS"/>
                <w:b/>
                <w:bCs/>
                <w:color w:val="003366"/>
                <w:sz w:val="17"/>
                <w:szCs w:val="17"/>
              </w:rPr>
            </w:pPr>
          </w:p>
        </w:tc>
        <w:tc>
          <w:tcPr>
            <w:tcW w:w="900" w:type="dxa"/>
            <w:tcBorders>
              <w:top w:val="single" w:sz="8" w:space="0" w:color="auto"/>
              <w:left w:val="single" w:sz="8" w:space="0" w:color="auto"/>
              <w:bottom w:val="single" w:sz="8" w:space="0" w:color="auto"/>
              <w:right w:val="single" w:sz="8" w:space="0" w:color="auto"/>
            </w:tcBorders>
            <w:shd w:val="clear" w:color="000000" w:fill="95B3D7"/>
            <w:vAlign w:val="bottom"/>
          </w:tcPr>
          <w:p w14:paraId="5FD36240" w14:textId="77777777" w:rsidR="00651AEB" w:rsidRPr="00651AEB" w:rsidRDefault="00651AEB" w:rsidP="00651AEB">
            <w:pPr>
              <w:jc w:val="center"/>
              <w:rPr>
                <w:rFonts w:ascii="Trebuchet MS" w:eastAsia="Times" w:hAnsi="Trebuchet MS"/>
                <w:b/>
                <w:bCs/>
                <w:color w:val="003366"/>
                <w:sz w:val="17"/>
                <w:szCs w:val="17"/>
              </w:rPr>
            </w:pPr>
            <w:r w:rsidRPr="00651AEB">
              <w:rPr>
                <w:rFonts w:ascii="Trebuchet MS" w:eastAsia="Times" w:hAnsi="Trebuchet MS"/>
                <w:b/>
                <w:bCs/>
                <w:color w:val="003366"/>
                <w:sz w:val="17"/>
                <w:szCs w:val="17"/>
              </w:rPr>
              <w:t>Version 2</w:t>
            </w:r>
          </w:p>
        </w:tc>
        <w:tc>
          <w:tcPr>
            <w:tcW w:w="900" w:type="dxa"/>
            <w:tcBorders>
              <w:top w:val="single" w:sz="8" w:space="0" w:color="auto"/>
              <w:left w:val="single" w:sz="8" w:space="0" w:color="auto"/>
              <w:bottom w:val="single" w:sz="8" w:space="0" w:color="auto"/>
              <w:right w:val="single" w:sz="8" w:space="0" w:color="auto"/>
            </w:tcBorders>
            <w:shd w:val="clear" w:color="000000" w:fill="95B3D7"/>
            <w:vAlign w:val="bottom"/>
          </w:tcPr>
          <w:p w14:paraId="4B6D1D85" w14:textId="77777777" w:rsidR="00651AEB" w:rsidRPr="00651AEB" w:rsidRDefault="00651AEB" w:rsidP="00651AEB">
            <w:pPr>
              <w:jc w:val="center"/>
              <w:rPr>
                <w:rFonts w:ascii="Trebuchet MS" w:eastAsia="Times" w:hAnsi="Trebuchet MS"/>
                <w:b/>
                <w:bCs/>
                <w:color w:val="003366"/>
                <w:sz w:val="17"/>
                <w:szCs w:val="17"/>
              </w:rPr>
            </w:pPr>
            <w:r w:rsidRPr="00651AEB">
              <w:rPr>
                <w:rFonts w:ascii="Trebuchet MS" w:eastAsia="Times" w:hAnsi="Trebuchet MS"/>
                <w:b/>
                <w:bCs/>
                <w:color w:val="003366"/>
                <w:sz w:val="17"/>
                <w:szCs w:val="17"/>
              </w:rPr>
              <w:t>Updated Version*</w:t>
            </w:r>
          </w:p>
        </w:tc>
        <w:tc>
          <w:tcPr>
            <w:tcW w:w="810" w:type="dxa"/>
            <w:tcBorders>
              <w:top w:val="single" w:sz="8" w:space="0" w:color="auto"/>
              <w:left w:val="single" w:sz="8" w:space="0" w:color="auto"/>
              <w:bottom w:val="single" w:sz="8" w:space="0" w:color="auto"/>
              <w:right w:val="single" w:sz="8" w:space="0" w:color="auto"/>
            </w:tcBorders>
            <w:shd w:val="clear" w:color="000000" w:fill="95B3D7"/>
            <w:vAlign w:val="bottom"/>
          </w:tcPr>
          <w:p w14:paraId="34126337" w14:textId="77777777" w:rsidR="00651AEB" w:rsidRPr="00651AEB" w:rsidRDefault="00651AEB" w:rsidP="00651AEB">
            <w:pPr>
              <w:jc w:val="center"/>
              <w:rPr>
                <w:rFonts w:ascii="Trebuchet MS" w:eastAsia="Times" w:hAnsi="Trebuchet MS"/>
                <w:b/>
                <w:bCs/>
                <w:color w:val="003366"/>
                <w:sz w:val="17"/>
                <w:szCs w:val="17"/>
              </w:rPr>
            </w:pPr>
            <w:r w:rsidRPr="00651AEB">
              <w:rPr>
                <w:rFonts w:ascii="Trebuchet MS" w:eastAsia="Times" w:hAnsi="Trebuchet MS"/>
                <w:b/>
                <w:bCs/>
                <w:color w:val="003366"/>
                <w:sz w:val="17"/>
                <w:szCs w:val="17"/>
              </w:rPr>
              <w:t>Differ-</w:t>
            </w:r>
            <w:proofErr w:type="spellStart"/>
            <w:r w:rsidRPr="00651AEB">
              <w:rPr>
                <w:rFonts w:ascii="Trebuchet MS" w:eastAsia="Times" w:hAnsi="Trebuchet MS"/>
                <w:b/>
                <w:bCs/>
                <w:color w:val="003366"/>
                <w:sz w:val="17"/>
                <w:szCs w:val="17"/>
              </w:rPr>
              <w:t>ence</w:t>
            </w:r>
            <w:proofErr w:type="spellEnd"/>
          </w:p>
        </w:tc>
        <w:tc>
          <w:tcPr>
            <w:tcW w:w="900" w:type="dxa"/>
            <w:tcBorders>
              <w:top w:val="single" w:sz="8" w:space="0" w:color="auto"/>
              <w:left w:val="single" w:sz="8" w:space="0" w:color="auto"/>
              <w:bottom w:val="single" w:sz="8" w:space="0" w:color="auto"/>
              <w:right w:val="single" w:sz="8" w:space="0" w:color="auto"/>
            </w:tcBorders>
            <w:shd w:val="clear" w:color="000000" w:fill="95B3D7"/>
            <w:noWrap/>
            <w:vAlign w:val="bottom"/>
            <w:hideMark/>
          </w:tcPr>
          <w:p w14:paraId="4074FE09" w14:textId="77777777" w:rsidR="00651AEB" w:rsidRPr="00651AEB" w:rsidRDefault="00651AEB" w:rsidP="00651AEB">
            <w:pPr>
              <w:jc w:val="center"/>
              <w:rPr>
                <w:rFonts w:ascii="Trebuchet MS" w:hAnsi="Trebuchet MS"/>
                <w:b/>
                <w:bCs/>
                <w:color w:val="003366"/>
                <w:sz w:val="17"/>
                <w:szCs w:val="17"/>
              </w:rPr>
            </w:pPr>
            <w:r w:rsidRPr="00651AEB">
              <w:rPr>
                <w:rFonts w:ascii="Trebuchet MS" w:eastAsia="Times" w:hAnsi="Trebuchet MS"/>
                <w:b/>
                <w:bCs/>
                <w:color w:val="003366"/>
                <w:sz w:val="17"/>
                <w:szCs w:val="17"/>
              </w:rPr>
              <w:t>Version 2</w:t>
            </w:r>
          </w:p>
        </w:tc>
        <w:tc>
          <w:tcPr>
            <w:tcW w:w="900" w:type="dxa"/>
            <w:tcBorders>
              <w:top w:val="single" w:sz="8" w:space="0" w:color="auto"/>
              <w:left w:val="nil"/>
              <w:bottom w:val="single" w:sz="8" w:space="0" w:color="auto"/>
              <w:right w:val="single" w:sz="8" w:space="0" w:color="auto"/>
            </w:tcBorders>
            <w:shd w:val="clear" w:color="000000" w:fill="95B3D7"/>
            <w:vAlign w:val="bottom"/>
            <w:hideMark/>
          </w:tcPr>
          <w:p w14:paraId="63427CEE" w14:textId="77777777" w:rsidR="00651AEB" w:rsidRPr="00651AEB" w:rsidRDefault="00651AEB" w:rsidP="00651AEB">
            <w:pPr>
              <w:jc w:val="center"/>
              <w:rPr>
                <w:rFonts w:ascii="Trebuchet MS" w:hAnsi="Trebuchet MS"/>
                <w:b/>
                <w:bCs/>
                <w:color w:val="003366"/>
                <w:sz w:val="17"/>
                <w:szCs w:val="17"/>
              </w:rPr>
            </w:pPr>
            <w:r w:rsidRPr="00651AEB">
              <w:rPr>
                <w:rFonts w:ascii="Trebuchet MS" w:eastAsia="Times" w:hAnsi="Trebuchet MS"/>
                <w:b/>
                <w:bCs/>
                <w:color w:val="003366"/>
                <w:sz w:val="17"/>
                <w:szCs w:val="17"/>
              </w:rPr>
              <w:t>Updated Version*</w:t>
            </w:r>
          </w:p>
        </w:tc>
        <w:tc>
          <w:tcPr>
            <w:tcW w:w="810" w:type="dxa"/>
            <w:tcBorders>
              <w:top w:val="single" w:sz="8" w:space="0" w:color="auto"/>
              <w:left w:val="nil"/>
              <w:bottom w:val="single" w:sz="8" w:space="0" w:color="auto"/>
              <w:right w:val="single" w:sz="8" w:space="0" w:color="auto"/>
            </w:tcBorders>
            <w:shd w:val="clear" w:color="000000" w:fill="95B3D7"/>
            <w:vAlign w:val="bottom"/>
            <w:hideMark/>
          </w:tcPr>
          <w:p w14:paraId="08BF9240" w14:textId="77777777" w:rsidR="00651AEB" w:rsidRPr="00651AEB" w:rsidRDefault="00651AEB" w:rsidP="00651AEB">
            <w:pPr>
              <w:jc w:val="center"/>
              <w:rPr>
                <w:rFonts w:ascii="Trebuchet MS" w:eastAsia="Times" w:hAnsi="Trebuchet MS"/>
                <w:b/>
                <w:bCs/>
                <w:color w:val="003366"/>
                <w:sz w:val="17"/>
                <w:szCs w:val="17"/>
              </w:rPr>
            </w:pPr>
            <w:r w:rsidRPr="00651AEB">
              <w:rPr>
                <w:rFonts w:ascii="Trebuchet MS" w:eastAsia="Times" w:hAnsi="Trebuchet MS"/>
                <w:b/>
                <w:bCs/>
                <w:color w:val="003366"/>
                <w:sz w:val="17"/>
                <w:szCs w:val="17"/>
              </w:rPr>
              <w:t>Differ-</w:t>
            </w:r>
          </w:p>
          <w:p w14:paraId="385A6848" w14:textId="77777777" w:rsidR="00651AEB" w:rsidRPr="00651AEB" w:rsidRDefault="00651AEB" w:rsidP="00651AEB">
            <w:pPr>
              <w:jc w:val="center"/>
              <w:rPr>
                <w:rFonts w:ascii="Trebuchet MS" w:hAnsi="Trebuchet MS"/>
                <w:b/>
                <w:bCs/>
                <w:color w:val="003366"/>
                <w:sz w:val="17"/>
                <w:szCs w:val="17"/>
              </w:rPr>
            </w:pPr>
            <w:proofErr w:type="spellStart"/>
            <w:r w:rsidRPr="00651AEB">
              <w:rPr>
                <w:rFonts w:ascii="Trebuchet MS" w:eastAsia="Times" w:hAnsi="Trebuchet MS"/>
                <w:b/>
                <w:bCs/>
                <w:color w:val="003366"/>
                <w:sz w:val="17"/>
                <w:szCs w:val="17"/>
              </w:rPr>
              <w:t>ence</w:t>
            </w:r>
            <w:proofErr w:type="spellEnd"/>
          </w:p>
        </w:tc>
      </w:tr>
      <w:tr w:rsidR="00651AEB" w:rsidRPr="00651AEB" w14:paraId="1AD23777" w14:textId="77777777" w:rsidTr="00E235EE">
        <w:trPr>
          <w:trHeight w:val="315"/>
        </w:trPr>
        <w:tc>
          <w:tcPr>
            <w:tcW w:w="854"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0BDE5A61" w14:textId="77777777" w:rsidR="00651AEB" w:rsidRPr="00651AEB" w:rsidRDefault="00651AEB" w:rsidP="00651AEB">
            <w:pPr>
              <w:jc w:val="center"/>
              <w:rPr>
                <w:rFonts w:ascii="Calibri" w:hAnsi="Calibri"/>
                <w:b/>
                <w:bCs/>
                <w:color w:val="000000"/>
              </w:rPr>
            </w:pPr>
            <w:r w:rsidRPr="00651AEB">
              <w:rPr>
                <w:rFonts w:ascii="Calibri" w:eastAsia="Times" w:hAnsi="Calibri"/>
                <w:b/>
                <w:bCs/>
                <w:color w:val="000000"/>
              </w:rPr>
              <w:t>Tampa</w:t>
            </w:r>
          </w:p>
        </w:tc>
        <w:tc>
          <w:tcPr>
            <w:tcW w:w="1216" w:type="dxa"/>
            <w:tcBorders>
              <w:top w:val="nil"/>
              <w:left w:val="nil"/>
              <w:bottom w:val="single" w:sz="8" w:space="0" w:color="auto"/>
              <w:right w:val="nil"/>
            </w:tcBorders>
            <w:shd w:val="clear" w:color="000000" w:fill="D9D9D9"/>
            <w:noWrap/>
            <w:vAlign w:val="center"/>
            <w:hideMark/>
          </w:tcPr>
          <w:p w14:paraId="6C3DF84D" w14:textId="77777777" w:rsidR="00651AEB" w:rsidRPr="00651AEB" w:rsidRDefault="00651AEB" w:rsidP="00651AEB">
            <w:pPr>
              <w:rPr>
                <w:rFonts w:ascii="Calibri" w:hAnsi="Calibri"/>
                <w:color w:val="000000"/>
              </w:rPr>
            </w:pPr>
            <w:r w:rsidRPr="00651AEB">
              <w:rPr>
                <w:rFonts w:ascii="Calibri" w:eastAsia="Times" w:hAnsi="Calibri"/>
                <w:color w:val="000000"/>
              </w:rPr>
              <w:t>Armor</w:t>
            </w:r>
          </w:p>
        </w:tc>
        <w:tc>
          <w:tcPr>
            <w:tcW w:w="900" w:type="dxa"/>
            <w:tcBorders>
              <w:top w:val="nil"/>
              <w:left w:val="single" w:sz="8" w:space="0" w:color="auto"/>
              <w:bottom w:val="single" w:sz="8" w:space="0" w:color="auto"/>
              <w:right w:val="single" w:sz="8" w:space="0" w:color="auto"/>
            </w:tcBorders>
            <w:shd w:val="clear" w:color="000000" w:fill="D9D9D9"/>
            <w:vAlign w:val="center"/>
          </w:tcPr>
          <w:p w14:paraId="206BA39A"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 xml:space="preserve">$9,659 </w:t>
            </w:r>
          </w:p>
        </w:tc>
        <w:tc>
          <w:tcPr>
            <w:tcW w:w="900" w:type="dxa"/>
            <w:tcBorders>
              <w:top w:val="nil"/>
              <w:left w:val="single" w:sz="8" w:space="0" w:color="auto"/>
              <w:bottom w:val="single" w:sz="8" w:space="0" w:color="auto"/>
              <w:right w:val="single" w:sz="8" w:space="0" w:color="auto"/>
            </w:tcBorders>
            <w:shd w:val="clear" w:color="000000" w:fill="D9D9D9"/>
            <w:vAlign w:val="center"/>
          </w:tcPr>
          <w:p w14:paraId="5C7007B6"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 xml:space="preserve">$6,333 </w:t>
            </w:r>
          </w:p>
        </w:tc>
        <w:tc>
          <w:tcPr>
            <w:tcW w:w="810" w:type="dxa"/>
            <w:tcBorders>
              <w:top w:val="nil"/>
              <w:left w:val="single" w:sz="8" w:space="0" w:color="auto"/>
              <w:bottom w:val="single" w:sz="8" w:space="0" w:color="auto"/>
              <w:right w:val="single" w:sz="8" w:space="0" w:color="auto"/>
            </w:tcBorders>
            <w:shd w:val="clear" w:color="000000" w:fill="D9D9D9"/>
            <w:vAlign w:val="center"/>
          </w:tcPr>
          <w:p w14:paraId="50E4B6DE"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-34%</w:t>
            </w:r>
          </w:p>
        </w:tc>
        <w:tc>
          <w:tcPr>
            <w:tcW w:w="900" w:type="dxa"/>
            <w:tcBorders>
              <w:top w:val="nil"/>
              <w:left w:val="single" w:sz="8" w:space="0" w:color="auto"/>
              <w:bottom w:val="single" w:sz="8" w:space="0" w:color="auto"/>
              <w:right w:val="single" w:sz="8" w:space="0" w:color="auto"/>
            </w:tcBorders>
            <w:shd w:val="clear" w:color="000000" w:fill="D9D9D9"/>
            <w:noWrap/>
            <w:vAlign w:val="center"/>
            <w:hideMark/>
          </w:tcPr>
          <w:p w14:paraId="7148561C" w14:textId="77777777" w:rsidR="00651AEB" w:rsidRPr="00651AEB" w:rsidRDefault="00651AEB" w:rsidP="00651AEB">
            <w:pPr>
              <w:jc w:val="right"/>
              <w:rPr>
                <w:rFonts w:ascii="Calibri" w:hAnsi="Calibri"/>
                <w:color w:val="000000"/>
              </w:rPr>
            </w:pPr>
            <w:r w:rsidRPr="00651AEB">
              <w:rPr>
                <w:rFonts w:ascii="Calibri" w:eastAsia="Times" w:hAnsi="Calibri"/>
                <w:color w:val="000000"/>
              </w:rPr>
              <w:t xml:space="preserve">$4,092 </w:t>
            </w:r>
          </w:p>
        </w:tc>
        <w:tc>
          <w:tcPr>
            <w:tcW w:w="900" w:type="dxa"/>
            <w:tcBorders>
              <w:top w:val="nil"/>
              <w:left w:val="nil"/>
              <w:bottom w:val="single" w:sz="8" w:space="0" w:color="auto"/>
              <w:right w:val="single" w:sz="8" w:space="0" w:color="auto"/>
            </w:tcBorders>
            <w:shd w:val="clear" w:color="000000" w:fill="D9D9D9"/>
            <w:noWrap/>
            <w:vAlign w:val="center"/>
            <w:hideMark/>
          </w:tcPr>
          <w:p w14:paraId="7F1C6CD9" w14:textId="77777777" w:rsidR="00651AEB" w:rsidRPr="00651AEB" w:rsidRDefault="00651AEB" w:rsidP="00651AEB">
            <w:pPr>
              <w:jc w:val="right"/>
              <w:rPr>
                <w:rFonts w:ascii="Calibri" w:hAnsi="Calibri"/>
                <w:color w:val="000000"/>
              </w:rPr>
            </w:pPr>
            <w:r w:rsidRPr="00651AEB">
              <w:rPr>
                <w:rFonts w:ascii="Calibri" w:eastAsia="Times" w:hAnsi="Calibri"/>
                <w:color w:val="000000"/>
              </w:rPr>
              <w:t xml:space="preserve">$1,706 </w:t>
            </w:r>
          </w:p>
        </w:tc>
        <w:tc>
          <w:tcPr>
            <w:tcW w:w="810" w:type="dxa"/>
            <w:tcBorders>
              <w:top w:val="nil"/>
              <w:left w:val="nil"/>
              <w:bottom w:val="single" w:sz="8" w:space="0" w:color="auto"/>
              <w:right w:val="single" w:sz="8" w:space="0" w:color="auto"/>
            </w:tcBorders>
            <w:shd w:val="clear" w:color="000000" w:fill="D9D9D9"/>
            <w:noWrap/>
            <w:vAlign w:val="center"/>
            <w:hideMark/>
          </w:tcPr>
          <w:p w14:paraId="0088CAA1" w14:textId="77777777" w:rsidR="00651AEB" w:rsidRPr="00651AEB" w:rsidRDefault="00651AEB" w:rsidP="00651AEB">
            <w:pPr>
              <w:jc w:val="right"/>
              <w:rPr>
                <w:rFonts w:ascii="Calibri" w:hAnsi="Calibri"/>
                <w:color w:val="000000"/>
              </w:rPr>
            </w:pPr>
            <w:r w:rsidRPr="00651AEB">
              <w:rPr>
                <w:rFonts w:ascii="Calibri" w:eastAsia="Times" w:hAnsi="Calibri"/>
                <w:color w:val="000000"/>
              </w:rPr>
              <w:t>-58%</w:t>
            </w:r>
          </w:p>
        </w:tc>
      </w:tr>
      <w:tr w:rsidR="00651AEB" w:rsidRPr="00651AEB" w14:paraId="4B895E08" w14:textId="77777777" w:rsidTr="00E235EE">
        <w:trPr>
          <w:trHeight w:val="315"/>
        </w:trPr>
        <w:tc>
          <w:tcPr>
            <w:tcW w:w="854" w:type="dxa"/>
            <w:vMerge/>
            <w:tcBorders>
              <w:top w:val="nil"/>
              <w:left w:val="single" w:sz="8" w:space="0" w:color="auto"/>
              <w:bottom w:val="single" w:sz="8" w:space="0" w:color="000000"/>
              <w:right w:val="single" w:sz="8" w:space="0" w:color="auto"/>
            </w:tcBorders>
            <w:vAlign w:val="center"/>
            <w:hideMark/>
          </w:tcPr>
          <w:p w14:paraId="0DA693D2" w14:textId="77777777" w:rsidR="00651AEB" w:rsidRPr="00651AEB" w:rsidRDefault="00651AEB" w:rsidP="00651AEB">
            <w:pPr>
              <w:rPr>
                <w:rFonts w:ascii="Calibri" w:hAnsi="Calibri"/>
                <w:b/>
                <w:bCs/>
                <w:color w:val="000000"/>
              </w:rPr>
            </w:pPr>
          </w:p>
        </w:tc>
        <w:tc>
          <w:tcPr>
            <w:tcW w:w="1216" w:type="dxa"/>
            <w:tcBorders>
              <w:top w:val="nil"/>
              <w:left w:val="nil"/>
              <w:bottom w:val="single" w:sz="8" w:space="0" w:color="auto"/>
              <w:right w:val="nil"/>
            </w:tcBorders>
            <w:shd w:val="clear" w:color="000000" w:fill="D9D9D9"/>
            <w:noWrap/>
            <w:vAlign w:val="center"/>
            <w:hideMark/>
          </w:tcPr>
          <w:p w14:paraId="4A81981F" w14:textId="77777777" w:rsidR="00651AEB" w:rsidRPr="00651AEB" w:rsidRDefault="00651AEB" w:rsidP="00651AEB">
            <w:pPr>
              <w:rPr>
                <w:rFonts w:ascii="Calibri" w:hAnsi="Calibri"/>
                <w:color w:val="000000"/>
              </w:rPr>
            </w:pPr>
            <w:r w:rsidRPr="00651AEB">
              <w:rPr>
                <w:rFonts w:ascii="Calibri" w:eastAsia="Times" w:hAnsi="Calibri"/>
                <w:color w:val="000000"/>
              </w:rPr>
              <w:t>Elevate</w:t>
            </w:r>
          </w:p>
        </w:tc>
        <w:tc>
          <w:tcPr>
            <w:tcW w:w="900" w:type="dxa"/>
            <w:tcBorders>
              <w:top w:val="nil"/>
              <w:left w:val="single" w:sz="8" w:space="0" w:color="auto"/>
              <w:bottom w:val="single" w:sz="8" w:space="0" w:color="auto"/>
              <w:right w:val="single" w:sz="8" w:space="0" w:color="auto"/>
            </w:tcBorders>
            <w:shd w:val="clear" w:color="000000" w:fill="D9D9D9"/>
            <w:vAlign w:val="center"/>
          </w:tcPr>
          <w:p w14:paraId="68B5C1A0"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 xml:space="preserve">$202 </w:t>
            </w:r>
          </w:p>
        </w:tc>
        <w:tc>
          <w:tcPr>
            <w:tcW w:w="900" w:type="dxa"/>
            <w:tcBorders>
              <w:top w:val="nil"/>
              <w:left w:val="single" w:sz="8" w:space="0" w:color="auto"/>
              <w:bottom w:val="single" w:sz="8" w:space="0" w:color="auto"/>
              <w:right w:val="single" w:sz="8" w:space="0" w:color="auto"/>
            </w:tcBorders>
            <w:shd w:val="clear" w:color="000000" w:fill="D9D9D9"/>
            <w:vAlign w:val="center"/>
          </w:tcPr>
          <w:p w14:paraId="1FD20FE9"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 xml:space="preserve">$66 </w:t>
            </w:r>
          </w:p>
        </w:tc>
        <w:tc>
          <w:tcPr>
            <w:tcW w:w="810" w:type="dxa"/>
            <w:tcBorders>
              <w:top w:val="nil"/>
              <w:left w:val="single" w:sz="8" w:space="0" w:color="auto"/>
              <w:bottom w:val="single" w:sz="8" w:space="0" w:color="auto"/>
              <w:right w:val="single" w:sz="8" w:space="0" w:color="auto"/>
            </w:tcBorders>
            <w:shd w:val="clear" w:color="000000" w:fill="D9D9D9"/>
            <w:vAlign w:val="center"/>
          </w:tcPr>
          <w:p w14:paraId="58B92FFD"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-67%</w:t>
            </w:r>
          </w:p>
        </w:tc>
        <w:tc>
          <w:tcPr>
            <w:tcW w:w="900" w:type="dxa"/>
            <w:tcBorders>
              <w:top w:val="nil"/>
              <w:left w:val="single" w:sz="8" w:space="0" w:color="auto"/>
              <w:bottom w:val="single" w:sz="8" w:space="0" w:color="auto"/>
              <w:right w:val="single" w:sz="8" w:space="0" w:color="auto"/>
            </w:tcBorders>
            <w:shd w:val="clear" w:color="000000" w:fill="D9D9D9"/>
            <w:noWrap/>
            <w:vAlign w:val="center"/>
            <w:hideMark/>
          </w:tcPr>
          <w:p w14:paraId="5372EEA7" w14:textId="77777777" w:rsidR="00651AEB" w:rsidRPr="00651AEB" w:rsidRDefault="00651AEB" w:rsidP="00651AEB">
            <w:pPr>
              <w:jc w:val="right"/>
              <w:rPr>
                <w:rFonts w:ascii="Calibri" w:hAnsi="Calibri"/>
                <w:color w:val="000000"/>
              </w:rPr>
            </w:pPr>
            <w:r w:rsidRPr="00651AEB">
              <w:rPr>
                <w:rFonts w:ascii="Calibri" w:eastAsia="Times" w:hAnsi="Calibri"/>
                <w:color w:val="000000"/>
              </w:rPr>
              <w:t xml:space="preserve">$177 </w:t>
            </w:r>
          </w:p>
        </w:tc>
        <w:tc>
          <w:tcPr>
            <w:tcW w:w="900" w:type="dxa"/>
            <w:tcBorders>
              <w:top w:val="nil"/>
              <w:left w:val="nil"/>
              <w:bottom w:val="single" w:sz="8" w:space="0" w:color="auto"/>
              <w:right w:val="single" w:sz="8" w:space="0" w:color="auto"/>
            </w:tcBorders>
            <w:shd w:val="clear" w:color="000000" w:fill="D9D9D9"/>
            <w:noWrap/>
            <w:vAlign w:val="center"/>
            <w:hideMark/>
          </w:tcPr>
          <w:p w14:paraId="7B3A4C2A" w14:textId="77777777" w:rsidR="00651AEB" w:rsidRPr="00651AEB" w:rsidRDefault="00651AEB" w:rsidP="00651AEB">
            <w:pPr>
              <w:jc w:val="right"/>
              <w:rPr>
                <w:rFonts w:ascii="Calibri" w:hAnsi="Calibri"/>
                <w:color w:val="000000"/>
              </w:rPr>
            </w:pPr>
            <w:r w:rsidRPr="00651AEB">
              <w:rPr>
                <w:rFonts w:ascii="Calibri" w:eastAsia="Times" w:hAnsi="Calibri"/>
                <w:color w:val="000000"/>
              </w:rPr>
              <w:t xml:space="preserve">$30 </w:t>
            </w:r>
          </w:p>
        </w:tc>
        <w:tc>
          <w:tcPr>
            <w:tcW w:w="810" w:type="dxa"/>
            <w:tcBorders>
              <w:top w:val="nil"/>
              <w:left w:val="nil"/>
              <w:bottom w:val="single" w:sz="8" w:space="0" w:color="auto"/>
              <w:right w:val="single" w:sz="8" w:space="0" w:color="auto"/>
            </w:tcBorders>
            <w:shd w:val="clear" w:color="000000" w:fill="D9D9D9"/>
            <w:noWrap/>
            <w:vAlign w:val="center"/>
            <w:hideMark/>
          </w:tcPr>
          <w:p w14:paraId="0688DCC0" w14:textId="77777777" w:rsidR="00651AEB" w:rsidRPr="00651AEB" w:rsidRDefault="00651AEB" w:rsidP="00651AEB">
            <w:pPr>
              <w:jc w:val="right"/>
              <w:rPr>
                <w:rFonts w:ascii="Calibri" w:hAnsi="Calibri"/>
                <w:color w:val="000000"/>
              </w:rPr>
            </w:pPr>
            <w:r w:rsidRPr="00651AEB">
              <w:rPr>
                <w:rFonts w:ascii="Calibri" w:eastAsia="Times" w:hAnsi="Calibri"/>
                <w:color w:val="000000"/>
              </w:rPr>
              <w:t>-83%</w:t>
            </w:r>
          </w:p>
        </w:tc>
      </w:tr>
      <w:tr w:rsidR="00651AEB" w:rsidRPr="00651AEB" w14:paraId="5DAD10B9" w14:textId="77777777" w:rsidTr="00E235EE">
        <w:trPr>
          <w:trHeight w:val="315"/>
        </w:trPr>
        <w:tc>
          <w:tcPr>
            <w:tcW w:w="854" w:type="dxa"/>
            <w:vMerge/>
            <w:tcBorders>
              <w:top w:val="nil"/>
              <w:left w:val="single" w:sz="8" w:space="0" w:color="auto"/>
              <w:bottom w:val="single" w:sz="8" w:space="0" w:color="000000"/>
              <w:right w:val="single" w:sz="8" w:space="0" w:color="auto"/>
            </w:tcBorders>
            <w:vAlign w:val="center"/>
            <w:hideMark/>
          </w:tcPr>
          <w:p w14:paraId="6FE94028" w14:textId="77777777" w:rsidR="00651AEB" w:rsidRPr="00651AEB" w:rsidRDefault="00651AEB" w:rsidP="00651AEB">
            <w:pPr>
              <w:rPr>
                <w:rFonts w:ascii="Calibri" w:hAnsi="Calibri"/>
                <w:b/>
                <w:bCs/>
                <w:color w:val="000000"/>
              </w:rPr>
            </w:pPr>
          </w:p>
        </w:tc>
        <w:tc>
          <w:tcPr>
            <w:tcW w:w="1216" w:type="dxa"/>
            <w:tcBorders>
              <w:top w:val="nil"/>
              <w:left w:val="nil"/>
              <w:bottom w:val="single" w:sz="8" w:space="0" w:color="auto"/>
              <w:right w:val="nil"/>
            </w:tcBorders>
            <w:shd w:val="clear" w:color="000000" w:fill="D9D9D9"/>
            <w:noWrap/>
            <w:vAlign w:val="center"/>
            <w:hideMark/>
          </w:tcPr>
          <w:p w14:paraId="624F23E8" w14:textId="77777777" w:rsidR="00651AEB" w:rsidRPr="00651AEB" w:rsidRDefault="00651AEB" w:rsidP="00651AEB">
            <w:pPr>
              <w:rPr>
                <w:rFonts w:ascii="Calibri" w:hAnsi="Calibri"/>
                <w:color w:val="000000"/>
              </w:rPr>
            </w:pPr>
            <w:r w:rsidRPr="00651AEB">
              <w:rPr>
                <w:rFonts w:ascii="Calibri" w:eastAsia="Times" w:hAnsi="Calibri"/>
                <w:color w:val="000000"/>
              </w:rPr>
              <w:t>Nourish</w:t>
            </w:r>
          </w:p>
        </w:tc>
        <w:tc>
          <w:tcPr>
            <w:tcW w:w="900" w:type="dxa"/>
            <w:tcBorders>
              <w:top w:val="nil"/>
              <w:left w:val="single" w:sz="8" w:space="0" w:color="auto"/>
              <w:bottom w:val="single" w:sz="8" w:space="0" w:color="auto"/>
              <w:right w:val="single" w:sz="8" w:space="0" w:color="auto"/>
            </w:tcBorders>
            <w:shd w:val="clear" w:color="000000" w:fill="D9D9D9"/>
            <w:vAlign w:val="center"/>
          </w:tcPr>
          <w:p w14:paraId="11217258"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 xml:space="preserve">$11,338 </w:t>
            </w:r>
          </w:p>
        </w:tc>
        <w:tc>
          <w:tcPr>
            <w:tcW w:w="900" w:type="dxa"/>
            <w:tcBorders>
              <w:top w:val="nil"/>
              <w:left w:val="single" w:sz="8" w:space="0" w:color="auto"/>
              <w:bottom w:val="single" w:sz="8" w:space="0" w:color="auto"/>
              <w:right w:val="single" w:sz="8" w:space="0" w:color="auto"/>
            </w:tcBorders>
            <w:shd w:val="clear" w:color="000000" w:fill="D9D9D9"/>
            <w:vAlign w:val="center"/>
          </w:tcPr>
          <w:p w14:paraId="4B2C657F"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 xml:space="preserve">$11,338 </w:t>
            </w:r>
          </w:p>
        </w:tc>
        <w:tc>
          <w:tcPr>
            <w:tcW w:w="810" w:type="dxa"/>
            <w:tcBorders>
              <w:top w:val="nil"/>
              <w:left w:val="single" w:sz="8" w:space="0" w:color="auto"/>
              <w:bottom w:val="single" w:sz="8" w:space="0" w:color="auto"/>
              <w:right w:val="single" w:sz="8" w:space="0" w:color="auto"/>
            </w:tcBorders>
            <w:shd w:val="clear" w:color="000000" w:fill="D9D9D9"/>
            <w:vAlign w:val="center"/>
          </w:tcPr>
          <w:p w14:paraId="013E9694"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0%</w:t>
            </w:r>
          </w:p>
        </w:tc>
        <w:tc>
          <w:tcPr>
            <w:tcW w:w="900" w:type="dxa"/>
            <w:tcBorders>
              <w:top w:val="nil"/>
              <w:left w:val="single" w:sz="8" w:space="0" w:color="auto"/>
              <w:bottom w:val="single" w:sz="8" w:space="0" w:color="auto"/>
              <w:right w:val="single" w:sz="8" w:space="0" w:color="auto"/>
            </w:tcBorders>
            <w:shd w:val="clear" w:color="000000" w:fill="D9D9D9"/>
            <w:noWrap/>
            <w:vAlign w:val="center"/>
            <w:hideMark/>
          </w:tcPr>
          <w:p w14:paraId="59234C49" w14:textId="77777777" w:rsidR="00651AEB" w:rsidRPr="00651AEB" w:rsidRDefault="00651AEB" w:rsidP="00651AEB">
            <w:pPr>
              <w:jc w:val="right"/>
              <w:rPr>
                <w:rFonts w:ascii="Calibri" w:hAnsi="Calibri"/>
                <w:color w:val="000000"/>
              </w:rPr>
            </w:pPr>
            <w:r w:rsidRPr="00651AEB">
              <w:rPr>
                <w:rFonts w:ascii="Calibri" w:eastAsia="Times" w:hAnsi="Calibri"/>
                <w:color w:val="000000"/>
              </w:rPr>
              <w:t xml:space="preserve">$2,164 </w:t>
            </w:r>
          </w:p>
        </w:tc>
        <w:tc>
          <w:tcPr>
            <w:tcW w:w="900" w:type="dxa"/>
            <w:tcBorders>
              <w:top w:val="nil"/>
              <w:left w:val="nil"/>
              <w:bottom w:val="single" w:sz="8" w:space="0" w:color="auto"/>
              <w:right w:val="single" w:sz="8" w:space="0" w:color="auto"/>
            </w:tcBorders>
            <w:shd w:val="clear" w:color="000000" w:fill="D9D9D9"/>
            <w:noWrap/>
            <w:vAlign w:val="center"/>
            <w:hideMark/>
          </w:tcPr>
          <w:p w14:paraId="3A325FEB" w14:textId="77777777" w:rsidR="00651AEB" w:rsidRPr="00651AEB" w:rsidRDefault="00651AEB" w:rsidP="00651AEB">
            <w:pPr>
              <w:jc w:val="right"/>
              <w:rPr>
                <w:rFonts w:ascii="Calibri" w:hAnsi="Calibri"/>
                <w:color w:val="000000"/>
              </w:rPr>
            </w:pPr>
            <w:r w:rsidRPr="00651AEB">
              <w:rPr>
                <w:rFonts w:ascii="Calibri" w:eastAsia="Times" w:hAnsi="Calibri"/>
                <w:color w:val="000000"/>
              </w:rPr>
              <w:t xml:space="preserve">$2,164 </w:t>
            </w:r>
          </w:p>
        </w:tc>
        <w:tc>
          <w:tcPr>
            <w:tcW w:w="810" w:type="dxa"/>
            <w:tcBorders>
              <w:top w:val="nil"/>
              <w:left w:val="nil"/>
              <w:bottom w:val="single" w:sz="8" w:space="0" w:color="auto"/>
              <w:right w:val="single" w:sz="8" w:space="0" w:color="auto"/>
            </w:tcBorders>
            <w:shd w:val="clear" w:color="000000" w:fill="D9D9D9"/>
            <w:noWrap/>
            <w:vAlign w:val="center"/>
            <w:hideMark/>
          </w:tcPr>
          <w:p w14:paraId="39967FAE" w14:textId="77777777" w:rsidR="00651AEB" w:rsidRPr="00651AEB" w:rsidRDefault="00651AEB" w:rsidP="00651AEB">
            <w:pPr>
              <w:jc w:val="right"/>
              <w:rPr>
                <w:rFonts w:ascii="Calibri" w:hAnsi="Calibri"/>
                <w:color w:val="000000"/>
              </w:rPr>
            </w:pPr>
            <w:r w:rsidRPr="00651AEB">
              <w:rPr>
                <w:rFonts w:ascii="Calibri" w:eastAsia="Times" w:hAnsi="Calibri"/>
                <w:color w:val="000000"/>
              </w:rPr>
              <w:t>0%</w:t>
            </w:r>
          </w:p>
        </w:tc>
      </w:tr>
      <w:tr w:rsidR="00651AEB" w:rsidRPr="00651AEB" w14:paraId="6BBFC6F4" w14:textId="77777777" w:rsidTr="00E235EE">
        <w:trPr>
          <w:trHeight w:val="315"/>
        </w:trPr>
        <w:tc>
          <w:tcPr>
            <w:tcW w:w="854" w:type="dxa"/>
            <w:vMerge/>
            <w:tcBorders>
              <w:top w:val="nil"/>
              <w:left w:val="single" w:sz="8" w:space="0" w:color="auto"/>
              <w:bottom w:val="single" w:sz="8" w:space="0" w:color="000000"/>
              <w:right w:val="single" w:sz="8" w:space="0" w:color="auto"/>
            </w:tcBorders>
            <w:vAlign w:val="center"/>
            <w:hideMark/>
          </w:tcPr>
          <w:p w14:paraId="5367733B" w14:textId="77777777" w:rsidR="00651AEB" w:rsidRPr="00651AEB" w:rsidRDefault="00651AEB" w:rsidP="00651AEB">
            <w:pPr>
              <w:rPr>
                <w:rFonts w:ascii="Calibri" w:hAnsi="Calibri"/>
                <w:b/>
                <w:bCs/>
                <w:color w:val="000000"/>
              </w:rPr>
            </w:pPr>
          </w:p>
        </w:tc>
        <w:tc>
          <w:tcPr>
            <w:tcW w:w="1216" w:type="dxa"/>
            <w:tcBorders>
              <w:top w:val="nil"/>
              <w:left w:val="nil"/>
              <w:bottom w:val="single" w:sz="8" w:space="0" w:color="auto"/>
              <w:right w:val="nil"/>
            </w:tcBorders>
            <w:shd w:val="clear" w:color="000000" w:fill="D9D9D9"/>
            <w:noWrap/>
            <w:vAlign w:val="center"/>
            <w:hideMark/>
          </w:tcPr>
          <w:p w14:paraId="42BC7919" w14:textId="77777777" w:rsidR="00651AEB" w:rsidRPr="00651AEB" w:rsidRDefault="00651AEB" w:rsidP="00651AEB">
            <w:pPr>
              <w:rPr>
                <w:rFonts w:ascii="Calibri" w:hAnsi="Calibri"/>
                <w:color w:val="000000"/>
              </w:rPr>
            </w:pPr>
            <w:r w:rsidRPr="00651AEB">
              <w:rPr>
                <w:rFonts w:ascii="Calibri" w:eastAsia="Times" w:hAnsi="Calibri"/>
                <w:color w:val="000000"/>
              </w:rPr>
              <w:t>Abandon</w:t>
            </w:r>
          </w:p>
        </w:tc>
        <w:tc>
          <w:tcPr>
            <w:tcW w:w="900" w:type="dxa"/>
            <w:tcBorders>
              <w:top w:val="nil"/>
              <w:left w:val="single" w:sz="8" w:space="0" w:color="auto"/>
              <w:bottom w:val="single" w:sz="8" w:space="0" w:color="auto"/>
              <w:right w:val="single" w:sz="8" w:space="0" w:color="auto"/>
            </w:tcBorders>
            <w:shd w:val="clear" w:color="000000" w:fill="D9D9D9"/>
            <w:vAlign w:val="center"/>
          </w:tcPr>
          <w:p w14:paraId="537E85AE"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 xml:space="preserve">$17,978 </w:t>
            </w:r>
          </w:p>
        </w:tc>
        <w:tc>
          <w:tcPr>
            <w:tcW w:w="900" w:type="dxa"/>
            <w:tcBorders>
              <w:top w:val="nil"/>
              <w:left w:val="single" w:sz="8" w:space="0" w:color="auto"/>
              <w:bottom w:val="single" w:sz="8" w:space="0" w:color="auto"/>
              <w:right w:val="single" w:sz="8" w:space="0" w:color="auto"/>
            </w:tcBorders>
            <w:shd w:val="clear" w:color="000000" w:fill="D9D9D9"/>
            <w:vAlign w:val="center"/>
          </w:tcPr>
          <w:p w14:paraId="37DB36A2"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 xml:space="preserve">$77 </w:t>
            </w:r>
          </w:p>
        </w:tc>
        <w:tc>
          <w:tcPr>
            <w:tcW w:w="810" w:type="dxa"/>
            <w:tcBorders>
              <w:top w:val="nil"/>
              <w:left w:val="single" w:sz="8" w:space="0" w:color="auto"/>
              <w:bottom w:val="single" w:sz="8" w:space="0" w:color="auto"/>
              <w:right w:val="single" w:sz="8" w:space="0" w:color="auto"/>
            </w:tcBorders>
            <w:shd w:val="clear" w:color="000000" w:fill="D9D9D9"/>
            <w:vAlign w:val="center"/>
          </w:tcPr>
          <w:p w14:paraId="6FCBB732"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-100%</w:t>
            </w:r>
          </w:p>
        </w:tc>
        <w:tc>
          <w:tcPr>
            <w:tcW w:w="900" w:type="dxa"/>
            <w:tcBorders>
              <w:top w:val="nil"/>
              <w:left w:val="single" w:sz="8" w:space="0" w:color="auto"/>
              <w:bottom w:val="single" w:sz="8" w:space="0" w:color="auto"/>
              <w:right w:val="single" w:sz="8" w:space="0" w:color="auto"/>
            </w:tcBorders>
            <w:shd w:val="clear" w:color="000000" w:fill="D9D9D9"/>
            <w:noWrap/>
            <w:vAlign w:val="center"/>
            <w:hideMark/>
          </w:tcPr>
          <w:p w14:paraId="753FEAE7" w14:textId="77777777" w:rsidR="00651AEB" w:rsidRPr="00651AEB" w:rsidRDefault="00651AEB" w:rsidP="00651AEB">
            <w:pPr>
              <w:jc w:val="right"/>
              <w:rPr>
                <w:rFonts w:ascii="Calibri" w:hAnsi="Calibri"/>
                <w:color w:val="000000"/>
              </w:rPr>
            </w:pPr>
            <w:r w:rsidRPr="00651AEB">
              <w:rPr>
                <w:rFonts w:ascii="Calibri" w:eastAsia="Times" w:hAnsi="Calibri"/>
                <w:color w:val="000000"/>
              </w:rPr>
              <w:t xml:space="preserve">$20,882 </w:t>
            </w:r>
          </w:p>
        </w:tc>
        <w:tc>
          <w:tcPr>
            <w:tcW w:w="900" w:type="dxa"/>
            <w:tcBorders>
              <w:top w:val="nil"/>
              <w:left w:val="nil"/>
              <w:bottom w:val="single" w:sz="8" w:space="0" w:color="auto"/>
              <w:right w:val="single" w:sz="8" w:space="0" w:color="auto"/>
            </w:tcBorders>
            <w:shd w:val="clear" w:color="000000" w:fill="D9D9D9"/>
            <w:noWrap/>
            <w:vAlign w:val="center"/>
            <w:hideMark/>
          </w:tcPr>
          <w:p w14:paraId="302395EE" w14:textId="77777777" w:rsidR="00651AEB" w:rsidRPr="00651AEB" w:rsidRDefault="00651AEB" w:rsidP="00651AEB">
            <w:pPr>
              <w:jc w:val="right"/>
              <w:rPr>
                <w:rFonts w:ascii="Calibri" w:hAnsi="Calibri"/>
                <w:color w:val="000000"/>
              </w:rPr>
            </w:pPr>
            <w:r w:rsidRPr="00651AEB">
              <w:rPr>
                <w:rFonts w:ascii="Calibri" w:eastAsia="Times" w:hAnsi="Calibri"/>
                <w:color w:val="000000"/>
              </w:rPr>
              <w:t xml:space="preserve">$17 </w:t>
            </w:r>
          </w:p>
        </w:tc>
        <w:tc>
          <w:tcPr>
            <w:tcW w:w="810" w:type="dxa"/>
            <w:tcBorders>
              <w:top w:val="nil"/>
              <w:left w:val="nil"/>
              <w:bottom w:val="single" w:sz="8" w:space="0" w:color="auto"/>
              <w:right w:val="single" w:sz="8" w:space="0" w:color="auto"/>
            </w:tcBorders>
            <w:shd w:val="clear" w:color="000000" w:fill="D9D9D9"/>
            <w:noWrap/>
            <w:vAlign w:val="center"/>
            <w:hideMark/>
          </w:tcPr>
          <w:p w14:paraId="603BA898" w14:textId="77777777" w:rsidR="00651AEB" w:rsidRPr="00651AEB" w:rsidRDefault="00651AEB" w:rsidP="00651AEB">
            <w:pPr>
              <w:jc w:val="right"/>
              <w:rPr>
                <w:rFonts w:ascii="Calibri" w:hAnsi="Calibri"/>
                <w:color w:val="000000"/>
              </w:rPr>
            </w:pPr>
            <w:r w:rsidRPr="00651AEB">
              <w:rPr>
                <w:rFonts w:ascii="Calibri" w:eastAsia="Times" w:hAnsi="Calibri"/>
                <w:color w:val="000000"/>
              </w:rPr>
              <w:t>-100%</w:t>
            </w:r>
          </w:p>
        </w:tc>
      </w:tr>
      <w:tr w:rsidR="00651AEB" w:rsidRPr="00651AEB" w14:paraId="19E39181" w14:textId="77777777" w:rsidTr="00E235EE">
        <w:trPr>
          <w:trHeight w:val="315"/>
        </w:trPr>
        <w:tc>
          <w:tcPr>
            <w:tcW w:w="854" w:type="dxa"/>
            <w:vMerge/>
            <w:tcBorders>
              <w:top w:val="nil"/>
              <w:left w:val="single" w:sz="8" w:space="0" w:color="auto"/>
              <w:bottom w:val="single" w:sz="8" w:space="0" w:color="000000"/>
              <w:right w:val="single" w:sz="8" w:space="0" w:color="auto"/>
            </w:tcBorders>
            <w:vAlign w:val="center"/>
            <w:hideMark/>
          </w:tcPr>
          <w:p w14:paraId="37406285" w14:textId="77777777" w:rsidR="00651AEB" w:rsidRPr="00651AEB" w:rsidRDefault="00651AEB" w:rsidP="00651AEB">
            <w:pPr>
              <w:rPr>
                <w:rFonts w:ascii="Calibri" w:hAnsi="Calibri"/>
                <w:b/>
                <w:bCs/>
                <w:color w:val="000000"/>
              </w:rPr>
            </w:pPr>
          </w:p>
        </w:tc>
        <w:tc>
          <w:tcPr>
            <w:tcW w:w="1216" w:type="dxa"/>
            <w:tcBorders>
              <w:top w:val="nil"/>
              <w:left w:val="nil"/>
              <w:bottom w:val="single" w:sz="8" w:space="0" w:color="auto"/>
              <w:right w:val="nil"/>
            </w:tcBorders>
            <w:shd w:val="clear" w:color="000000" w:fill="D9D9D9"/>
            <w:noWrap/>
            <w:vAlign w:val="center"/>
            <w:hideMark/>
          </w:tcPr>
          <w:p w14:paraId="3C10671A" w14:textId="77777777" w:rsidR="00651AEB" w:rsidRPr="00651AEB" w:rsidRDefault="00651AEB" w:rsidP="00651AEB">
            <w:pPr>
              <w:rPr>
                <w:rFonts w:ascii="Calibri" w:hAnsi="Calibri"/>
                <w:color w:val="000000"/>
              </w:rPr>
            </w:pPr>
            <w:r w:rsidRPr="00651AEB">
              <w:rPr>
                <w:rFonts w:ascii="Calibri" w:eastAsia="Times" w:hAnsi="Calibri"/>
                <w:color w:val="000000"/>
              </w:rPr>
              <w:t xml:space="preserve">Storm Surge </w:t>
            </w:r>
          </w:p>
        </w:tc>
        <w:tc>
          <w:tcPr>
            <w:tcW w:w="900" w:type="dxa"/>
            <w:tcBorders>
              <w:top w:val="nil"/>
              <w:left w:val="single" w:sz="8" w:space="0" w:color="auto"/>
              <w:bottom w:val="single" w:sz="8" w:space="0" w:color="auto"/>
              <w:right w:val="single" w:sz="8" w:space="0" w:color="auto"/>
            </w:tcBorders>
            <w:shd w:val="clear" w:color="000000" w:fill="D9D9D9"/>
            <w:vAlign w:val="center"/>
          </w:tcPr>
          <w:p w14:paraId="5C5021AB"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 xml:space="preserve">$22,150 </w:t>
            </w:r>
          </w:p>
        </w:tc>
        <w:tc>
          <w:tcPr>
            <w:tcW w:w="900" w:type="dxa"/>
            <w:tcBorders>
              <w:top w:val="nil"/>
              <w:left w:val="single" w:sz="8" w:space="0" w:color="auto"/>
              <w:bottom w:val="single" w:sz="8" w:space="0" w:color="auto"/>
              <w:right w:val="single" w:sz="8" w:space="0" w:color="auto"/>
            </w:tcBorders>
            <w:shd w:val="clear" w:color="000000" w:fill="D9D9D9"/>
            <w:vAlign w:val="center"/>
          </w:tcPr>
          <w:p w14:paraId="09287311"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 xml:space="preserve">$15,940 </w:t>
            </w:r>
          </w:p>
        </w:tc>
        <w:tc>
          <w:tcPr>
            <w:tcW w:w="810" w:type="dxa"/>
            <w:tcBorders>
              <w:top w:val="nil"/>
              <w:left w:val="single" w:sz="8" w:space="0" w:color="auto"/>
              <w:bottom w:val="single" w:sz="8" w:space="0" w:color="auto"/>
              <w:right w:val="single" w:sz="8" w:space="0" w:color="auto"/>
            </w:tcBorders>
            <w:shd w:val="clear" w:color="000000" w:fill="D9D9D9"/>
            <w:vAlign w:val="center"/>
          </w:tcPr>
          <w:p w14:paraId="6FD313C3"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-28%</w:t>
            </w:r>
          </w:p>
        </w:tc>
        <w:tc>
          <w:tcPr>
            <w:tcW w:w="900" w:type="dxa"/>
            <w:tcBorders>
              <w:top w:val="nil"/>
              <w:left w:val="single" w:sz="8" w:space="0" w:color="auto"/>
              <w:bottom w:val="single" w:sz="8" w:space="0" w:color="auto"/>
              <w:right w:val="single" w:sz="8" w:space="0" w:color="auto"/>
            </w:tcBorders>
            <w:shd w:val="clear" w:color="000000" w:fill="D9D9D9"/>
            <w:noWrap/>
            <w:vAlign w:val="center"/>
            <w:hideMark/>
          </w:tcPr>
          <w:p w14:paraId="0FAA0FB6" w14:textId="77777777" w:rsidR="00651AEB" w:rsidRPr="00651AEB" w:rsidRDefault="00651AEB" w:rsidP="00651AEB">
            <w:pPr>
              <w:jc w:val="right"/>
              <w:rPr>
                <w:rFonts w:ascii="Calibri" w:hAnsi="Calibri"/>
                <w:color w:val="000000"/>
              </w:rPr>
            </w:pPr>
            <w:r w:rsidRPr="00651AEB">
              <w:rPr>
                <w:rFonts w:ascii="Calibri" w:eastAsia="Times" w:hAnsi="Calibri"/>
                <w:color w:val="000000"/>
              </w:rPr>
              <w:t xml:space="preserve">$10,246 </w:t>
            </w:r>
          </w:p>
        </w:tc>
        <w:tc>
          <w:tcPr>
            <w:tcW w:w="900" w:type="dxa"/>
            <w:tcBorders>
              <w:top w:val="nil"/>
              <w:left w:val="nil"/>
              <w:bottom w:val="single" w:sz="8" w:space="0" w:color="auto"/>
              <w:right w:val="single" w:sz="8" w:space="0" w:color="auto"/>
            </w:tcBorders>
            <w:shd w:val="clear" w:color="000000" w:fill="D9D9D9"/>
            <w:noWrap/>
            <w:vAlign w:val="center"/>
            <w:hideMark/>
          </w:tcPr>
          <w:p w14:paraId="0A2973F1" w14:textId="77777777" w:rsidR="00651AEB" w:rsidRPr="00651AEB" w:rsidRDefault="00651AEB" w:rsidP="00651AEB">
            <w:pPr>
              <w:jc w:val="right"/>
              <w:rPr>
                <w:rFonts w:ascii="Calibri" w:hAnsi="Calibri"/>
                <w:color w:val="000000"/>
              </w:rPr>
            </w:pPr>
            <w:r w:rsidRPr="00651AEB">
              <w:rPr>
                <w:rFonts w:ascii="Calibri" w:eastAsia="Times" w:hAnsi="Calibri"/>
                <w:color w:val="000000"/>
              </w:rPr>
              <w:t xml:space="preserve">$5,648 </w:t>
            </w:r>
          </w:p>
        </w:tc>
        <w:tc>
          <w:tcPr>
            <w:tcW w:w="810" w:type="dxa"/>
            <w:tcBorders>
              <w:top w:val="nil"/>
              <w:left w:val="nil"/>
              <w:bottom w:val="single" w:sz="8" w:space="0" w:color="auto"/>
              <w:right w:val="single" w:sz="8" w:space="0" w:color="auto"/>
            </w:tcBorders>
            <w:shd w:val="clear" w:color="000000" w:fill="D9D9D9"/>
            <w:noWrap/>
            <w:vAlign w:val="center"/>
            <w:hideMark/>
          </w:tcPr>
          <w:p w14:paraId="73518837" w14:textId="77777777" w:rsidR="00651AEB" w:rsidRPr="00651AEB" w:rsidRDefault="00651AEB" w:rsidP="00651AEB">
            <w:pPr>
              <w:jc w:val="right"/>
              <w:rPr>
                <w:rFonts w:ascii="Calibri" w:hAnsi="Calibri"/>
                <w:color w:val="000000"/>
              </w:rPr>
            </w:pPr>
            <w:r w:rsidRPr="00651AEB">
              <w:rPr>
                <w:rFonts w:ascii="Calibri" w:eastAsia="Times" w:hAnsi="Calibri"/>
                <w:color w:val="000000"/>
              </w:rPr>
              <w:t>-45%</w:t>
            </w:r>
          </w:p>
        </w:tc>
      </w:tr>
      <w:tr w:rsidR="00651AEB" w:rsidRPr="00651AEB" w14:paraId="2DE8246A" w14:textId="77777777" w:rsidTr="00E235EE">
        <w:trPr>
          <w:trHeight w:val="315"/>
        </w:trPr>
        <w:tc>
          <w:tcPr>
            <w:tcW w:w="854" w:type="dxa"/>
            <w:vMerge/>
            <w:tcBorders>
              <w:top w:val="nil"/>
              <w:left w:val="single" w:sz="8" w:space="0" w:color="auto"/>
              <w:bottom w:val="single" w:sz="8" w:space="0" w:color="000000"/>
              <w:right w:val="single" w:sz="8" w:space="0" w:color="auto"/>
            </w:tcBorders>
            <w:vAlign w:val="center"/>
            <w:hideMark/>
          </w:tcPr>
          <w:p w14:paraId="4A51CE84" w14:textId="77777777" w:rsidR="00651AEB" w:rsidRPr="00651AEB" w:rsidRDefault="00651AEB" w:rsidP="00651AEB">
            <w:pPr>
              <w:rPr>
                <w:rFonts w:ascii="Calibri" w:hAnsi="Calibri"/>
                <w:b/>
                <w:bCs/>
                <w:color w:val="000000"/>
              </w:rPr>
            </w:pPr>
          </w:p>
        </w:tc>
        <w:tc>
          <w:tcPr>
            <w:tcW w:w="1216" w:type="dxa"/>
            <w:tcBorders>
              <w:top w:val="nil"/>
              <w:left w:val="nil"/>
              <w:bottom w:val="single" w:sz="8" w:space="0" w:color="auto"/>
              <w:right w:val="nil"/>
            </w:tcBorders>
            <w:shd w:val="clear" w:color="000000" w:fill="D9D9D9"/>
            <w:noWrap/>
            <w:vAlign w:val="center"/>
            <w:hideMark/>
          </w:tcPr>
          <w:p w14:paraId="3F6C70D3" w14:textId="77777777" w:rsidR="00651AEB" w:rsidRPr="00651AEB" w:rsidRDefault="00651AEB" w:rsidP="00651AEB">
            <w:pPr>
              <w:rPr>
                <w:rFonts w:ascii="Calibri" w:hAnsi="Calibri"/>
                <w:b/>
                <w:bCs/>
                <w:color w:val="000000"/>
              </w:rPr>
            </w:pPr>
            <w:r w:rsidRPr="00651AEB">
              <w:rPr>
                <w:rFonts w:ascii="Calibri" w:eastAsia="Times" w:hAnsi="Calibri"/>
                <w:b/>
                <w:bCs/>
                <w:color w:val="000000"/>
              </w:rPr>
              <w:t>Total</w:t>
            </w:r>
          </w:p>
        </w:tc>
        <w:tc>
          <w:tcPr>
            <w:tcW w:w="900" w:type="dxa"/>
            <w:tcBorders>
              <w:top w:val="nil"/>
              <w:left w:val="single" w:sz="8" w:space="0" w:color="auto"/>
              <w:bottom w:val="single" w:sz="8" w:space="0" w:color="auto"/>
              <w:right w:val="single" w:sz="8" w:space="0" w:color="auto"/>
            </w:tcBorders>
            <w:shd w:val="clear" w:color="000000" w:fill="D9D9D9"/>
            <w:vAlign w:val="center"/>
          </w:tcPr>
          <w:p w14:paraId="3E312472" w14:textId="77777777" w:rsidR="00651AEB" w:rsidRPr="00651AEB" w:rsidRDefault="00651AEB" w:rsidP="00651AEB">
            <w:pPr>
              <w:jc w:val="right"/>
              <w:rPr>
                <w:rFonts w:ascii="Calibri" w:eastAsia="Times" w:hAnsi="Calibri"/>
                <w:b/>
                <w:bCs/>
                <w:color w:val="000000"/>
              </w:rPr>
            </w:pPr>
            <w:r w:rsidRPr="00651AEB">
              <w:rPr>
                <w:rFonts w:ascii="Calibri" w:eastAsia="Times" w:hAnsi="Calibri"/>
                <w:b/>
                <w:bCs/>
                <w:color w:val="000000"/>
              </w:rPr>
              <w:t xml:space="preserve">$61,327 </w:t>
            </w:r>
          </w:p>
        </w:tc>
        <w:tc>
          <w:tcPr>
            <w:tcW w:w="900" w:type="dxa"/>
            <w:tcBorders>
              <w:top w:val="nil"/>
              <w:left w:val="single" w:sz="8" w:space="0" w:color="auto"/>
              <w:bottom w:val="single" w:sz="8" w:space="0" w:color="auto"/>
              <w:right w:val="single" w:sz="8" w:space="0" w:color="auto"/>
            </w:tcBorders>
            <w:shd w:val="clear" w:color="000000" w:fill="D9D9D9"/>
            <w:vAlign w:val="center"/>
          </w:tcPr>
          <w:p w14:paraId="7E50026D" w14:textId="77777777" w:rsidR="00651AEB" w:rsidRPr="00651AEB" w:rsidRDefault="00651AEB" w:rsidP="00651AEB">
            <w:pPr>
              <w:jc w:val="right"/>
              <w:rPr>
                <w:rFonts w:ascii="Calibri" w:eastAsia="Times" w:hAnsi="Calibri"/>
                <w:b/>
                <w:bCs/>
                <w:color w:val="000000"/>
              </w:rPr>
            </w:pPr>
            <w:r w:rsidRPr="00651AEB">
              <w:rPr>
                <w:rFonts w:ascii="Calibri" w:eastAsia="Times" w:hAnsi="Calibri"/>
                <w:b/>
                <w:bCs/>
                <w:color w:val="000000"/>
              </w:rPr>
              <w:t xml:space="preserve">$33,754 </w:t>
            </w:r>
          </w:p>
        </w:tc>
        <w:tc>
          <w:tcPr>
            <w:tcW w:w="810" w:type="dxa"/>
            <w:tcBorders>
              <w:top w:val="nil"/>
              <w:left w:val="single" w:sz="8" w:space="0" w:color="auto"/>
              <w:bottom w:val="single" w:sz="8" w:space="0" w:color="auto"/>
              <w:right w:val="single" w:sz="8" w:space="0" w:color="auto"/>
            </w:tcBorders>
            <w:shd w:val="clear" w:color="000000" w:fill="D9D9D9"/>
            <w:vAlign w:val="center"/>
          </w:tcPr>
          <w:p w14:paraId="5E7A07B5" w14:textId="77777777" w:rsidR="00651AEB" w:rsidRPr="00651AEB" w:rsidRDefault="00651AEB" w:rsidP="00651AEB">
            <w:pPr>
              <w:jc w:val="right"/>
              <w:rPr>
                <w:rFonts w:ascii="Calibri" w:eastAsia="Times" w:hAnsi="Calibri"/>
                <w:b/>
                <w:bCs/>
                <w:color w:val="000000"/>
              </w:rPr>
            </w:pPr>
            <w:r w:rsidRPr="00651AEB">
              <w:rPr>
                <w:rFonts w:ascii="Calibri" w:eastAsia="Times" w:hAnsi="Calibri"/>
                <w:b/>
                <w:bCs/>
                <w:color w:val="000000"/>
              </w:rPr>
              <w:t>-45%</w:t>
            </w:r>
          </w:p>
        </w:tc>
        <w:tc>
          <w:tcPr>
            <w:tcW w:w="900" w:type="dxa"/>
            <w:tcBorders>
              <w:top w:val="nil"/>
              <w:left w:val="single" w:sz="8" w:space="0" w:color="auto"/>
              <w:bottom w:val="single" w:sz="8" w:space="0" w:color="auto"/>
              <w:right w:val="single" w:sz="8" w:space="0" w:color="auto"/>
            </w:tcBorders>
            <w:shd w:val="clear" w:color="000000" w:fill="D9D9D9"/>
            <w:noWrap/>
            <w:vAlign w:val="center"/>
            <w:hideMark/>
          </w:tcPr>
          <w:p w14:paraId="0A868B31" w14:textId="77777777" w:rsidR="00651AEB" w:rsidRPr="00651AEB" w:rsidRDefault="00651AEB" w:rsidP="00651AEB">
            <w:pPr>
              <w:jc w:val="right"/>
              <w:rPr>
                <w:rFonts w:ascii="Calibri" w:hAnsi="Calibri"/>
                <w:b/>
                <w:bCs/>
                <w:color w:val="000000"/>
              </w:rPr>
            </w:pPr>
            <w:r w:rsidRPr="00651AEB">
              <w:rPr>
                <w:rFonts w:ascii="Calibri" w:eastAsia="Times" w:hAnsi="Calibri"/>
                <w:b/>
                <w:bCs/>
                <w:color w:val="000000"/>
              </w:rPr>
              <w:t xml:space="preserve">$37,562 </w:t>
            </w:r>
          </w:p>
        </w:tc>
        <w:tc>
          <w:tcPr>
            <w:tcW w:w="900" w:type="dxa"/>
            <w:tcBorders>
              <w:top w:val="nil"/>
              <w:left w:val="nil"/>
              <w:bottom w:val="single" w:sz="8" w:space="0" w:color="auto"/>
              <w:right w:val="single" w:sz="8" w:space="0" w:color="auto"/>
            </w:tcBorders>
            <w:shd w:val="clear" w:color="000000" w:fill="D9D9D9"/>
            <w:noWrap/>
            <w:vAlign w:val="center"/>
            <w:hideMark/>
          </w:tcPr>
          <w:p w14:paraId="66968182" w14:textId="77777777" w:rsidR="00651AEB" w:rsidRPr="00651AEB" w:rsidRDefault="00651AEB" w:rsidP="00651AEB">
            <w:pPr>
              <w:jc w:val="right"/>
              <w:rPr>
                <w:rFonts w:ascii="Calibri" w:hAnsi="Calibri"/>
                <w:b/>
                <w:bCs/>
                <w:color w:val="000000"/>
              </w:rPr>
            </w:pPr>
            <w:r w:rsidRPr="00651AEB">
              <w:rPr>
                <w:rFonts w:ascii="Calibri" w:eastAsia="Times" w:hAnsi="Calibri"/>
                <w:b/>
                <w:bCs/>
                <w:color w:val="000000"/>
              </w:rPr>
              <w:t xml:space="preserve">$9,566 </w:t>
            </w:r>
          </w:p>
        </w:tc>
        <w:tc>
          <w:tcPr>
            <w:tcW w:w="810" w:type="dxa"/>
            <w:tcBorders>
              <w:top w:val="nil"/>
              <w:left w:val="nil"/>
              <w:bottom w:val="single" w:sz="8" w:space="0" w:color="auto"/>
              <w:right w:val="single" w:sz="8" w:space="0" w:color="auto"/>
            </w:tcBorders>
            <w:shd w:val="clear" w:color="000000" w:fill="D9D9D9"/>
            <w:noWrap/>
            <w:vAlign w:val="center"/>
            <w:hideMark/>
          </w:tcPr>
          <w:p w14:paraId="36F34699" w14:textId="77777777" w:rsidR="00651AEB" w:rsidRPr="00651AEB" w:rsidRDefault="00651AEB" w:rsidP="00651AEB">
            <w:pPr>
              <w:jc w:val="right"/>
              <w:rPr>
                <w:rFonts w:ascii="Calibri" w:hAnsi="Calibri"/>
                <w:b/>
                <w:color w:val="000000"/>
              </w:rPr>
            </w:pPr>
            <w:r w:rsidRPr="00651AEB">
              <w:rPr>
                <w:rFonts w:ascii="Calibri" w:eastAsia="Times" w:hAnsi="Calibri"/>
                <w:b/>
                <w:bCs/>
                <w:color w:val="000000"/>
              </w:rPr>
              <w:t>-75%</w:t>
            </w:r>
          </w:p>
        </w:tc>
      </w:tr>
      <w:tr w:rsidR="00651AEB" w:rsidRPr="00651AEB" w14:paraId="4BA5C729" w14:textId="77777777" w:rsidTr="00E235EE">
        <w:trPr>
          <w:trHeight w:val="315"/>
        </w:trPr>
        <w:tc>
          <w:tcPr>
            <w:tcW w:w="854" w:type="dxa"/>
            <w:vMerge w:val="restart"/>
            <w:tcBorders>
              <w:top w:val="nil"/>
              <w:left w:val="single" w:sz="8" w:space="0" w:color="auto"/>
              <w:bottom w:val="single" w:sz="8" w:space="0" w:color="000000"/>
              <w:right w:val="single" w:sz="8" w:space="0" w:color="auto"/>
            </w:tcBorders>
            <w:shd w:val="clear" w:color="auto" w:fill="auto"/>
            <w:vAlign w:val="center"/>
            <w:hideMark/>
          </w:tcPr>
          <w:p w14:paraId="3DC9BF43" w14:textId="77777777" w:rsidR="00651AEB" w:rsidRPr="00651AEB" w:rsidRDefault="00651AEB" w:rsidP="00651AEB">
            <w:pPr>
              <w:jc w:val="center"/>
              <w:rPr>
                <w:rFonts w:ascii="Calibri" w:hAnsi="Calibri"/>
                <w:b/>
                <w:bCs/>
                <w:color w:val="000000"/>
              </w:rPr>
            </w:pPr>
            <w:r w:rsidRPr="00651AEB">
              <w:rPr>
                <w:rFonts w:ascii="Calibri" w:eastAsia="Times" w:hAnsi="Calibri"/>
                <w:b/>
                <w:bCs/>
                <w:color w:val="000000"/>
              </w:rPr>
              <w:t>Virginia Beach</w:t>
            </w:r>
          </w:p>
        </w:tc>
        <w:tc>
          <w:tcPr>
            <w:tcW w:w="1216" w:type="dxa"/>
            <w:tcBorders>
              <w:top w:val="nil"/>
              <w:left w:val="nil"/>
              <w:bottom w:val="single" w:sz="8" w:space="0" w:color="auto"/>
              <w:right w:val="nil"/>
            </w:tcBorders>
            <w:shd w:val="clear" w:color="auto" w:fill="auto"/>
            <w:noWrap/>
            <w:vAlign w:val="center"/>
            <w:hideMark/>
          </w:tcPr>
          <w:p w14:paraId="7FBB557D" w14:textId="77777777" w:rsidR="00651AEB" w:rsidRPr="00651AEB" w:rsidRDefault="00651AEB" w:rsidP="00651AEB">
            <w:pPr>
              <w:rPr>
                <w:rFonts w:ascii="Calibri" w:hAnsi="Calibri"/>
                <w:color w:val="000000"/>
              </w:rPr>
            </w:pPr>
            <w:r w:rsidRPr="00651AEB">
              <w:rPr>
                <w:rFonts w:ascii="Calibri" w:eastAsia="Times" w:hAnsi="Calibri"/>
                <w:color w:val="000000"/>
              </w:rPr>
              <w:t>Armor</w:t>
            </w:r>
          </w:p>
        </w:tc>
        <w:tc>
          <w:tcPr>
            <w:tcW w:w="900" w:type="dxa"/>
            <w:tcBorders>
              <w:top w:val="nil"/>
              <w:left w:val="single" w:sz="8" w:space="0" w:color="auto"/>
              <w:bottom w:val="single" w:sz="8" w:space="0" w:color="auto"/>
              <w:right w:val="single" w:sz="8" w:space="0" w:color="auto"/>
            </w:tcBorders>
            <w:vAlign w:val="center"/>
          </w:tcPr>
          <w:p w14:paraId="50CB88AE"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 xml:space="preserve">$6,080 </w:t>
            </w:r>
          </w:p>
        </w:tc>
        <w:tc>
          <w:tcPr>
            <w:tcW w:w="900" w:type="dxa"/>
            <w:tcBorders>
              <w:top w:val="nil"/>
              <w:left w:val="single" w:sz="8" w:space="0" w:color="auto"/>
              <w:bottom w:val="single" w:sz="8" w:space="0" w:color="auto"/>
              <w:right w:val="single" w:sz="8" w:space="0" w:color="auto"/>
            </w:tcBorders>
            <w:vAlign w:val="center"/>
          </w:tcPr>
          <w:p w14:paraId="2B47672F"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 xml:space="preserve">$4,898 </w:t>
            </w:r>
          </w:p>
        </w:tc>
        <w:tc>
          <w:tcPr>
            <w:tcW w:w="810" w:type="dxa"/>
            <w:tcBorders>
              <w:top w:val="nil"/>
              <w:left w:val="single" w:sz="8" w:space="0" w:color="auto"/>
              <w:bottom w:val="single" w:sz="8" w:space="0" w:color="auto"/>
              <w:right w:val="single" w:sz="8" w:space="0" w:color="auto"/>
            </w:tcBorders>
            <w:vAlign w:val="center"/>
          </w:tcPr>
          <w:p w14:paraId="6D4E4618"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-19%</w:t>
            </w:r>
          </w:p>
        </w:tc>
        <w:tc>
          <w:tcPr>
            <w:tcW w:w="900" w:type="dxa"/>
            <w:tcBorders>
              <w:top w:val="nil"/>
              <w:left w:val="single" w:sz="8" w:space="0" w:color="auto"/>
              <w:bottom w:val="single" w:sz="8" w:space="0" w:color="auto"/>
              <w:right w:val="single" w:sz="8" w:space="0" w:color="auto"/>
            </w:tcBorders>
            <w:shd w:val="clear" w:color="auto" w:fill="auto"/>
            <w:noWrap/>
            <w:vAlign w:val="center"/>
            <w:hideMark/>
          </w:tcPr>
          <w:p w14:paraId="6EE4069E" w14:textId="77777777" w:rsidR="00651AEB" w:rsidRPr="00651AEB" w:rsidRDefault="00651AEB" w:rsidP="00651AEB">
            <w:pPr>
              <w:jc w:val="right"/>
              <w:rPr>
                <w:rFonts w:ascii="Calibri" w:hAnsi="Calibri"/>
                <w:color w:val="000000"/>
              </w:rPr>
            </w:pPr>
            <w:r w:rsidRPr="00651AEB">
              <w:rPr>
                <w:rFonts w:ascii="Calibri" w:eastAsia="Times" w:hAnsi="Calibri"/>
                <w:color w:val="000000"/>
              </w:rPr>
              <w:t xml:space="preserve">$2,044 </w:t>
            </w:r>
          </w:p>
        </w:tc>
        <w:tc>
          <w:tcPr>
            <w:tcW w:w="900" w:type="dxa"/>
            <w:tcBorders>
              <w:top w:val="nil"/>
              <w:left w:val="nil"/>
              <w:bottom w:val="single" w:sz="8" w:space="0" w:color="auto"/>
              <w:right w:val="single" w:sz="8" w:space="0" w:color="auto"/>
            </w:tcBorders>
            <w:shd w:val="clear" w:color="auto" w:fill="auto"/>
            <w:noWrap/>
            <w:vAlign w:val="center"/>
            <w:hideMark/>
          </w:tcPr>
          <w:p w14:paraId="3CDEDE00" w14:textId="77777777" w:rsidR="00651AEB" w:rsidRPr="00651AEB" w:rsidRDefault="00651AEB" w:rsidP="00651AEB">
            <w:pPr>
              <w:jc w:val="right"/>
              <w:rPr>
                <w:rFonts w:ascii="Calibri" w:hAnsi="Calibri"/>
                <w:color w:val="000000"/>
              </w:rPr>
            </w:pPr>
            <w:r w:rsidRPr="00651AEB">
              <w:rPr>
                <w:rFonts w:ascii="Calibri" w:eastAsia="Times" w:hAnsi="Calibri"/>
                <w:color w:val="000000"/>
              </w:rPr>
              <w:t xml:space="preserve">$1,299 </w:t>
            </w:r>
          </w:p>
        </w:tc>
        <w:tc>
          <w:tcPr>
            <w:tcW w:w="810" w:type="dxa"/>
            <w:tcBorders>
              <w:top w:val="nil"/>
              <w:left w:val="nil"/>
              <w:bottom w:val="single" w:sz="8" w:space="0" w:color="auto"/>
              <w:right w:val="single" w:sz="8" w:space="0" w:color="auto"/>
            </w:tcBorders>
            <w:shd w:val="clear" w:color="auto" w:fill="auto"/>
            <w:noWrap/>
            <w:vAlign w:val="center"/>
            <w:hideMark/>
          </w:tcPr>
          <w:p w14:paraId="4CF7708E" w14:textId="77777777" w:rsidR="00651AEB" w:rsidRPr="00651AEB" w:rsidRDefault="00651AEB" w:rsidP="00651AEB">
            <w:pPr>
              <w:jc w:val="right"/>
              <w:rPr>
                <w:rFonts w:ascii="Calibri" w:hAnsi="Calibri"/>
                <w:color w:val="000000"/>
              </w:rPr>
            </w:pPr>
            <w:r w:rsidRPr="00651AEB">
              <w:rPr>
                <w:rFonts w:ascii="Calibri" w:eastAsia="Times" w:hAnsi="Calibri"/>
                <w:color w:val="000000"/>
              </w:rPr>
              <w:t>-36%</w:t>
            </w:r>
          </w:p>
        </w:tc>
      </w:tr>
      <w:tr w:rsidR="00651AEB" w:rsidRPr="00651AEB" w14:paraId="383CE1C5" w14:textId="77777777" w:rsidTr="00E235EE">
        <w:trPr>
          <w:trHeight w:val="315"/>
        </w:trPr>
        <w:tc>
          <w:tcPr>
            <w:tcW w:w="854" w:type="dxa"/>
            <w:vMerge/>
            <w:tcBorders>
              <w:top w:val="nil"/>
              <w:left w:val="single" w:sz="8" w:space="0" w:color="auto"/>
              <w:bottom w:val="single" w:sz="8" w:space="0" w:color="000000"/>
              <w:right w:val="single" w:sz="8" w:space="0" w:color="auto"/>
            </w:tcBorders>
            <w:vAlign w:val="center"/>
            <w:hideMark/>
          </w:tcPr>
          <w:p w14:paraId="31D645FD" w14:textId="77777777" w:rsidR="00651AEB" w:rsidRPr="00651AEB" w:rsidRDefault="00651AEB" w:rsidP="00651AEB">
            <w:pPr>
              <w:rPr>
                <w:rFonts w:ascii="Calibri" w:hAnsi="Calibri"/>
                <w:b/>
                <w:bCs/>
                <w:color w:val="000000"/>
              </w:rPr>
            </w:pPr>
          </w:p>
        </w:tc>
        <w:tc>
          <w:tcPr>
            <w:tcW w:w="1216" w:type="dxa"/>
            <w:tcBorders>
              <w:top w:val="nil"/>
              <w:left w:val="nil"/>
              <w:bottom w:val="single" w:sz="8" w:space="0" w:color="auto"/>
              <w:right w:val="nil"/>
            </w:tcBorders>
            <w:shd w:val="clear" w:color="auto" w:fill="auto"/>
            <w:noWrap/>
            <w:vAlign w:val="center"/>
            <w:hideMark/>
          </w:tcPr>
          <w:p w14:paraId="0447C970" w14:textId="77777777" w:rsidR="00651AEB" w:rsidRPr="00651AEB" w:rsidRDefault="00651AEB" w:rsidP="00651AEB">
            <w:pPr>
              <w:rPr>
                <w:rFonts w:ascii="Calibri" w:hAnsi="Calibri"/>
                <w:color w:val="000000"/>
              </w:rPr>
            </w:pPr>
            <w:r w:rsidRPr="00651AEB">
              <w:rPr>
                <w:rFonts w:ascii="Calibri" w:eastAsia="Times" w:hAnsi="Calibri"/>
                <w:color w:val="000000"/>
              </w:rPr>
              <w:t>Elevate</w:t>
            </w:r>
          </w:p>
        </w:tc>
        <w:tc>
          <w:tcPr>
            <w:tcW w:w="900" w:type="dxa"/>
            <w:tcBorders>
              <w:top w:val="nil"/>
              <w:left w:val="single" w:sz="8" w:space="0" w:color="auto"/>
              <w:bottom w:val="single" w:sz="8" w:space="0" w:color="auto"/>
              <w:right w:val="single" w:sz="8" w:space="0" w:color="auto"/>
            </w:tcBorders>
            <w:vAlign w:val="center"/>
          </w:tcPr>
          <w:p w14:paraId="51078EF3"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 xml:space="preserve">$30 </w:t>
            </w:r>
          </w:p>
        </w:tc>
        <w:tc>
          <w:tcPr>
            <w:tcW w:w="900" w:type="dxa"/>
            <w:tcBorders>
              <w:top w:val="nil"/>
              <w:left w:val="single" w:sz="8" w:space="0" w:color="auto"/>
              <w:bottom w:val="single" w:sz="8" w:space="0" w:color="auto"/>
              <w:right w:val="single" w:sz="8" w:space="0" w:color="auto"/>
            </w:tcBorders>
            <w:vAlign w:val="center"/>
          </w:tcPr>
          <w:p w14:paraId="2A03E223"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 xml:space="preserve">$22 </w:t>
            </w:r>
          </w:p>
        </w:tc>
        <w:tc>
          <w:tcPr>
            <w:tcW w:w="810" w:type="dxa"/>
            <w:tcBorders>
              <w:top w:val="nil"/>
              <w:left w:val="single" w:sz="8" w:space="0" w:color="auto"/>
              <w:bottom w:val="single" w:sz="8" w:space="0" w:color="auto"/>
              <w:right w:val="single" w:sz="8" w:space="0" w:color="auto"/>
            </w:tcBorders>
            <w:vAlign w:val="center"/>
          </w:tcPr>
          <w:p w14:paraId="720714BB"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-29%</w:t>
            </w:r>
          </w:p>
        </w:tc>
        <w:tc>
          <w:tcPr>
            <w:tcW w:w="900" w:type="dxa"/>
            <w:tcBorders>
              <w:top w:val="nil"/>
              <w:left w:val="single" w:sz="8" w:space="0" w:color="auto"/>
              <w:bottom w:val="single" w:sz="8" w:space="0" w:color="auto"/>
              <w:right w:val="single" w:sz="8" w:space="0" w:color="auto"/>
            </w:tcBorders>
            <w:shd w:val="clear" w:color="auto" w:fill="auto"/>
            <w:noWrap/>
            <w:vAlign w:val="center"/>
            <w:hideMark/>
          </w:tcPr>
          <w:p w14:paraId="14B336BC" w14:textId="77777777" w:rsidR="00651AEB" w:rsidRPr="00651AEB" w:rsidRDefault="00651AEB" w:rsidP="00651AEB">
            <w:pPr>
              <w:jc w:val="right"/>
              <w:rPr>
                <w:rFonts w:ascii="Calibri" w:hAnsi="Calibri"/>
                <w:color w:val="000000"/>
              </w:rPr>
            </w:pPr>
            <w:r w:rsidRPr="00651AEB">
              <w:rPr>
                <w:rFonts w:ascii="Calibri" w:eastAsia="Times" w:hAnsi="Calibri"/>
                <w:color w:val="000000"/>
              </w:rPr>
              <w:t xml:space="preserve">$16 </w:t>
            </w:r>
          </w:p>
        </w:tc>
        <w:tc>
          <w:tcPr>
            <w:tcW w:w="900" w:type="dxa"/>
            <w:tcBorders>
              <w:top w:val="nil"/>
              <w:left w:val="nil"/>
              <w:bottom w:val="single" w:sz="8" w:space="0" w:color="auto"/>
              <w:right w:val="single" w:sz="8" w:space="0" w:color="auto"/>
            </w:tcBorders>
            <w:shd w:val="clear" w:color="auto" w:fill="auto"/>
            <w:noWrap/>
            <w:vAlign w:val="center"/>
            <w:hideMark/>
          </w:tcPr>
          <w:p w14:paraId="3A4773E2" w14:textId="77777777" w:rsidR="00651AEB" w:rsidRPr="00651AEB" w:rsidRDefault="00651AEB" w:rsidP="00651AEB">
            <w:pPr>
              <w:jc w:val="right"/>
              <w:rPr>
                <w:rFonts w:ascii="Calibri" w:hAnsi="Calibri"/>
                <w:color w:val="000000"/>
              </w:rPr>
            </w:pPr>
            <w:r w:rsidRPr="00651AEB">
              <w:rPr>
                <w:rFonts w:ascii="Calibri" w:eastAsia="Times" w:hAnsi="Calibri"/>
                <w:color w:val="000000"/>
              </w:rPr>
              <w:t xml:space="preserve">$6 </w:t>
            </w:r>
          </w:p>
        </w:tc>
        <w:tc>
          <w:tcPr>
            <w:tcW w:w="810" w:type="dxa"/>
            <w:tcBorders>
              <w:top w:val="nil"/>
              <w:left w:val="nil"/>
              <w:bottom w:val="single" w:sz="8" w:space="0" w:color="auto"/>
              <w:right w:val="single" w:sz="8" w:space="0" w:color="auto"/>
            </w:tcBorders>
            <w:shd w:val="clear" w:color="auto" w:fill="auto"/>
            <w:noWrap/>
            <w:vAlign w:val="center"/>
            <w:hideMark/>
          </w:tcPr>
          <w:p w14:paraId="623577AC" w14:textId="77777777" w:rsidR="00651AEB" w:rsidRPr="00651AEB" w:rsidRDefault="00651AEB" w:rsidP="00651AEB">
            <w:pPr>
              <w:jc w:val="right"/>
              <w:rPr>
                <w:rFonts w:ascii="Calibri" w:hAnsi="Calibri"/>
                <w:color w:val="000000"/>
              </w:rPr>
            </w:pPr>
            <w:r w:rsidRPr="00651AEB">
              <w:rPr>
                <w:rFonts w:ascii="Calibri" w:eastAsia="Times" w:hAnsi="Calibri"/>
                <w:color w:val="000000"/>
              </w:rPr>
              <w:t>-61%</w:t>
            </w:r>
          </w:p>
        </w:tc>
      </w:tr>
      <w:tr w:rsidR="00651AEB" w:rsidRPr="00651AEB" w14:paraId="37B66517" w14:textId="77777777" w:rsidTr="00E235EE">
        <w:trPr>
          <w:trHeight w:val="315"/>
        </w:trPr>
        <w:tc>
          <w:tcPr>
            <w:tcW w:w="854" w:type="dxa"/>
            <w:vMerge/>
            <w:tcBorders>
              <w:top w:val="nil"/>
              <w:left w:val="single" w:sz="8" w:space="0" w:color="auto"/>
              <w:bottom w:val="single" w:sz="8" w:space="0" w:color="000000"/>
              <w:right w:val="single" w:sz="8" w:space="0" w:color="auto"/>
            </w:tcBorders>
            <w:vAlign w:val="center"/>
            <w:hideMark/>
          </w:tcPr>
          <w:p w14:paraId="12AE05B5" w14:textId="77777777" w:rsidR="00651AEB" w:rsidRPr="00651AEB" w:rsidRDefault="00651AEB" w:rsidP="00651AEB">
            <w:pPr>
              <w:rPr>
                <w:rFonts w:ascii="Calibri" w:hAnsi="Calibri"/>
                <w:b/>
                <w:bCs/>
                <w:color w:val="000000"/>
              </w:rPr>
            </w:pPr>
          </w:p>
        </w:tc>
        <w:tc>
          <w:tcPr>
            <w:tcW w:w="1216" w:type="dxa"/>
            <w:tcBorders>
              <w:top w:val="nil"/>
              <w:left w:val="nil"/>
              <w:bottom w:val="single" w:sz="8" w:space="0" w:color="auto"/>
              <w:right w:val="nil"/>
            </w:tcBorders>
            <w:shd w:val="clear" w:color="auto" w:fill="auto"/>
            <w:noWrap/>
            <w:vAlign w:val="center"/>
            <w:hideMark/>
          </w:tcPr>
          <w:p w14:paraId="391D9AA4" w14:textId="77777777" w:rsidR="00651AEB" w:rsidRPr="00651AEB" w:rsidRDefault="00651AEB" w:rsidP="00651AEB">
            <w:pPr>
              <w:rPr>
                <w:rFonts w:ascii="Calibri" w:hAnsi="Calibri"/>
                <w:color w:val="000000"/>
              </w:rPr>
            </w:pPr>
            <w:r w:rsidRPr="00651AEB">
              <w:rPr>
                <w:rFonts w:ascii="Calibri" w:eastAsia="Times" w:hAnsi="Calibri"/>
                <w:color w:val="000000"/>
              </w:rPr>
              <w:t>Nourish</w:t>
            </w:r>
          </w:p>
        </w:tc>
        <w:tc>
          <w:tcPr>
            <w:tcW w:w="900" w:type="dxa"/>
            <w:tcBorders>
              <w:top w:val="nil"/>
              <w:left w:val="single" w:sz="8" w:space="0" w:color="auto"/>
              <w:bottom w:val="single" w:sz="8" w:space="0" w:color="auto"/>
              <w:right w:val="single" w:sz="8" w:space="0" w:color="auto"/>
            </w:tcBorders>
            <w:vAlign w:val="center"/>
          </w:tcPr>
          <w:p w14:paraId="3FC24DA9"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 xml:space="preserve">$5,910 </w:t>
            </w:r>
          </w:p>
        </w:tc>
        <w:tc>
          <w:tcPr>
            <w:tcW w:w="900" w:type="dxa"/>
            <w:tcBorders>
              <w:top w:val="nil"/>
              <w:left w:val="single" w:sz="8" w:space="0" w:color="auto"/>
              <w:bottom w:val="single" w:sz="8" w:space="0" w:color="auto"/>
              <w:right w:val="single" w:sz="8" w:space="0" w:color="auto"/>
            </w:tcBorders>
            <w:vAlign w:val="center"/>
          </w:tcPr>
          <w:p w14:paraId="1C2A1C32"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 xml:space="preserve">$5,910 </w:t>
            </w:r>
          </w:p>
        </w:tc>
        <w:tc>
          <w:tcPr>
            <w:tcW w:w="810" w:type="dxa"/>
            <w:tcBorders>
              <w:top w:val="nil"/>
              <w:left w:val="single" w:sz="8" w:space="0" w:color="auto"/>
              <w:bottom w:val="single" w:sz="8" w:space="0" w:color="auto"/>
              <w:right w:val="single" w:sz="8" w:space="0" w:color="auto"/>
            </w:tcBorders>
            <w:vAlign w:val="center"/>
          </w:tcPr>
          <w:p w14:paraId="16886ECD"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0%</w:t>
            </w:r>
          </w:p>
        </w:tc>
        <w:tc>
          <w:tcPr>
            <w:tcW w:w="900" w:type="dxa"/>
            <w:tcBorders>
              <w:top w:val="nil"/>
              <w:left w:val="single" w:sz="8" w:space="0" w:color="auto"/>
              <w:bottom w:val="single" w:sz="8" w:space="0" w:color="auto"/>
              <w:right w:val="single" w:sz="8" w:space="0" w:color="auto"/>
            </w:tcBorders>
            <w:shd w:val="clear" w:color="auto" w:fill="auto"/>
            <w:noWrap/>
            <w:vAlign w:val="center"/>
            <w:hideMark/>
          </w:tcPr>
          <w:p w14:paraId="0B0F70A3" w14:textId="77777777" w:rsidR="00651AEB" w:rsidRPr="00651AEB" w:rsidRDefault="00651AEB" w:rsidP="00651AEB">
            <w:pPr>
              <w:jc w:val="right"/>
              <w:rPr>
                <w:rFonts w:ascii="Calibri" w:hAnsi="Calibri"/>
                <w:color w:val="000000"/>
              </w:rPr>
            </w:pPr>
            <w:r w:rsidRPr="00651AEB">
              <w:rPr>
                <w:rFonts w:ascii="Calibri" w:eastAsia="Times" w:hAnsi="Calibri"/>
                <w:color w:val="000000"/>
              </w:rPr>
              <w:t xml:space="preserve">$1,166 </w:t>
            </w:r>
          </w:p>
        </w:tc>
        <w:tc>
          <w:tcPr>
            <w:tcW w:w="900" w:type="dxa"/>
            <w:tcBorders>
              <w:top w:val="nil"/>
              <w:left w:val="nil"/>
              <w:bottom w:val="single" w:sz="8" w:space="0" w:color="auto"/>
              <w:right w:val="single" w:sz="8" w:space="0" w:color="auto"/>
            </w:tcBorders>
            <w:shd w:val="clear" w:color="auto" w:fill="auto"/>
            <w:noWrap/>
            <w:vAlign w:val="center"/>
            <w:hideMark/>
          </w:tcPr>
          <w:p w14:paraId="6A60DF99" w14:textId="77777777" w:rsidR="00651AEB" w:rsidRPr="00651AEB" w:rsidRDefault="00651AEB" w:rsidP="00651AEB">
            <w:pPr>
              <w:jc w:val="right"/>
              <w:rPr>
                <w:rFonts w:ascii="Calibri" w:hAnsi="Calibri"/>
                <w:color w:val="000000"/>
              </w:rPr>
            </w:pPr>
            <w:r w:rsidRPr="00651AEB">
              <w:rPr>
                <w:rFonts w:ascii="Calibri" w:eastAsia="Times" w:hAnsi="Calibri"/>
                <w:color w:val="000000"/>
              </w:rPr>
              <w:t xml:space="preserve">$1,166 </w:t>
            </w:r>
          </w:p>
        </w:tc>
        <w:tc>
          <w:tcPr>
            <w:tcW w:w="810" w:type="dxa"/>
            <w:tcBorders>
              <w:top w:val="nil"/>
              <w:left w:val="nil"/>
              <w:bottom w:val="single" w:sz="8" w:space="0" w:color="auto"/>
              <w:right w:val="single" w:sz="8" w:space="0" w:color="auto"/>
            </w:tcBorders>
            <w:shd w:val="clear" w:color="auto" w:fill="auto"/>
            <w:noWrap/>
            <w:vAlign w:val="center"/>
            <w:hideMark/>
          </w:tcPr>
          <w:p w14:paraId="216EEE3D" w14:textId="77777777" w:rsidR="00651AEB" w:rsidRPr="00651AEB" w:rsidRDefault="00651AEB" w:rsidP="00651AEB">
            <w:pPr>
              <w:jc w:val="right"/>
              <w:rPr>
                <w:rFonts w:ascii="Calibri" w:hAnsi="Calibri"/>
                <w:color w:val="000000"/>
              </w:rPr>
            </w:pPr>
            <w:r w:rsidRPr="00651AEB">
              <w:rPr>
                <w:rFonts w:ascii="Calibri" w:eastAsia="Times" w:hAnsi="Calibri"/>
                <w:color w:val="000000"/>
              </w:rPr>
              <w:t>0%</w:t>
            </w:r>
          </w:p>
        </w:tc>
      </w:tr>
      <w:tr w:rsidR="00651AEB" w:rsidRPr="00651AEB" w14:paraId="3DEC7472" w14:textId="77777777" w:rsidTr="00E235EE">
        <w:trPr>
          <w:trHeight w:val="315"/>
        </w:trPr>
        <w:tc>
          <w:tcPr>
            <w:tcW w:w="854" w:type="dxa"/>
            <w:vMerge/>
            <w:tcBorders>
              <w:top w:val="nil"/>
              <w:left w:val="single" w:sz="8" w:space="0" w:color="auto"/>
              <w:bottom w:val="single" w:sz="8" w:space="0" w:color="000000"/>
              <w:right w:val="single" w:sz="8" w:space="0" w:color="auto"/>
            </w:tcBorders>
            <w:vAlign w:val="center"/>
            <w:hideMark/>
          </w:tcPr>
          <w:p w14:paraId="6B50EF68" w14:textId="77777777" w:rsidR="00651AEB" w:rsidRPr="00651AEB" w:rsidRDefault="00651AEB" w:rsidP="00651AEB">
            <w:pPr>
              <w:rPr>
                <w:rFonts w:ascii="Calibri" w:hAnsi="Calibri"/>
                <w:b/>
                <w:bCs/>
                <w:color w:val="000000"/>
              </w:rPr>
            </w:pPr>
          </w:p>
        </w:tc>
        <w:tc>
          <w:tcPr>
            <w:tcW w:w="1216" w:type="dxa"/>
            <w:tcBorders>
              <w:top w:val="nil"/>
              <w:left w:val="nil"/>
              <w:bottom w:val="single" w:sz="8" w:space="0" w:color="auto"/>
              <w:right w:val="nil"/>
            </w:tcBorders>
            <w:shd w:val="clear" w:color="auto" w:fill="auto"/>
            <w:noWrap/>
            <w:vAlign w:val="center"/>
            <w:hideMark/>
          </w:tcPr>
          <w:p w14:paraId="1AFD50A2" w14:textId="77777777" w:rsidR="00651AEB" w:rsidRPr="00651AEB" w:rsidRDefault="00651AEB" w:rsidP="00651AEB">
            <w:pPr>
              <w:rPr>
                <w:rFonts w:ascii="Calibri" w:hAnsi="Calibri"/>
                <w:color w:val="000000"/>
              </w:rPr>
            </w:pPr>
            <w:r w:rsidRPr="00651AEB">
              <w:rPr>
                <w:rFonts w:ascii="Calibri" w:eastAsia="Times" w:hAnsi="Calibri"/>
                <w:color w:val="000000"/>
              </w:rPr>
              <w:t>Abandon</w:t>
            </w:r>
          </w:p>
        </w:tc>
        <w:tc>
          <w:tcPr>
            <w:tcW w:w="900" w:type="dxa"/>
            <w:tcBorders>
              <w:top w:val="nil"/>
              <w:left w:val="single" w:sz="8" w:space="0" w:color="auto"/>
              <w:bottom w:val="single" w:sz="8" w:space="0" w:color="auto"/>
              <w:right w:val="single" w:sz="8" w:space="0" w:color="auto"/>
            </w:tcBorders>
            <w:vAlign w:val="center"/>
          </w:tcPr>
          <w:p w14:paraId="030B2767"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 xml:space="preserve">$1,151 </w:t>
            </w:r>
          </w:p>
        </w:tc>
        <w:tc>
          <w:tcPr>
            <w:tcW w:w="900" w:type="dxa"/>
            <w:tcBorders>
              <w:top w:val="nil"/>
              <w:left w:val="single" w:sz="8" w:space="0" w:color="auto"/>
              <w:bottom w:val="single" w:sz="8" w:space="0" w:color="auto"/>
              <w:right w:val="single" w:sz="8" w:space="0" w:color="auto"/>
            </w:tcBorders>
            <w:vAlign w:val="center"/>
          </w:tcPr>
          <w:p w14:paraId="5DF35802"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 xml:space="preserve">$793 </w:t>
            </w:r>
          </w:p>
        </w:tc>
        <w:tc>
          <w:tcPr>
            <w:tcW w:w="810" w:type="dxa"/>
            <w:tcBorders>
              <w:top w:val="nil"/>
              <w:left w:val="single" w:sz="8" w:space="0" w:color="auto"/>
              <w:bottom w:val="single" w:sz="8" w:space="0" w:color="auto"/>
              <w:right w:val="single" w:sz="8" w:space="0" w:color="auto"/>
            </w:tcBorders>
            <w:vAlign w:val="center"/>
          </w:tcPr>
          <w:p w14:paraId="5B842A68"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-31%</w:t>
            </w:r>
          </w:p>
        </w:tc>
        <w:tc>
          <w:tcPr>
            <w:tcW w:w="900" w:type="dxa"/>
            <w:tcBorders>
              <w:top w:val="nil"/>
              <w:left w:val="single" w:sz="8" w:space="0" w:color="auto"/>
              <w:bottom w:val="single" w:sz="8" w:space="0" w:color="auto"/>
              <w:right w:val="single" w:sz="8" w:space="0" w:color="auto"/>
            </w:tcBorders>
            <w:shd w:val="clear" w:color="auto" w:fill="auto"/>
            <w:noWrap/>
            <w:vAlign w:val="center"/>
            <w:hideMark/>
          </w:tcPr>
          <w:p w14:paraId="785BB4EA" w14:textId="77777777" w:rsidR="00651AEB" w:rsidRPr="00651AEB" w:rsidRDefault="00651AEB" w:rsidP="00651AEB">
            <w:pPr>
              <w:jc w:val="right"/>
              <w:rPr>
                <w:rFonts w:ascii="Calibri" w:hAnsi="Calibri"/>
                <w:color w:val="000000"/>
              </w:rPr>
            </w:pPr>
            <w:r w:rsidRPr="00651AEB">
              <w:rPr>
                <w:rFonts w:ascii="Calibri" w:eastAsia="Times" w:hAnsi="Calibri"/>
                <w:color w:val="000000"/>
              </w:rPr>
              <w:t xml:space="preserve">$1,152 </w:t>
            </w:r>
          </w:p>
        </w:tc>
        <w:tc>
          <w:tcPr>
            <w:tcW w:w="900" w:type="dxa"/>
            <w:tcBorders>
              <w:top w:val="nil"/>
              <w:left w:val="nil"/>
              <w:bottom w:val="single" w:sz="8" w:space="0" w:color="auto"/>
              <w:right w:val="single" w:sz="8" w:space="0" w:color="auto"/>
            </w:tcBorders>
            <w:shd w:val="clear" w:color="auto" w:fill="auto"/>
            <w:noWrap/>
            <w:vAlign w:val="center"/>
            <w:hideMark/>
          </w:tcPr>
          <w:p w14:paraId="71386CBE" w14:textId="77777777" w:rsidR="00651AEB" w:rsidRPr="00651AEB" w:rsidRDefault="00651AEB" w:rsidP="00651AEB">
            <w:pPr>
              <w:jc w:val="right"/>
              <w:rPr>
                <w:rFonts w:ascii="Calibri" w:hAnsi="Calibri"/>
                <w:color w:val="000000"/>
              </w:rPr>
            </w:pPr>
            <w:r w:rsidRPr="00651AEB">
              <w:rPr>
                <w:rFonts w:ascii="Calibri" w:eastAsia="Times" w:hAnsi="Calibri"/>
                <w:color w:val="000000"/>
              </w:rPr>
              <w:t xml:space="preserve">$165 </w:t>
            </w:r>
          </w:p>
        </w:tc>
        <w:tc>
          <w:tcPr>
            <w:tcW w:w="810" w:type="dxa"/>
            <w:tcBorders>
              <w:top w:val="nil"/>
              <w:left w:val="nil"/>
              <w:bottom w:val="single" w:sz="8" w:space="0" w:color="auto"/>
              <w:right w:val="single" w:sz="8" w:space="0" w:color="auto"/>
            </w:tcBorders>
            <w:shd w:val="clear" w:color="auto" w:fill="auto"/>
            <w:noWrap/>
            <w:vAlign w:val="center"/>
            <w:hideMark/>
          </w:tcPr>
          <w:p w14:paraId="1CB0990E" w14:textId="77777777" w:rsidR="00651AEB" w:rsidRPr="00651AEB" w:rsidRDefault="00651AEB" w:rsidP="00651AEB">
            <w:pPr>
              <w:jc w:val="right"/>
              <w:rPr>
                <w:rFonts w:ascii="Calibri" w:hAnsi="Calibri"/>
                <w:color w:val="000000"/>
              </w:rPr>
            </w:pPr>
            <w:r w:rsidRPr="00651AEB">
              <w:rPr>
                <w:rFonts w:ascii="Calibri" w:eastAsia="Times" w:hAnsi="Calibri"/>
                <w:color w:val="000000"/>
              </w:rPr>
              <w:t>-86%</w:t>
            </w:r>
          </w:p>
        </w:tc>
      </w:tr>
      <w:tr w:rsidR="00651AEB" w:rsidRPr="00651AEB" w14:paraId="6C4B29AE" w14:textId="77777777" w:rsidTr="00E235EE">
        <w:trPr>
          <w:trHeight w:val="315"/>
        </w:trPr>
        <w:tc>
          <w:tcPr>
            <w:tcW w:w="854" w:type="dxa"/>
            <w:vMerge/>
            <w:tcBorders>
              <w:top w:val="nil"/>
              <w:left w:val="single" w:sz="8" w:space="0" w:color="auto"/>
              <w:bottom w:val="single" w:sz="8" w:space="0" w:color="000000"/>
              <w:right w:val="single" w:sz="8" w:space="0" w:color="auto"/>
            </w:tcBorders>
            <w:vAlign w:val="center"/>
            <w:hideMark/>
          </w:tcPr>
          <w:p w14:paraId="333C0265" w14:textId="77777777" w:rsidR="00651AEB" w:rsidRPr="00651AEB" w:rsidRDefault="00651AEB" w:rsidP="00651AEB">
            <w:pPr>
              <w:rPr>
                <w:rFonts w:ascii="Calibri" w:hAnsi="Calibri"/>
                <w:b/>
                <w:bCs/>
                <w:color w:val="000000"/>
              </w:rPr>
            </w:pPr>
          </w:p>
        </w:tc>
        <w:tc>
          <w:tcPr>
            <w:tcW w:w="1216" w:type="dxa"/>
            <w:tcBorders>
              <w:top w:val="nil"/>
              <w:left w:val="nil"/>
              <w:bottom w:val="single" w:sz="8" w:space="0" w:color="auto"/>
              <w:right w:val="nil"/>
            </w:tcBorders>
            <w:shd w:val="clear" w:color="auto" w:fill="auto"/>
            <w:noWrap/>
            <w:vAlign w:val="center"/>
            <w:hideMark/>
          </w:tcPr>
          <w:p w14:paraId="2034B363" w14:textId="77777777" w:rsidR="00651AEB" w:rsidRPr="00651AEB" w:rsidRDefault="00651AEB" w:rsidP="00651AEB">
            <w:pPr>
              <w:rPr>
                <w:rFonts w:ascii="Calibri" w:hAnsi="Calibri"/>
                <w:color w:val="000000"/>
              </w:rPr>
            </w:pPr>
            <w:r w:rsidRPr="00651AEB">
              <w:rPr>
                <w:rFonts w:ascii="Calibri" w:eastAsia="Times" w:hAnsi="Calibri"/>
                <w:color w:val="000000"/>
              </w:rPr>
              <w:t>Storm Surge</w:t>
            </w:r>
          </w:p>
        </w:tc>
        <w:tc>
          <w:tcPr>
            <w:tcW w:w="900" w:type="dxa"/>
            <w:tcBorders>
              <w:top w:val="nil"/>
              <w:left w:val="single" w:sz="8" w:space="0" w:color="auto"/>
              <w:bottom w:val="single" w:sz="8" w:space="0" w:color="auto"/>
              <w:right w:val="single" w:sz="8" w:space="0" w:color="auto"/>
            </w:tcBorders>
            <w:vAlign w:val="center"/>
          </w:tcPr>
          <w:p w14:paraId="20D29683"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 xml:space="preserve">$5,469 </w:t>
            </w:r>
          </w:p>
        </w:tc>
        <w:tc>
          <w:tcPr>
            <w:tcW w:w="900" w:type="dxa"/>
            <w:tcBorders>
              <w:top w:val="nil"/>
              <w:left w:val="single" w:sz="8" w:space="0" w:color="auto"/>
              <w:bottom w:val="single" w:sz="8" w:space="0" w:color="auto"/>
              <w:right w:val="single" w:sz="8" w:space="0" w:color="auto"/>
            </w:tcBorders>
            <w:vAlign w:val="center"/>
          </w:tcPr>
          <w:p w14:paraId="49E4E63F"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 xml:space="preserve">$3,179 </w:t>
            </w:r>
          </w:p>
        </w:tc>
        <w:tc>
          <w:tcPr>
            <w:tcW w:w="810" w:type="dxa"/>
            <w:tcBorders>
              <w:top w:val="nil"/>
              <w:left w:val="single" w:sz="8" w:space="0" w:color="auto"/>
              <w:bottom w:val="single" w:sz="8" w:space="0" w:color="auto"/>
              <w:right w:val="single" w:sz="8" w:space="0" w:color="auto"/>
            </w:tcBorders>
            <w:vAlign w:val="center"/>
          </w:tcPr>
          <w:p w14:paraId="6D61E3BD" w14:textId="77777777" w:rsidR="00651AEB" w:rsidRPr="00651AEB" w:rsidRDefault="00651AEB" w:rsidP="00651AEB">
            <w:pPr>
              <w:jc w:val="right"/>
              <w:rPr>
                <w:rFonts w:ascii="Calibri" w:eastAsia="Times" w:hAnsi="Calibri"/>
                <w:color w:val="000000"/>
              </w:rPr>
            </w:pPr>
            <w:r w:rsidRPr="00651AEB">
              <w:rPr>
                <w:rFonts w:ascii="Calibri" w:eastAsia="Times" w:hAnsi="Calibri"/>
                <w:color w:val="000000"/>
              </w:rPr>
              <w:t>-42%</w:t>
            </w:r>
          </w:p>
        </w:tc>
        <w:tc>
          <w:tcPr>
            <w:tcW w:w="900" w:type="dxa"/>
            <w:tcBorders>
              <w:top w:val="nil"/>
              <w:left w:val="single" w:sz="8" w:space="0" w:color="auto"/>
              <w:bottom w:val="single" w:sz="8" w:space="0" w:color="auto"/>
              <w:right w:val="single" w:sz="8" w:space="0" w:color="auto"/>
            </w:tcBorders>
            <w:shd w:val="clear" w:color="auto" w:fill="auto"/>
            <w:noWrap/>
            <w:vAlign w:val="center"/>
            <w:hideMark/>
          </w:tcPr>
          <w:p w14:paraId="5F6AB63B" w14:textId="77777777" w:rsidR="00651AEB" w:rsidRPr="00651AEB" w:rsidRDefault="00651AEB" w:rsidP="00651AEB">
            <w:pPr>
              <w:jc w:val="right"/>
              <w:rPr>
                <w:rFonts w:ascii="Calibri" w:hAnsi="Calibri"/>
                <w:color w:val="000000"/>
              </w:rPr>
            </w:pPr>
            <w:r w:rsidRPr="00651AEB">
              <w:rPr>
                <w:rFonts w:ascii="Calibri" w:eastAsia="Times" w:hAnsi="Calibri"/>
                <w:color w:val="000000"/>
              </w:rPr>
              <w:t xml:space="preserve">$2,941 </w:t>
            </w:r>
          </w:p>
        </w:tc>
        <w:tc>
          <w:tcPr>
            <w:tcW w:w="900" w:type="dxa"/>
            <w:tcBorders>
              <w:top w:val="nil"/>
              <w:left w:val="nil"/>
              <w:bottom w:val="single" w:sz="8" w:space="0" w:color="auto"/>
              <w:right w:val="single" w:sz="8" w:space="0" w:color="auto"/>
            </w:tcBorders>
            <w:shd w:val="clear" w:color="auto" w:fill="auto"/>
            <w:noWrap/>
            <w:vAlign w:val="center"/>
            <w:hideMark/>
          </w:tcPr>
          <w:p w14:paraId="1BDDD6EB" w14:textId="77777777" w:rsidR="00651AEB" w:rsidRPr="00651AEB" w:rsidRDefault="00651AEB" w:rsidP="00651AEB">
            <w:pPr>
              <w:jc w:val="right"/>
              <w:rPr>
                <w:rFonts w:ascii="Calibri" w:hAnsi="Calibri"/>
                <w:color w:val="000000"/>
              </w:rPr>
            </w:pPr>
            <w:r w:rsidRPr="00651AEB">
              <w:rPr>
                <w:rFonts w:ascii="Calibri" w:eastAsia="Times" w:hAnsi="Calibri"/>
                <w:color w:val="000000"/>
              </w:rPr>
              <w:t xml:space="preserve">$1,297 </w:t>
            </w:r>
          </w:p>
        </w:tc>
        <w:tc>
          <w:tcPr>
            <w:tcW w:w="810" w:type="dxa"/>
            <w:tcBorders>
              <w:top w:val="nil"/>
              <w:left w:val="nil"/>
              <w:bottom w:val="single" w:sz="8" w:space="0" w:color="auto"/>
              <w:right w:val="single" w:sz="8" w:space="0" w:color="auto"/>
            </w:tcBorders>
            <w:shd w:val="clear" w:color="auto" w:fill="auto"/>
            <w:noWrap/>
            <w:vAlign w:val="center"/>
            <w:hideMark/>
          </w:tcPr>
          <w:p w14:paraId="288AB4E9" w14:textId="77777777" w:rsidR="00651AEB" w:rsidRPr="00651AEB" w:rsidRDefault="00651AEB" w:rsidP="00651AEB">
            <w:pPr>
              <w:jc w:val="right"/>
              <w:rPr>
                <w:rFonts w:ascii="Calibri" w:hAnsi="Calibri"/>
                <w:color w:val="000000"/>
              </w:rPr>
            </w:pPr>
            <w:r w:rsidRPr="00651AEB">
              <w:rPr>
                <w:rFonts w:ascii="Calibri" w:eastAsia="Times" w:hAnsi="Calibri"/>
                <w:color w:val="000000"/>
              </w:rPr>
              <w:t>-56%</w:t>
            </w:r>
          </w:p>
        </w:tc>
      </w:tr>
      <w:tr w:rsidR="00651AEB" w:rsidRPr="00651AEB" w14:paraId="390ADAAD" w14:textId="77777777" w:rsidTr="00E235EE">
        <w:trPr>
          <w:trHeight w:val="315"/>
        </w:trPr>
        <w:tc>
          <w:tcPr>
            <w:tcW w:w="854" w:type="dxa"/>
            <w:vMerge/>
            <w:tcBorders>
              <w:top w:val="nil"/>
              <w:left w:val="single" w:sz="8" w:space="0" w:color="auto"/>
              <w:bottom w:val="single" w:sz="8" w:space="0" w:color="000000"/>
              <w:right w:val="single" w:sz="8" w:space="0" w:color="auto"/>
            </w:tcBorders>
            <w:vAlign w:val="center"/>
            <w:hideMark/>
          </w:tcPr>
          <w:p w14:paraId="1A8AECA7" w14:textId="77777777" w:rsidR="00651AEB" w:rsidRPr="00651AEB" w:rsidRDefault="00651AEB" w:rsidP="00651AEB">
            <w:pPr>
              <w:rPr>
                <w:rFonts w:ascii="Calibri" w:hAnsi="Calibri"/>
                <w:b/>
                <w:bCs/>
                <w:color w:val="000000"/>
              </w:rPr>
            </w:pPr>
          </w:p>
        </w:tc>
        <w:tc>
          <w:tcPr>
            <w:tcW w:w="1216" w:type="dxa"/>
            <w:tcBorders>
              <w:top w:val="nil"/>
              <w:left w:val="nil"/>
              <w:bottom w:val="single" w:sz="8" w:space="0" w:color="auto"/>
              <w:right w:val="nil"/>
            </w:tcBorders>
            <w:shd w:val="clear" w:color="auto" w:fill="auto"/>
            <w:noWrap/>
            <w:vAlign w:val="center"/>
            <w:hideMark/>
          </w:tcPr>
          <w:p w14:paraId="5EA580A2" w14:textId="77777777" w:rsidR="00651AEB" w:rsidRPr="00651AEB" w:rsidRDefault="00651AEB" w:rsidP="00651AEB">
            <w:pPr>
              <w:rPr>
                <w:rFonts w:ascii="Calibri" w:hAnsi="Calibri"/>
                <w:b/>
                <w:color w:val="000000"/>
              </w:rPr>
            </w:pPr>
            <w:r w:rsidRPr="00651AEB">
              <w:rPr>
                <w:rFonts w:ascii="Calibri" w:eastAsia="Times" w:hAnsi="Calibri"/>
                <w:b/>
                <w:bCs/>
                <w:color w:val="000000"/>
              </w:rPr>
              <w:t>Total</w:t>
            </w:r>
          </w:p>
        </w:tc>
        <w:tc>
          <w:tcPr>
            <w:tcW w:w="900" w:type="dxa"/>
            <w:tcBorders>
              <w:top w:val="nil"/>
              <w:left w:val="single" w:sz="8" w:space="0" w:color="auto"/>
              <w:bottom w:val="single" w:sz="8" w:space="0" w:color="auto"/>
              <w:right w:val="single" w:sz="8" w:space="0" w:color="auto"/>
            </w:tcBorders>
            <w:vAlign w:val="center"/>
          </w:tcPr>
          <w:p w14:paraId="0E44A903" w14:textId="77777777" w:rsidR="00651AEB" w:rsidRPr="00651AEB" w:rsidRDefault="00651AEB" w:rsidP="00651AEB">
            <w:pPr>
              <w:jc w:val="right"/>
              <w:rPr>
                <w:rFonts w:ascii="Calibri" w:eastAsia="Times" w:hAnsi="Calibri"/>
                <w:b/>
                <w:bCs/>
                <w:color w:val="000000"/>
              </w:rPr>
            </w:pPr>
            <w:r w:rsidRPr="00651AEB">
              <w:rPr>
                <w:rFonts w:ascii="Calibri" w:eastAsia="Times" w:hAnsi="Calibri"/>
                <w:b/>
                <w:bCs/>
                <w:color w:val="000000"/>
              </w:rPr>
              <w:t xml:space="preserve">$18,641 </w:t>
            </w:r>
          </w:p>
        </w:tc>
        <w:tc>
          <w:tcPr>
            <w:tcW w:w="900" w:type="dxa"/>
            <w:tcBorders>
              <w:top w:val="nil"/>
              <w:left w:val="single" w:sz="8" w:space="0" w:color="auto"/>
              <w:bottom w:val="single" w:sz="8" w:space="0" w:color="auto"/>
              <w:right w:val="single" w:sz="8" w:space="0" w:color="auto"/>
            </w:tcBorders>
            <w:vAlign w:val="center"/>
          </w:tcPr>
          <w:p w14:paraId="7B14899D" w14:textId="77777777" w:rsidR="00651AEB" w:rsidRPr="00651AEB" w:rsidRDefault="00651AEB" w:rsidP="00651AEB">
            <w:pPr>
              <w:jc w:val="right"/>
              <w:rPr>
                <w:rFonts w:ascii="Calibri" w:eastAsia="Times" w:hAnsi="Calibri"/>
                <w:b/>
                <w:bCs/>
                <w:color w:val="000000"/>
              </w:rPr>
            </w:pPr>
            <w:r w:rsidRPr="00651AEB">
              <w:rPr>
                <w:rFonts w:ascii="Calibri" w:eastAsia="Times" w:hAnsi="Calibri"/>
                <w:b/>
                <w:bCs/>
                <w:color w:val="000000"/>
              </w:rPr>
              <w:t xml:space="preserve">$14,803 </w:t>
            </w:r>
          </w:p>
        </w:tc>
        <w:tc>
          <w:tcPr>
            <w:tcW w:w="810" w:type="dxa"/>
            <w:tcBorders>
              <w:top w:val="nil"/>
              <w:left w:val="single" w:sz="8" w:space="0" w:color="auto"/>
              <w:bottom w:val="single" w:sz="8" w:space="0" w:color="auto"/>
              <w:right w:val="single" w:sz="8" w:space="0" w:color="auto"/>
            </w:tcBorders>
            <w:vAlign w:val="center"/>
          </w:tcPr>
          <w:p w14:paraId="5DF04EB5" w14:textId="77777777" w:rsidR="00651AEB" w:rsidRPr="00651AEB" w:rsidRDefault="00651AEB" w:rsidP="00651AEB">
            <w:pPr>
              <w:jc w:val="right"/>
              <w:rPr>
                <w:rFonts w:ascii="Calibri" w:eastAsia="Times" w:hAnsi="Calibri"/>
                <w:b/>
                <w:bCs/>
                <w:color w:val="000000"/>
              </w:rPr>
            </w:pPr>
            <w:r w:rsidRPr="00651AEB">
              <w:rPr>
                <w:rFonts w:ascii="Calibri" w:eastAsia="Times" w:hAnsi="Calibri"/>
                <w:b/>
                <w:bCs/>
                <w:color w:val="000000"/>
              </w:rPr>
              <w:t>-21%</w:t>
            </w:r>
          </w:p>
        </w:tc>
        <w:tc>
          <w:tcPr>
            <w:tcW w:w="900" w:type="dxa"/>
            <w:tcBorders>
              <w:top w:val="nil"/>
              <w:left w:val="single" w:sz="8" w:space="0" w:color="auto"/>
              <w:bottom w:val="single" w:sz="8" w:space="0" w:color="auto"/>
              <w:right w:val="single" w:sz="8" w:space="0" w:color="auto"/>
            </w:tcBorders>
            <w:shd w:val="clear" w:color="auto" w:fill="auto"/>
            <w:noWrap/>
            <w:vAlign w:val="center"/>
            <w:hideMark/>
          </w:tcPr>
          <w:p w14:paraId="67086D90" w14:textId="77777777" w:rsidR="00651AEB" w:rsidRPr="00651AEB" w:rsidRDefault="00651AEB" w:rsidP="00651AEB">
            <w:pPr>
              <w:jc w:val="right"/>
              <w:rPr>
                <w:rFonts w:ascii="Calibri" w:hAnsi="Calibri"/>
                <w:b/>
                <w:color w:val="000000"/>
              </w:rPr>
            </w:pPr>
            <w:r w:rsidRPr="00651AEB">
              <w:rPr>
                <w:rFonts w:ascii="Calibri" w:eastAsia="Times" w:hAnsi="Calibri"/>
                <w:b/>
                <w:bCs/>
                <w:color w:val="000000"/>
              </w:rPr>
              <w:t xml:space="preserve">$7,318 </w:t>
            </w:r>
          </w:p>
        </w:tc>
        <w:tc>
          <w:tcPr>
            <w:tcW w:w="900" w:type="dxa"/>
            <w:tcBorders>
              <w:top w:val="nil"/>
              <w:left w:val="nil"/>
              <w:bottom w:val="single" w:sz="8" w:space="0" w:color="auto"/>
              <w:right w:val="single" w:sz="8" w:space="0" w:color="auto"/>
            </w:tcBorders>
            <w:shd w:val="clear" w:color="auto" w:fill="auto"/>
            <w:noWrap/>
            <w:vAlign w:val="center"/>
            <w:hideMark/>
          </w:tcPr>
          <w:p w14:paraId="49601829" w14:textId="77777777" w:rsidR="00651AEB" w:rsidRPr="00651AEB" w:rsidRDefault="00651AEB" w:rsidP="00651AEB">
            <w:pPr>
              <w:jc w:val="right"/>
              <w:rPr>
                <w:rFonts w:ascii="Calibri" w:hAnsi="Calibri"/>
                <w:b/>
                <w:color w:val="000000"/>
              </w:rPr>
            </w:pPr>
            <w:r w:rsidRPr="00651AEB">
              <w:rPr>
                <w:rFonts w:ascii="Calibri" w:eastAsia="Times" w:hAnsi="Calibri"/>
                <w:b/>
                <w:bCs/>
                <w:color w:val="000000"/>
              </w:rPr>
              <w:t xml:space="preserve">$3,934 </w:t>
            </w:r>
          </w:p>
        </w:tc>
        <w:tc>
          <w:tcPr>
            <w:tcW w:w="810" w:type="dxa"/>
            <w:tcBorders>
              <w:top w:val="nil"/>
              <w:left w:val="nil"/>
              <w:bottom w:val="single" w:sz="8" w:space="0" w:color="auto"/>
              <w:right w:val="single" w:sz="8" w:space="0" w:color="auto"/>
            </w:tcBorders>
            <w:shd w:val="clear" w:color="auto" w:fill="auto"/>
            <w:noWrap/>
            <w:vAlign w:val="center"/>
            <w:hideMark/>
          </w:tcPr>
          <w:p w14:paraId="068BB77D" w14:textId="77777777" w:rsidR="00651AEB" w:rsidRPr="00651AEB" w:rsidRDefault="00651AEB" w:rsidP="00651AEB">
            <w:pPr>
              <w:jc w:val="right"/>
              <w:rPr>
                <w:rFonts w:ascii="Calibri" w:hAnsi="Calibri"/>
                <w:b/>
                <w:color w:val="000000"/>
              </w:rPr>
            </w:pPr>
            <w:r w:rsidRPr="00651AEB">
              <w:rPr>
                <w:rFonts w:ascii="Calibri" w:eastAsia="Times" w:hAnsi="Calibri"/>
                <w:b/>
                <w:bCs/>
                <w:color w:val="000000"/>
              </w:rPr>
              <w:t>-46%</w:t>
            </w:r>
          </w:p>
        </w:tc>
      </w:tr>
    </w:tbl>
    <w:p w14:paraId="7073F563" w14:textId="77777777" w:rsidR="00651AEB" w:rsidRPr="00651AEB" w:rsidRDefault="00651AEB" w:rsidP="00651AEB">
      <w:pPr>
        <w:pStyle w:val="BodyTextIndent"/>
        <w:spacing w:after="0"/>
        <w:rPr>
          <w:sz w:val="22"/>
        </w:rPr>
      </w:pPr>
    </w:p>
    <w:p w14:paraId="2B99CF4D" w14:textId="77777777" w:rsidR="00651AEB" w:rsidRPr="00651AEB" w:rsidRDefault="00651AEB" w:rsidP="00651AEB">
      <w:pPr>
        <w:pStyle w:val="BodyTextIndent"/>
        <w:spacing w:after="0"/>
        <w:rPr>
          <w:sz w:val="22"/>
        </w:rPr>
      </w:pPr>
      <w:r w:rsidRPr="00651AEB">
        <w:rPr>
          <w:sz w:val="22"/>
        </w:rPr>
        <w:t>* Includes updated SLR, updated storm surge, probabilities, decision rules, and model initiation</w:t>
      </w:r>
    </w:p>
    <w:p w14:paraId="46B28C06" w14:textId="77777777" w:rsidR="00651AEB" w:rsidRPr="00651AEB" w:rsidRDefault="00651AEB" w:rsidP="00651AEB">
      <w:pPr>
        <w:pStyle w:val="BodyTextIndent"/>
        <w:spacing w:after="0"/>
        <w:rPr>
          <w:sz w:val="22"/>
        </w:rPr>
      </w:pPr>
      <w:r w:rsidRPr="00651AEB">
        <w:rPr>
          <w:sz w:val="22"/>
        </w:rPr>
        <w:t xml:space="preserve"> </w:t>
      </w:r>
    </w:p>
    <w:p w14:paraId="3ABB1C8D" w14:textId="77777777" w:rsidR="00E2342A" w:rsidRDefault="00E2342A">
      <w:pPr>
        <w:rPr>
          <w:b/>
          <w:sz w:val="22"/>
        </w:rPr>
      </w:pPr>
      <w:r>
        <w:rPr>
          <w:b/>
          <w:sz w:val="22"/>
        </w:rPr>
        <w:br w:type="page"/>
      </w:r>
    </w:p>
    <w:p w14:paraId="4AB28DDB" w14:textId="22BAAAF7" w:rsidR="00651AEB" w:rsidRPr="00651AEB" w:rsidRDefault="00651AEB" w:rsidP="00CD30E7">
      <w:pPr>
        <w:pStyle w:val="BodyTextIndent"/>
        <w:spacing w:after="0"/>
        <w:ind w:firstLine="0"/>
        <w:jc w:val="left"/>
        <w:rPr>
          <w:b/>
          <w:sz w:val="22"/>
        </w:rPr>
      </w:pPr>
      <w:r>
        <w:rPr>
          <w:b/>
          <w:sz w:val="22"/>
        </w:rPr>
        <w:lastRenderedPageBreak/>
        <w:t>F</w:t>
      </w:r>
      <w:r w:rsidRPr="00651AEB">
        <w:rPr>
          <w:b/>
          <w:sz w:val="22"/>
        </w:rPr>
        <w:t xml:space="preserve">igure </w:t>
      </w:r>
      <w:r w:rsidR="00881F43">
        <w:rPr>
          <w:b/>
          <w:sz w:val="22"/>
        </w:rPr>
        <w:t>S-</w:t>
      </w:r>
      <w:r w:rsidR="00E2342A">
        <w:rPr>
          <w:b/>
          <w:sz w:val="22"/>
        </w:rPr>
        <w:t>6</w:t>
      </w:r>
      <w:r w:rsidRPr="00651AEB">
        <w:rPr>
          <w:b/>
          <w:sz w:val="22"/>
        </w:rPr>
        <w:tab/>
        <w:t>Comparison of cell-by-cell decisions for the Tampa study site over the evaluation period, 2000-2100, for 150 cm SLR scenario. Note that model initiation is included in both maps.</w:t>
      </w:r>
    </w:p>
    <w:p w14:paraId="3EF8F5EE" w14:textId="77777777" w:rsidR="00651AEB" w:rsidRDefault="00651AEB" w:rsidP="00651AEB">
      <w:pPr>
        <w:pStyle w:val="BodyTextIndent"/>
        <w:spacing w:after="0"/>
        <w:rPr>
          <w:sz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734"/>
      </w:tblGrid>
      <w:tr w:rsidR="00651AEB" w:rsidRPr="00651AEB" w14:paraId="0F4CB11E" w14:textId="77777777" w:rsidTr="0027021E">
        <w:trPr>
          <w:cantSplit/>
        </w:trPr>
        <w:tc>
          <w:tcPr>
            <w:tcW w:w="4536" w:type="dxa"/>
          </w:tcPr>
          <w:p w14:paraId="6FFF9076" w14:textId="77777777" w:rsidR="00651AEB" w:rsidRPr="00651AEB" w:rsidRDefault="00651AEB" w:rsidP="00651AEB">
            <w:pPr>
              <w:spacing w:before="120" w:after="120"/>
              <w:jc w:val="center"/>
              <w:rPr>
                <w:rFonts w:asciiTheme="minorHAnsi" w:hAnsiTheme="minorHAnsi"/>
                <w:sz w:val="22"/>
              </w:rPr>
            </w:pPr>
            <w:r w:rsidRPr="00651AEB">
              <w:rPr>
                <w:rFonts w:asciiTheme="minorHAnsi" w:hAnsiTheme="minorHAnsi"/>
                <w:b/>
                <w:sz w:val="22"/>
              </w:rPr>
              <w:t>Version 2</w:t>
            </w:r>
            <w:r w:rsidRPr="00651AEB">
              <w:rPr>
                <w:rFonts w:asciiTheme="minorHAnsi" w:hAnsiTheme="minorHAnsi"/>
                <w:noProof/>
                <w:sz w:val="22"/>
              </w:rPr>
              <w:drawing>
                <wp:inline distT="0" distB="0" distL="0" distR="0" wp14:anchorId="6469E253" wp14:editId="4D1C809D">
                  <wp:extent cx="2743200" cy="3385751"/>
                  <wp:effectExtent l="0" t="0" r="0" b="5715"/>
                  <wp:docPr id="1"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13">
                            <a:extLst>
                              <a:ext uri="{28A0092B-C50C-407E-A947-70E740481C1C}">
                                <a14:useLocalDpi xmlns:a14="http://schemas.microsoft.com/office/drawing/2010/main" val="0"/>
                              </a:ext>
                            </a:extLst>
                          </a:blip>
                          <a:srcRect l="22843" r="14549"/>
                          <a:stretch/>
                        </pic:blipFill>
                        <pic:spPr bwMode="auto">
                          <a:xfrm>
                            <a:off x="0" y="0"/>
                            <a:ext cx="2743200" cy="3385751"/>
                          </a:xfrm>
                          <a:prstGeom prst="rect">
                            <a:avLst/>
                          </a:prstGeom>
                          <a:ln>
                            <a:noFill/>
                          </a:ln>
                          <a:extLst>
                            <a:ext uri="{53640926-AAD7-44D8-BBD7-CCE9431645EC}">
                              <a14:shadowObscured xmlns:a14="http://schemas.microsoft.com/office/drawing/2010/main"/>
                            </a:ext>
                          </a:extLst>
                        </pic:spPr>
                      </pic:pic>
                    </a:graphicData>
                  </a:graphic>
                </wp:inline>
              </w:drawing>
            </w:r>
          </w:p>
        </w:tc>
        <w:tc>
          <w:tcPr>
            <w:tcW w:w="4734" w:type="dxa"/>
          </w:tcPr>
          <w:p w14:paraId="3A55F960" w14:textId="77777777" w:rsidR="00651AEB" w:rsidRPr="00651AEB" w:rsidRDefault="00651AEB" w:rsidP="00651AEB">
            <w:pPr>
              <w:spacing w:before="120" w:after="120"/>
              <w:jc w:val="center"/>
              <w:rPr>
                <w:rFonts w:asciiTheme="minorHAnsi" w:hAnsiTheme="minorHAnsi"/>
                <w:sz w:val="22"/>
              </w:rPr>
            </w:pPr>
            <w:r w:rsidRPr="00651AEB">
              <w:rPr>
                <w:rFonts w:asciiTheme="minorHAnsi" w:hAnsiTheme="minorHAnsi"/>
                <w:b/>
                <w:sz w:val="22"/>
              </w:rPr>
              <w:t>Updated Version*</w:t>
            </w:r>
            <w:r w:rsidRPr="00651AEB">
              <w:rPr>
                <w:rFonts w:asciiTheme="minorHAnsi" w:hAnsiTheme="minorHAnsi"/>
                <w:noProof/>
                <w:sz w:val="22"/>
              </w:rPr>
              <w:drawing>
                <wp:inline distT="0" distB="0" distL="0" distR="0" wp14:anchorId="597EE78B" wp14:editId="74859789">
                  <wp:extent cx="2790825" cy="3381739"/>
                  <wp:effectExtent l="0" t="0" r="0" b="9525"/>
                  <wp:docPr id="2"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14" cstate="print">
                            <a:extLst>
                              <a:ext uri="{28A0092B-C50C-407E-A947-70E740481C1C}">
                                <a14:useLocalDpi xmlns:a14="http://schemas.microsoft.com/office/drawing/2010/main" val="0"/>
                              </a:ext>
                            </a:extLst>
                          </a:blip>
                          <a:srcRect l="22125" r="14105"/>
                          <a:stretch/>
                        </pic:blipFill>
                        <pic:spPr bwMode="auto">
                          <a:xfrm>
                            <a:off x="0" y="0"/>
                            <a:ext cx="2790825" cy="3381739"/>
                          </a:xfrm>
                          <a:prstGeom prst="rect">
                            <a:avLst/>
                          </a:prstGeom>
                          <a:ln>
                            <a:noFill/>
                          </a:ln>
                          <a:extLst>
                            <a:ext uri="{53640926-AAD7-44D8-BBD7-CCE9431645EC}">
                              <a14:shadowObscured xmlns:a14="http://schemas.microsoft.com/office/drawing/2010/main"/>
                            </a:ext>
                          </a:extLst>
                        </pic:spPr>
                      </pic:pic>
                    </a:graphicData>
                  </a:graphic>
                </wp:inline>
              </w:drawing>
            </w:r>
          </w:p>
        </w:tc>
      </w:tr>
      <w:tr w:rsidR="00651AEB" w:rsidRPr="00651AEB" w14:paraId="7ECB4B25" w14:textId="77777777" w:rsidTr="0027021E">
        <w:trPr>
          <w:cantSplit/>
          <w:trHeight w:val="665"/>
        </w:trPr>
        <w:tc>
          <w:tcPr>
            <w:tcW w:w="9270" w:type="dxa"/>
            <w:gridSpan w:val="2"/>
          </w:tcPr>
          <w:p w14:paraId="0C338C31" w14:textId="77777777" w:rsidR="00651AEB" w:rsidRPr="00651AEB" w:rsidRDefault="00651AEB" w:rsidP="00651AEB">
            <w:pPr>
              <w:spacing w:before="120" w:after="120"/>
              <w:jc w:val="center"/>
              <w:rPr>
                <w:rFonts w:asciiTheme="minorHAnsi" w:hAnsiTheme="minorHAnsi"/>
                <w:b/>
                <w:sz w:val="22"/>
                <w:u w:val="single"/>
              </w:rPr>
            </w:pPr>
            <w:r w:rsidRPr="00651AEB">
              <w:rPr>
                <w:rFonts w:asciiTheme="minorHAnsi" w:hAnsiTheme="minorHAnsi"/>
                <w:noProof/>
                <w:sz w:val="22"/>
              </w:rPr>
              <w:drawing>
                <wp:inline distT="0" distB="0" distL="0" distR="0" wp14:anchorId="44134D05" wp14:editId="337E822C">
                  <wp:extent cx="3390900" cy="38513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17349" t="15287" r="33620" b="73868"/>
                          <a:stretch/>
                        </pic:blipFill>
                        <pic:spPr bwMode="auto">
                          <a:xfrm>
                            <a:off x="0" y="0"/>
                            <a:ext cx="3404045" cy="386632"/>
                          </a:xfrm>
                          <a:prstGeom prst="rect">
                            <a:avLst/>
                          </a:prstGeom>
                          <a:noFill/>
                          <a:ln>
                            <a:noFill/>
                          </a:ln>
                          <a:extLst>
                            <a:ext uri="{53640926-AAD7-44D8-BBD7-CCE9431645EC}">
                              <a14:shadowObscured xmlns:a14="http://schemas.microsoft.com/office/drawing/2010/main"/>
                            </a:ext>
                          </a:extLst>
                        </pic:spPr>
                      </pic:pic>
                    </a:graphicData>
                  </a:graphic>
                </wp:inline>
              </w:drawing>
            </w:r>
          </w:p>
          <w:p w14:paraId="3095E16F" w14:textId="77777777" w:rsidR="00651AEB" w:rsidRPr="00651AEB" w:rsidRDefault="00651AEB" w:rsidP="00651AEB">
            <w:pPr>
              <w:spacing w:before="120" w:after="120" w:line="280" w:lineRule="exact"/>
              <w:rPr>
                <w:rFonts w:asciiTheme="minorHAnsi" w:hAnsiTheme="minorHAnsi"/>
              </w:rPr>
            </w:pPr>
            <w:r w:rsidRPr="00651AEB">
              <w:rPr>
                <w:rFonts w:asciiTheme="minorHAnsi" w:hAnsiTheme="minorHAnsi"/>
              </w:rPr>
              <w:t>* Includes updated SLR, updated storm surge, probabilities, new decision rules</w:t>
            </w:r>
          </w:p>
          <w:p w14:paraId="00F62A8E" w14:textId="77777777" w:rsidR="00651AEB" w:rsidRPr="00651AEB" w:rsidRDefault="00651AEB" w:rsidP="00651AEB">
            <w:pPr>
              <w:spacing w:before="120" w:after="120"/>
              <w:jc w:val="center"/>
              <w:rPr>
                <w:rFonts w:asciiTheme="minorHAnsi" w:hAnsiTheme="minorHAnsi"/>
                <w:b/>
                <w:sz w:val="22"/>
                <w:u w:val="single"/>
              </w:rPr>
            </w:pPr>
          </w:p>
        </w:tc>
      </w:tr>
    </w:tbl>
    <w:p w14:paraId="580EC82C" w14:textId="77777777" w:rsidR="00651AEB" w:rsidRPr="00651AEB" w:rsidRDefault="00651AEB" w:rsidP="00651AEB">
      <w:pPr>
        <w:spacing w:before="120" w:after="120" w:line="280" w:lineRule="atLeast"/>
        <w:rPr>
          <w:rFonts w:asciiTheme="minorHAnsi" w:eastAsia="Times" w:hAnsiTheme="minorHAnsi"/>
          <w:sz w:val="22"/>
          <w:szCs w:val="22"/>
        </w:rPr>
      </w:pPr>
    </w:p>
    <w:p w14:paraId="4A221D6B" w14:textId="77777777" w:rsidR="00651AEB" w:rsidRPr="00EA0C80" w:rsidRDefault="00651AEB" w:rsidP="00651AEB">
      <w:pPr>
        <w:pStyle w:val="BodyTextIndent"/>
        <w:spacing w:after="0"/>
        <w:rPr>
          <w:b/>
          <w:sz w:val="22"/>
        </w:rPr>
      </w:pPr>
    </w:p>
    <w:p w14:paraId="19CF7F1F" w14:textId="77777777" w:rsidR="00651AEB" w:rsidRPr="00EA0C80" w:rsidRDefault="00EA0C80" w:rsidP="001913E9">
      <w:pPr>
        <w:pStyle w:val="BodyTextIndent"/>
        <w:spacing w:after="0"/>
        <w:ind w:firstLine="0"/>
        <w:rPr>
          <w:b/>
          <w:sz w:val="22"/>
        </w:rPr>
      </w:pPr>
      <w:r w:rsidRPr="00EA0C80">
        <w:rPr>
          <w:b/>
          <w:sz w:val="22"/>
        </w:rPr>
        <w:t>Property Value Database Update</w:t>
      </w:r>
    </w:p>
    <w:p w14:paraId="484C754B" w14:textId="77777777" w:rsidR="00EA0C80" w:rsidRDefault="00EA0C80" w:rsidP="001913E9">
      <w:pPr>
        <w:pStyle w:val="BodyTextIndent"/>
        <w:spacing w:after="0"/>
        <w:ind w:firstLine="0"/>
        <w:rPr>
          <w:sz w:val="22"/>
        </w:rPr>
      </w:pPr>
    </w:p>
    <w:p w14:paraId="383C9E74" w14:textId="79C23F1D" w:rsidR="00A020A0" w:rsidRPr="00A020A0" w:rsidRDefault="00A020A0" w:rsidP="00A020A0">
      <w:pPr>
        <w:spacing w:before="120" w:after="120" w:line="280" w:lineRule="exact"/>
        <w:rPr>
          <w:sz w:val="22"/>
        </w:rPr>
      </w:pPr>
      <w:r w:rsidRPr="00A020A0">
        <w:rPr>
          <w:sz w:val="22"/>
        </w:rPr>
        <w:t xml:space="preserve">Spatially explicit property value data, when compared to the cost of protection, ultimately determines whether at-risk cells will be protected or abandoned.  </w:t>
      </w:r>
      <w:r w:rsidR="00A03BCA">
        <w:rPr>
          <w:sz w:val="22"/>
        </w:rPr>
        <w:t>In 2009</w:t>
      </w:r>
      <w:r w:rsidRPr="00A020A0">
        <w:rPr>
          <w:sz w:val="22"/>
        </w:rPr>
        <w:t xml:space="preserve">, </w:t>
      </w:r>
      <w:r w:rsidR="00A03BCA">
        <w:rPr>
          <w:sz w:val="22"/>
        </w:rPr>
        <w:t>we</w:t>
      </w:r>
      <w:r w:rsidRPr="00A020A0">
        <w:rPr>
          <w:sz w:val="22"/>
        </w:rPr>
        <w:t xml:space="preserve"> obtained the broadest possible coverage of assessed values for individual parcels, including all residential, commercial, industrial, institutional, and government properties, by contracting with a commercial service (</w:t>
      </w:r>
      <w:proofErr w:type="spellStart"/>
      <w:r w:rsidRPr="00A020A0">
        <w:rPr>
          <w:sz w:val="22"/>
        </w:rPr>
        <w:t>DataQuick</w:t>
      </w:r>
      <w:proofErr w:type="spellEnd"/>
      <w:r w:rsidRPr="00A020A0">
        <w:rPr>
          <w:sz w:val="22"/>
        </w:rPr>
        <w:t xml:space="preserve"> Information Systems) that compiles assessed property data from assessors’ records across the country. This </w:t>
      </w:r>
      <w:r w:rsidR="00A03BCA">
        <w:rPr>
          <w:sz w:val="22"/>
        </w:rPr>
        <w:t xml:space="preserve">acquired </w:t>
      </w:r>
      <w:r w:rsidRPr="00A020A0">
        <w:rPr>
          <w:sz w:val="22"/>
        </w:rPr>
        <w:t>data was provided to us aggregated to the Census block group level. Property values reflect mostly 2009 and 2008 property assessments, with some 2007 assessments.  We convert</w:t>
      </w:r>
      <w:r w:rsidR="00A03BCA">
        <w:rPr>
          <w:sz w:val="22"/>
        </w:rPr>
        <w:t>ed</w:t>
      </w:r>
      <w:r w:rsidRPr="00A020A0">
        <w:rPr>
          <w:sz w:val="22"/>
        </w:rPr>
        <w:t xml:space="preserve"> all property values to 2006 dollars as a pre-processing step. Note that, except to the extent they are incorporated or capitalized in property values, the value of public infrastructure is excluded from property values.</w:t>
      </w:r>
    </w:p>
    <w:p w14:paraId="0897AAAD" w14:textId="5857334A" w:rsidR="00A020A0" w:rsidRPr="00A020A0" w:rsidRDefault="00A020A0" w:rsidP="00A020A0">
      <w:pPr>
        <w:spacing w:before="120" w:after="120" w:line="280" w:lineRule="exact"/>
        <w:rPr>
          <w:sz w:val="22"/>
        </w:rPr>
      </w:pPr>
      <w:r w:rsidRPr="00A020A0">
        <w:rPr>
          <w:sz w:val="22"/>
        </w:rPr>
        <w:lastRenderedPageBreak/>
        <w:t xml:space="preserve">In 2018, </w:t>
      </w:r>
      <w:r w:rsidR="00A03BCA">
        <w:rPr>
          <w:sz w:val="22"/>
        </w:rPr>
        <w:t>coastal property</w:t>
      </w:r>
      <w:r w:rsidR="00A03BCA" w:rsidRPr="00A020A0">
        <w:rPr>
          <w:sz w:val="22"/>
        </w:rPr>
        <w:t xml:space="preserve"> </w:t>
      </w:r>
      <w:r w:rsidRPr="00A020A0">
        <w:rPr>
          <w:sz w:val="22"/>
        </w:rPr>
        <w:t>values</w:t>
      </w:r>
      <w:r w:rsidR="00A03BCA">
        <w:rPr>
          <w:sz w:val="22"/>
        </w:rPr>
        <w:t xml:space="preserve"> in the NC</w:t>
      </w:r>
      <w:r w:rsidR="00CD30E7">
        <w:rPr>
          <w:sz w:val="22"/>
        </w:rPr>
        <w:t>P</w:t>
      </w:r>
      <w:r w:rsidR="00A03BCA">
        <w:rPr>
          <w:sz w:val="22"/>
        </w:rPr>
        <w:t>M</w:t>
      </w:r>
      <w:r w:rsidRPr="00A020A0">
        <w:rPr>
          <w:sz w:val="22"/>
        </w:rPr>
        <w:t xml:space="preserve"> were updated to 2017 values using the Zillow Home Value Index (ZHVI),</w:t>
      </w:r>
      <w:r w:rsidRPr="00CD30E7">
        <w:rPr>
          <w:sz w:val="22"/>
          <w:vertAlign w:val="superscript"/>
        </w:rPr>
        <w:footnoteReference w:id="1"/>
      </w:r>
      <w:r w:rsidRPr="00CD30E7">
        <w:rPr>
          <w:sz w:val="22"/>
          <w:vertAlign w:val="superscript"/>
        </w:rPr>
        <w:t xml:space="preserve"> </w:t>
      </w:r>
      <w:r w:rsidRPr="00A020A0">
        <w:rPr>
          <w:sz w:val="22"/>
        </w:rPr>
        <w:t>which is freely available for two resolutions: by (1) zip code nationally and (2) for select municipalities by “neighborhood” (smaller than zip code but larger than census block).</w:t>
      </w:r>
    </w:p>
    <w:p w14:paraId="3D7B5CDB" w14:textId="77777777" w:rsidR="00A020A0" w:rsidRPr="00A020A0" w:rsidRDefault="00A020A0" w:rsidP="00A020A0">
      <w:pPr>
        <w:spacing w:before="120" w:after="120" w:line="280" w:lineRule="exact"/>
        <w:rPr>
          <w:sz w:val="22"/>
        </w:rPr>
      </w:pPr>
      <w:r w:rsidRPr="00A020A0">
        <w:rPr>
          <w:sz w:val="22"/>
        </w:rPr>
        <w:t>ZHVI was used to scale the previous values (2006) to 2017 by</w:t>
      </w:r>
    </w:p>
    <w:p w14:paraId="40A60544" w14:textId="77777777" w:rsidR="00A020A0" w:rsidRPr="00A020A0" w:rsidRDefault="00DD3920" w:rsidP="00A020A0">
      <w:pPr>
        <w:spacing w:before="120" w:after="120" w:line="280" w:lineRule="exact"/>
        <w:rPr>
          <w:sz w:val="22"/>
        </w:rPr>
      </w:pPr>
      <m:oMathPara>
        <m:oMath>
          <m:sSub>
            <m:sSubPr>
              <m:ctrlPr>
                <w:rPr>
                  <w:rFonts w:ascii="Cambria Math" w:hAnsi="Cambria Math"/>
                  <w:sz w:val="22"/>
                </w:rPr>
              </m:ctrlPr>
            </m:sSubPr>
            <m:e>
              <m:r>
                <m:rPr>
                  <m:sty m:val="p"/>
                </m:rPr>
                <w:rPr>
                  <w:rFonts w:ascii="Cambria Math" w:hAnsi="Cambria Math"/>
                  <w:sz w:val="22"/>
                </w:rPr>
                <m:t>V</m:t>
              </m:r>
            </m:e>
            <m:sub>
              <m:r>
                <m:rPr>
                  <m:sty m:val="p"/>
                </m:rPr>
                <w:rPr>
                  <w:rFonts w:ascii="Cambria Math" w:hAnsi="Cambria Math"/>
                  <w:sz w:val="22"/>
                </w:rPr>
                <m:t>2017</m:t>
              </m:r>
            </m:sub>
          </m:sSub>
          <m:r>
            <m:rPr>
              <m:sty m:val="p"/>
            </m:rPr>
            <w:rPr>
              <w:rFonts w:ascii="Cambria Math" w:hAnsi="Cambria Math"/>
              <w:sz w:val="22"/>
            </w:rPr>
            <m:t>=</m:t>
          </m:r>
          <m:sSub>
            <m:sSubPr>
              <m:ctrlPr>
                <w:rPr>
                  <w:rFonts w:ascii="Cambria Math" w:hAnsi="Cambria Math"/>
                  <w:sz w:val="22"/>
                </w:rPr>
              </m:ctrlPr>
            </m:sSubPr>
            <m:e>
              <m:r>
                <m:rPr>
                  <m:sty m:val="p"/>
                </m:rPr>
                <w:rPr>
                  <w:rFonts w:ascii="Cambria Math" w:hAnsi="Cambria Math"/>
                  <w:sz w:val="22"/>
                </w:rPr>
                <m:t>V</m:t>
              </m:r>
            </m:e>
            <m:sub>
              <m:r>
                <m:rPr>
                  <m:sty m:val="p"/>
                </m:rPr>
                <w:rPr>
                  <w:rFonts w:ascii="Cambria Math" w:hAnsi="Cambria Math"/>
                  <w:sz w:val="22"/>
                </w:rPr>
                <m:t>2006</m:t>
              </m:r>
            </m:sub>
          </m:sSub>
          <m:r>
            <m:rPr>
              <m:sty m:val="p"/>
            </m:rPr>
            <w:rPr>
              <w:rFonts w:ascii="Cambria Math" w:hAnsi="Cambria Math"/>
              <w:sz w:val="22"/>
            </w:rPr>
            <m:t>*</m:t>
          </m:r>
          <m:d>
            <m:dPr>
              <m:ctrlPr>
                <w:rPr>
                  <w:rFonts w:ascii="Cambria Math" w:hAnsi="Cambria Math"/>
                  <w:sz w:val="22"/>
                </w:rPr>
              </m:ctrlPr>
            </m:dPr>
            <m:e>
              <m:f>
                <m:fPr>
                  <m:type m:val="skw"/>
                  <m:ctrlPr>
                    <w:rPr>
                      <w:rFonts w:ascii="Cambria Math" w:hAnsi="Cambria Math"/>
                      <w:sz w:val="22"/>
                    </w:rPr>
                  </m:ctrlPr>
                </m:fPr>
                <m:num>
                  <m:sSub>
                    <m:sSubPr>
                      <m:ctrlPr>
                        <w:rPr>
                          <w:rFonts w:ascii="Cambria Math" w:hAnsi="Cambria Math"/>
                          <w:sz w:val="22"/>
                        </w:rPr>
                      </m:ctrlPr>
                    </m:sSubPr>
                    <m:e>
                      <m:r>
                        <m:rPr>
                          <m:sty m:val="p"/>
                        </m:rPr>
                        <w:rPr>
                          <w:rFonts w:ascii="Cambria Math" w:hAnsi="Cambria Math"/>
                          <w:sz w:val="22"/>
                        </w:rPr>
                        <m:t>ZHVI</m:t>
                      </m:r>
                    </m:e>
                    <m:sub>
                      <m:r>
                        <m:rPr>
                          <m:sty m:val="p"/>
                        </m:rPr>
                        <w:rPr>
                          <w:rFonts w:ascii="Cambria Math" w:hAnsi="Cambria Math"/>
                          <w:sz w:val="22"/>
                        </w:rPr>
                        <m:t>2017</m:t>
                      </m:r>
                    </m:sub>
                  </m:sSub>
                </m:num>
                <m:den>
                  <m:sSub>
                    <m:sSubPr>
                      <m:ctrlPr>
                        <w:rPr>
                          <w:rFonts w:ascii="Cambria Math" w:hAnsi="Cambria Math"/>
                          <w:sz w:val="22"/>
                        </w:rPr>
                      </m:ctrlPr>
                    </m:sSubPr>
                    <m:e>
                      <m:r>
                        <m:rPr>
                          <m:sty m:val="p"/>
                        </m:rPr>
                        <w:rPr>
                          <w:rFonts w:ascii="Cambria Math" w:hAnsi="Cambria Math"/>
                          <w:sz w:val="22"/>
                        </w:rPr>
                        <m:t>ZHVI</m:t>
                      </m:r>
                    </m:e>
                    <m:sub>
                      <m:r>
                        <m:rPr>
                          <m:sty m:val="p"/>
                        </m:rPr>
                        <w:rPr>
                          <w:rFonts w:ascii="Cambria Math" w:hAnsi="Cambria Math"/>
                          <w:sz w:val="22"/>
                        </w:rPr>
                        <m:t>2006</m:t>
                      </m:r>
                    </m:sub>
                  </m:sSub>
                </m:den>
              </m:f>
            </m:e>
          </m:d>
        </m:oMath>
      </m:oMathPara>
    </w:p>
    <w:p w14:paraId="3C24D506" w14:textId="5BCCB4BB" w:rsidR="00A020A0" w:rsidRPr="00A020A0" w:rsidRDefault="00A020A0" w:rsidP="00A020A0">
      <w:pPr>
        <w:spacing w:before="120" w:after="120" w:line="280" w:lineRule="exact"/>
        <w:rPr>
          <w:sz w:val="22"/>
        </w:rPr>
      </w:pPr>
      <w:r w:rsidRPr="00A020A0">
        <w:rPr>
          <w:sz w:val="22"/>
        </w:rPr>
        <w:t>This method maintains the finer spatial resolution of the census block data</w:t>
      </w:r>
      <w:r w:rsidR="00A03BCA">
        <w:rPr>
          <w:sz w:val="22"/>
        </w:rPr>
        <w:t>,</w:t>
      </w:r>
      <w:r w:rsidRPr="00A020A0">
        <w:rPr>
          <w:sz w:val="22"/>
        </w:rPr>
        <w:t xml:space="preserve"> but updates the values closer to those in 2017. </w:t>
      </w:r>
    </w:p>
    <w:p w14:paraId="6C0D206B" w14:textId="77777777" w:rsidR="00A020A0" w:rsidRPr="00A020A0" w:rsidRDefault="00A020A0" w:rsidP="00A020A0">
      <w:pPr>
        <w:spacing w:before="120" w:after="120" w:line="280" w:lineRule="exact"/>
        <w:rPr>
          <w:sz w:val="22"/>
        </w:rPr>
      </w:pPr>
      <w:r w:rsidRPr="00A020A0">
        <w:rPr>
          <w:sz w:val="22"/>
        </w:rPr>
        <w:t xml:space="preserve">Calculating these ratios is simple; however, since the ZHVI is provided at varying resolutions and is, in rare cases, missing for certain zip codes, maintaining the finest resolution available and filling in the missing data is more complex. </w:t>
      </w:r>
    </w:p>
    <w:p w14:paraId="4EA18F86" w14:textId="77777777" w:rsidR="00A020A0" w:rsidRPr="00A020A0" w:rsidRDefault="00A020A0" w:rsidP="00A020A0">
      <w:pPr>
        <w:spacing w:before="120" w:after="120" w:line="280" w:lineRule="exact"/>
        <w:rPr>
          <w:sz w:val="22"/>
        </w:rPr>
      </w:pPr>
      <w:r w:rsidRPr="00A020A0">
        <w:rPr>
          <w:sz w:val="22"/>
        </w:rPr>
        <w:t>We do this by applying the following steps:</w:t>
      </w:r>
    </w:p>
    <w:p w14:paraId="270BDBD3" w14:textId="77777777" w:rsidR="00A020A0" w:rsidRPr="00A020A0" w:rsidRDefault="00A020A0" w:rsidP="00A020A0">
      <w:pPr>
        <w:pStyle w:val="ListParagraph"/>
        <w:numPr>
          <w:ilvl w:val="0"/>
          <w:numId w:val="8"/>
        </w:numPr>
        <w:spacing w:before="120" w:after="120" w:line="280" w:lineRule="exact"/>
        <w:rPr>
          <w:sz w:val="22"/>
        </w:rPr>
      </w:pPr>
      <w:r w:rsidRPr="00A020A0">
        <w:rPr>
          <w:b/>
          <w:sz w:val="22"/>
        </w:rPr>
        <w:t>Neighborhood level data</w:t>
      </w:r>
      <w:r w:rsidRPr="00A020A0">
        <w:rPr>
          <w:sz w:val="22"/>
        </w:rPr>
        <w:t>: If the Zillow neighborhood data is available, assign the calculated ratio for the neighborhood.</w:t>
      </w:r>
    </w:p>
    <w:p w14:paraId="0CFD06D2" w14:textId="77777777" w:rsidR="00A020A0" w:rsidRPr="00A020A0" w:rsidRDefault="00A020A0" w:rsidP="00A020A0">
      <w:pPr>
        <w:pStyle w:val="ListParagraph"/>
        <w:numPr>
          <w:ilvl w:val="1"/>
          <w:numId w:val="8"/>
        </w:numPr>
        <w:spacing w:before="120" w:after="120" w:line="280" w:lineRule="exact"/>
        <w:rPr>
          <w:sz w:val="22"/>
        </w:rPr>
      </w:pPr>
      <w:r w:rsidRPr="00A020A0">
        <w:rPr>
          <w:sz w:val="22"/>
        </w:rPr>
        <w:t xml:space="preserve">In some cases, we have neighborhood designation without the necessary data to calculate the ratios. In these cases, the average ratio was calculated based on the neighborhood’s city designation. </w:t>
      </w:r>
    </w:p>
    <w:p w14:paraId="61FB5F9C" w14:textId="77777777" w:rsidR="00A020A0" w:rsidRPr="00A020A0" w:rsidRDefault="00A020A0" w:rsidP="00A020A0">
      <w:pPr>
        <w:pStyle w:val="ListParagraph"/>
        <w:numPr>
          <w:ilvl w:val="1"/>
          <w:numId w:val="8"/>
        </w:numPr>
        <w:spacing w:before="120" w:after="120" w:line="280" w:lineRule="exact"/>
        <w:rPr>
          <w:sz w:val="22"/>
        </w:rPr>
      </w:pPr>
      <w:r w:rsidRPr="00A020A0">
        <w:rPr>
          <w:sz w:val="22"/>
        </w:rPr>
        <w:t>If data was not available at the city level, the neighborhood was not assigned a ratio and the Zip-resolution data was used.</w:t>
      </w:r>
    </w:p>
    <w:p w14:paraId="038FBBCB" w14:textId="77777777" w:rsidR="00A020A0" w:rsidRPr="00A020A0" w:rsidRDefault="00A020A0" w:rsidP="00A020A0">
      <w:pPr>
        <w:pStyle w:val="ListParagraph"/>
        <w:numPr>
          <w:ilvl w:val="0"/>
          <w:numId w:val="8"/>
        </w:numPr>
        <w:spacing w:before="120" w:after="120" w:line="280" w:lineRule="exact"/>
        <w:rPr>
          <w:sz w:val="22"/>
        </w:rPr>
      </w:pPr>
      <w:r w:rsidRPr="00A020A0">
        <w:rPr>
          <w:b/>
          <w:sz w:val="22"/>
        </w:rPr>
        <w:t>Zip level data</w:t>
      </w:r>
      <w:r w:rsidRPr="00A020A0">
        <w:rPr>
          <w:sz w:val="22"/>
        </w:rPr>
        <w:t>: For all grids that are not assigned a ratio at the neighborhood level, we apply the following rules</w:t>
      </w:r>
    </w:p>
    <w:p w14:paraId="3C23FF3D" w14:textId="77777777" w:rsidR="00A020A0" w:rsidRPr="00A020A0" w:rsidRDefault="00A020A0" w:rsidP="00A020A0">
      <w:pPr>
        <w:pStyle w:val="ListParagraph"/>
        <w:numPr>
          <w:ilvl w:val="1"/>
          <w:numId w:val="8"/>
        </w:numPr>
        <w:spacing w:before="120" w:after="120" w:line="280" w:lineRule="exact"/>
        <w:rPr>
          <w:sz w:val="22"/>
        </w:rPr>
      </w:pPr>
      <w:r w:rsidRPr="00A020A0">
        <w:rPr>
          <w:sz w:val="22"/>
        </w:rPr>
        <w:t>If zip code is included in the Zillow data, use zip code property value ratio</w:t>
      </w:r>
    </w:p>
    <w:p w14:paraId="4C038C3E" w14:textId="77777777" w:rsidR="00A020A0" w:rsidRPr="00A020A0" w:rsidRDefault="00A020A0" w:rsidP="00A020A0">
      <w:pPr>
        <w:pStyle w:val="ListParagraph"/>
        <w:numPr>
          <w:ilvl w:val="1"/>
          <w:numId w:val="8"/>
        </w:numPr>
        <w:spacing w:before="120" w:after="120" w:line="280" w:lineRule="exact"/>
        <w:rPr>
          <w:sz w:val="22"/>
        </w:rPr>
      </w:pPr>
      <w:r w:rsidRPr="00A020A0">
        <w:rPr>
          <w:sz w:val="22"/>
        </w:rPr>
        <w:t>For zip codes missing from Zillow database, ratios were imputed by</w:t>
      </w:r>
    </w:p>
    <w:p w14:paraId="3F28127F" w14:textId="77777777" w:rsidR="00A020A0" w:rsidRPr="00A020A0" w:rsidRDefault="00A020A0" w:rsidP="00A020A0">
      <w:pPr>
        <w:pStyle w:val="ListParagraph"/>
        <w:numPr>
          <w:ilvl w:val="2"/>
          <w:numId w:val="8"/>
        </w:numPr>
        <w:spacing w:before="120" w:after="120" w:line="280" w:lineRule="exact"/>
        <w:rPr>
          <w:sz w:val="22"/>
        </w:rPr>
      </w:pPr>
      <w:r w:rsidRPr="00A020A0">
        <w:rPr>
          <w:sz w:val="22"/>
        </w:rPr>
        <w:t>Use the average ratio in the county</w:t>
      </w:r>
    </w:p>
    <w:p w14:paraId="7F5A6228" w14:textId="77777777" w:rsidR="00A020A0" w:rsidRPr="00A020A0" w:rsidRDefault="00A020A0" w:rsidP="00A020A0">
      <w:pPr>
        <w:pStyle w:val="ListParagraph"/>
        <w:numPr>
          <w:ilvl w:val="2"/>
          <w:numId w:val="8"/>
        </w:numPr>
        <w:spacing w:before="120" w:after="120" w:line="280" w:lineRule="exact"/>
        <w:rPr>
          <w:sz w:val="22"/>
        </w:rPr>
      </w:pPr>
      <w:r w:rsidRPr="00A020A0">
        <w:rPr>
          <w:sz w:val="22"/>
        </w:rPr>
        <w:t xml:space="preserve">If no data for the county, use average ratio across the State </w:t>
      </w:r>
    </w:p>
    <w:p w14:paraId="4974986F" w14:textId="77777777" w:rsidR="00F065F9" w:rsidRDefault="00F065F9" w:rsidP="00A020A0">
      <w:pPr>
        <w:spacing w:before="120" w:after="120" w:line="280" w:lineRule="exact"/>
        <w:rPr>
          <w:sz w:val="22"/>
        </w:rPr>
      </w:pPr>
    </w:p>
    <w:p w14:paraId="1908B690" w14:textId="77777777" w:rsidR="00A020A0" w:rsidRPr="00A020A0" w:rsidRDefault="00A020A0" w:rsidP="00A020A0">
      <w:pPr>
        <w:spacing w:before="120" w:after="120" w:line="280" w:lineRule="exact"/>
        <w:rPr>
          <w:sz w:val="22"/>
        </w:rPr>
      </w:pPr>
      <w:r w:rsidRPr="00A020A0">
        <w:rPr>
          <w:sz w:val="22"/>
        </w:rPr>
        <w:t>Below is a summary of available or unavailable ZHVI data for calculating the ratios:</w:t>
      </w:r>
    </w:p>
    <w:p w14:paraId="7E507CCA" w14:textId="77777777" w:rsidR="00A020A0" w:rsidRPr="00F065F9" w:rsidRDefault="00A020A0" w:rsidP="00F065F9">
      <w:pPr>
        <w:pStyle w:val="ListParagraph"/>
        <w:numPr>
          <w:ilvl w:val="0"/>
          <w:numId w:val="9"/>
        </w:numPr>
        <w:spacing w:before="120" w:after="120" w:line="280" w:lineRule="exact"/>
        <w:rPr>
          <w:sz w:val="22"/>
        </w:rPr>
      </w:pPr>
      <w:r w:rsidRPr="00F065F9">
        <w:rPr>
          <w:sz w:val="22"/>
        </w:rPr>
        <w:t>7,441 neighborhoods have data in Zillow excel workbook</w:t>
      </w:r>
    </w:p>
    <w:p w14:paraId="70D04059" w14:textId="77777777" w:rsidR="00A020A0" w:rsidRPr="00F065F9" w:rsidRDefault="00A020A0" w:rsidP="00F065F9">
      <w:pPr>
        <w:pStyle w:val="ListParagraph"/>
        <w:numPr>
          <w:ilvl w:val="0"/>
          <w:numId w:val="9"/>
        </w:numPr>
        <w:spacing w:before="120" w:after="120" w:line="280" w:lineRule="exact"/>
        <w:rPr>
          <w:sz w:val="22"/>
        </w:rPr>
      </w:pPr>
      <w:r w:rsidRPr="00F065F9">
        <w:rPr>
          <w:sz w:val="22"/>
        </w:rPr>
        <w:t>10,924 neighborhoods in Zillow neighborhood shapefile</w:t>
      </w:r>
    </w:p>
    <w:p w14:paraId="004196FD" w14:textId="77777777" w:rsidR="00A020A0" w:rsidRPr="00F065F9" w:rsidRDefault="00A020A0" w:rsidP="00F065F9">
      <w:pPr>
        <w:pStyle w:val="ListParagraph"/>
        <w:numPr>
          <w:ilvl w:val="0"/>
          <w:numId w:val="9"/>
        </w:numPr>
        <w:spacing w:before="120" w:after="120" w:line="280" w:lineRule="exact"/>
        <w:rPr>
          <w:sz w:val="22"/>
        </w:rPr>
      </w:pPr>
      <w:r w:rsidRPr="00F065F9">
        <w:rPr>
          <w:sz w:val="22"/>
        </w:rPr>
        <w:t>5,830 neighborhoods in the Zillow shapefile are missing from the Excel workbook</w:t>
      </w:r>
    </w:p>
    <w:p w14:paraId="6F4A16BD" w14:textId="77777777" w:rsidR="00A020A0" w:rsidRPr="00F065F9" w:rsidRDefault="00A020A0" w:rsidP="00F065F9">
      <w:pPr>
        <w:pStyle w:val="ListParagraph"/>
        <w:numPr>
          <w:ilvl w:val="0"/>
          <w:numId w:val="9"/>
        </w:numPr>
        <w:spacing w:before="120" w:after="120" w:line="280" w:lineRule="exact"/>
        <w:rPr>
          <w:sz w:val="22"/>
        </w:rPr>
      </w:pPr>
      <w:r w:rsidRPr="00F065F9">
        <w:rPr>
          <w:sz w:val="22"/>
        </w:rPr>
        <w:t>234 neighborhoods in Excel workbook are missing property value data and cannot calculate a ratio for</w:t>
      </w:r>
    </w:p>
    <w:p w14:paraId="08573EA9" w14:textId="77777777" w:rsidR="00A020A0" w:rsidRPr="00F065F9" w:rsidRDefault="00A020A0" w:rsidP="00F065F9">
      <w:pPr>
        <w:pStyle w:val="ListParagraph"/>
        <w:numPr>
          <w:ilvl w:val="0"/>
          <w:numId w:val="9"/>
        </w:numPr>
        <w:spacing w:before="120" w:after="120" w:line="280" w:lineRule="exact"/>
        <w:rPr>
          <w:sz w:val="22"/>
        </w:rPr>
      </w:pPr>
      <w:r w:rsidRPr="00F065F9">
        <w:rPr>
          <w:sz w:val="22"/>
        </w:rPr>
        <w:t>409 neighborhoods are found in cities that have no data collected</w:t>
      </w:r>
    </w:p>
    <w:p w14:paraId="160B8DC6" w14:textId="77777777" w:rsidR="00A020A0" w:rsidRPr="00F065F9" w:rsidRDefault="00A020A0" w:rsidP="00F065F9">
      <w:pPr>
        <w:pStyle w:val="ListParagraph"/>
        <w:numPr>
          <w:ilvl w:val="0"/>
          <w:numId w:val="9"/>
        </w:numPr>
        <w:spacing w:before="120" w:after="120" w:line="280" w:lineRule="exact"/>
        <w:rPr>
          <w:sz w:val="22"/>
        </w:rPr>
      </w:pPr>
      <w:r w:rsidRPr="00F065F9">
        <w:rPr>
          <w:sz w:val="22"/>
        </w:rPr>
        <w:t>95 cities have no data collected</w:t>
      </w:r>
    </w:p>
    <w:p w14:paraId="544A9721" w14:textId="5A6EB48C" w:rsidR="00A020A0" w:rsidRPr="00A020A0" w:rsidRDefault="00A020A0" w:rsidP="00A020A0">
      <w:pPr>
        <w:spacing w:before="120" w:after="120" w:line="280" w:lineRule="exact"/>
        <w:rPr>
          <w:sz w:val="22"/>
        </w:rPr>
      </w:pPr>
      <w:r w:rsidRPr="00A020A0">
        <w:rPr>
          <w:sz w:val="22"/>
        </w:rPr>
        <w:t xml:space="preserve">Table </w:t>
      </w:r>
      <w:r w:rsidR="00E2720B">
        <w:rPr>
          <w:sz w:val="22"/>
        </w:rPr>
        <w:t>S-2</w:t>
      </w:r>
      <w:r w:rsidR="00E2720B" w:rsidRPr="00A020A0">
        <w:rPr>
          <w:sz w:val="22"/>
        </w:rPr>
        <w:t xml:space="preserve"> </w:t>
      </w:r>
      <w:r w:rsidRPr="00A020A0">
        <w:rPr>
          <w:sz w:val="22"/>
        </w:rPr>
        <w:t xml:space="preserve">below shows the property values by region for the original </w:t>
      </w:r>
      <w:proofErr w:type="spellStart"/>
      <w:r w:rsidRPr="00A020A0">
        <w:rPr>
          <w:sz w:val="22"/>
        </w:rPr>
        <w:t>DataQuick</w:t>
      </w:r>
      <w:proofErr w:type="spellEnd"/>
      <w:r w:rsidRPr="00A020A0">
        <w:rPr>
          <w:sz w:val="22"/>
        </w:rPr>
        <w:t xml:space="preserve"> property values obtained in 2010 and compares these with the property values adjusted by the ZHVI (in 2018) as just described. These values represent all property with elevation less than 50 cm as these are the most vulnerable to sea level rise. Also, all values are brought to year 2017 dollars so they are comparable. The largest changes are in the South Atlantic with a 23% reduction in value. The Gulf and North Atlantic show reduction while the Pacific shows an increase of about 9%. Overall property values decrease by 5%. Figure </w:t>
      </w:r>
      <w:r w:rsidR="00E2720B">
        <w:rPr>
          <w:sz w:val="22"/>
        </w:rPr>
        <w:t>S-</w:t>
      </w:r>
      <w:r w:rsidR="00E2342A">
        <w:rPr>
          <w:sz w:val="22"/>
        </w:rPr>
        <w:t>7</w:t>
      </w:r>
      <w:r w:rsidR="00E2720B" w:rsidRPr="00A020A0">
        <w:rPr>
          <w:sz w:val="22"/>
        </w:rPr>
        <w:t xml:space="preserve"> </w:t>
      </w:r>
      <w:r w:rsidRPr="00A020A0">
        <w:rPr>
          <w:sz w:val="22"/>
        </w:rPr>
        <w:lastRenderedPageBreak/>
        <w:t>shows these same comparisons for all coastal States. We see that Florida property values decrease significantly compared to other States.</w:t>
      </w:r>
    </w:p>
    <w:p w14:paraId="4C94C1A7" w14:textId="062116F9" w:rsidR="00A020A0" w:rsidRPr="00CD30E7" w:rsidRDefault="00E2720B" w:rsidP="00CD30E7">
      <w:pPr>
        <w:pStyle w:val="Heading2"/>
        <w:rPr>
          <w:rFonts w:eastAsia="Times"/>
          <w:b w:val="0"/>
          <w:noProof/>
          <w:sz w:val="22"/>
        </w:rPr>
      </w:pPr>
      <w:r w:rsidRPr="00E2720B">
        <w:rPr>
          <w:rFonts w:eastAsia="Times"/>
          <w:noProof/>
          <w:sz w:val="22"/>
          <w:u w:val="none"/>
        </w:rPr>
        <w:t>T</w:t>
      </w:r>
      <w:r w:rsidR="00A020A0" w:rsidRPr="00CD30E7">
        <w:rPr>
          <w:rFonts w:eastAsia="Times"/>
          <w:noProof/>
          <w:sz w:val="22"/>
          <w:u w:val="none"/>
        </w:rPr>
        <w:t xml:space="preserve">able </w:t>
      </w:r>
      <w:r w:rsidR="00FF3871" w:rsidRPr="00CD30E7">
        <w:rPr>
          <w:rFonts w:eastAsia="Times"/>
          <w:noProof/>
          <w:sz w:val="22"/>
          <w:u w:val="none"/>
        </w:rPr>
        <w:t>S-2</w:t>
      </w:r>
      <w:r w:rsidR="00A020A0" w:rsidRPr="00CD30E7">
        <w:rPr>
          <w:rFonts w:eastAsia="Times"/>
          <w:noProof/>
          <w:sz w:val="22"/>
          <w:u w:val="none"/>
        </w:rPr>
        <w:tab/>
        <w:t xml:space="preserve">Property Values by </w:t>
      </w:r>
      <w:r w:rsidRPr="00E2720B">
        <w:rPr>
          <w:rFonts w:eastAsia="Times"/>
          <w:noProof/>
          <w:sz w:val="22"/>
          <w:u w:val="none"/>
        </w:rPr>
        <w:t>R</w:t>
      </w:r>
      <w:r w:rsidR="00A020A0" w:rsidRPr="00CD30E7">
        <w:rPr>
          <w:rFonts w:eastAsia="Times"/>
          <w:noProof/>
          <w:sz w:val="22"/>
          <w:u w:val="none"/>
        </w:rPr>
        <w:t>egion (bill $2017), all property with elevation less than 50 cm)</w:t>
      </w:r>
    </w:p>
    <w:tbl>
      <w:tblPr>
        <w:tblW w:w="6091" w:type="dxa"/>
        <w:tblCellMar>
          <w:left w:w="0" w:type="dxa"/>
          <w:right w:w="0" w:type="dxa"/>
        </w:tblCellMar>
        <w:tblLook w:val="0600" w:firstRow="0" w:lastRow="0" w:firstColumn="0" w:lastColumn="0" w:noHBand="1" w:noVBand="1"/>
      </w:tblPr>
      <w:tblGrid>
        <w:gridCol w:w="1580"/>
        <w:gridCol w:w="1072"/>
        <w:gridCol w:w="1233"/>
        <w:gridCol w:w="1099"/>
        <w:gridCol w:w="1107"/>
      </w:tblGrid>
      <w:tr w:rsidR="00A020A0" w:rsidRPr="00A020A0" w14:paraId="61BEE3F8" w14:textId="77777777" w:rsidTr="00E235EE">
        <w:trPr>
          <w:trHeight w:val="377"/>
        </w:trPr>
        <w:tc>
          <w:tcPr>
            <w:tcW w:w="1580"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01D5F665" w14:textId="77777777" w:rsidR="00A020A0" w:rsidRPr="00A020A0" w:rsidRDefault="00A020A0" w:rsidP="00A020A0">
            <w:pPr>
              <w:keepNext/>
              <w:spacing w:before="120" w:after="120" w:line="290" w:lineRule="exact"/>
              <w:jc w:val="center"/>
              <w:outlineLvl w:val="0"/>
              <w:rPr>
                <w:rFonts w:ascii="Trebuchet MS" w:eastAsia="Times" w:hAnsi="Trebuchet MS"/>
                <w:b/>
                <w:caps/>
                <w:color w:val="003366"/>
                <w:sz w:val="17"/>
              </w:rPr>
            </w:pPr>
            <w:r w:rsidRPr="00A020A0">
              <w:rPr>
                <w:rFonts w:ascii="Trebuchet MS" w:eastAsia="Times" w:hAnsi="Trebuchet MS"/>
                <w:b/>
                <w:caps/>
                <w:color w:val="003366"/>
                <w:sz w:val="17"/>
              </w:rPr>
              <w:t>Region</w:t>
            </w:r>
          </w:p>
        </w:tc>
        <w:tc>
          <w:tcPr>
            <w:tcW w:w="1072"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085A2230" w14:textId="77777777" w:rsidR="00A020A0" w:rsidRPr="00A020A0" w:rsidRDefault="00A020A0" w:rsidP="00A020A0">
            <w:pPr>
              <w:keepNext/>
              <w:jc w:val="center"/>
              <w:outlineLvl w:val="0"/>
              <w:rPr>
                <w:rFonts w:ascii="Trebuchet MS" w:eastAsia="Times" w:hAnsi="Trebuchet MS"/>
                <w:b/>
                <w:caps/>
                <w:color w:val="003366"/>
                <w:sz w:val="17"/>
              </w:rPr>
            </w:pPr>
            <w:r w:rsidRPr="00A020A0">
              <w:rPr>
                <w:rFonts w:ascii="Trebuchet MS" w:eastAsia="Times" w:hAnsi="Trebuchet MS"/>
                <w:b/>
                <w:caps/>
                <w:color w:val="003366"/>
                <w:sz w:val="17"/>
              </w:rPr>
              <w:t>Dataquick</w:t>
            </w:r>
          </w:p>
          <w:p w14:paraId="04DE4656" w14:textId="77777777" w:rsidR="00A020A0" w:rsidRPr="00A020A0" w:rsidRDefault="00A020A0" w:rsidP="00A020A0">
            <w:pPr>
              <w:keepNext/>
              <w:jc w:val="center"/>
              <w:outlineLvl w:val="0"/>
              <w:rPr>
                <w:rFonts w:ascii="Trebuchet MS" w:eastAsia="Times" w:hAnsi="Trebuchet MS"/>
                <w:b/>
                <w:caps/>
                <w:color w:val="003366"/>
                <w:sz w:val="17"/>
              </w:rPr>
            </w:pPr>
            <w:r w:rsidRPr="00A020A0">
              <w:rPr>
                <w:rFonts w:ascii="Trebuchet MS" w:eastAsia="Times" w:hAnsi="Trebuchet MS"/>
                <w:b/>
                <w:caps/>
                <w:color w:val="003366"/>
                <w:sz w:val="17"/>
              </w:rPr>
              <w:t xml:space="preserve">(2010) </w:t>
            </w:r>
          </w:p>
        </w:tc>
        <w:tc>
          <w:tcPr>
            <w:tcW w:w="1233"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5E3D12DE" w14:textId="77777777" w:rsidR="00A020A0" w:rsidRPr="00A020A0" w:rsidRDefault="00A020A0" w:rsidP="00A020A0">
            <w:pPr>
              <w:keepNext/>
              <w:jc w:val="center"/>
              <w:outlineLvl w:val="0"/>
              <w:rPr>
                <w:rFonts w:ascii="Trebuchet MS" w:eastAsia="Times" w:hAnsi="Trebuchet MS"/>
                <w:b/>
                <w:caps/>
                <w:color w:val="003366"/>
                <w:sz w:val="17"/>
              </w:rPr>
            </w:pPr>
            <w:r w:rsidRPr="00A020A0">
              <w:rPr>
                <w:rFonts w:ascii="Trebuchet MS" w:eastAsia="Times" w:hAnsi="Trebuchet MS"/>
                <w:b/>
                <w:caps/>
                <w:color w:val="003366"/>
                <w:sz w:val="17"/>
              </w:rPr>
              <w:t>ZHVI updated</w:t>
            </w:r>
          </w:p>
          <w:p w14:paraId="6809C416" w14:textId="77777777" w:rsidR="00A020A0" w:rsidRPr="00A020A0" w:rsidRDefault="00A020A0" w:rsidP="00A020A0">
            <w:pPr>
              <w:keepNext/>
              <w:jc w:val="center"/>
              <w:outlineLvl w:val="0"/>
              <w:rPr>
                <w:rFonts w:ascii="Trebuchet MS" w:eastAsia="Times" w:hAnsi="Trebuchet MS"/>
                <w:b/>
                <w:caps/>
                <w:color w:val="003366"/>
                <w:sz w:val="17"/>
              </w:rPr>
            </w:pPr>
            <w:r w:rsidRPr="00A020A0">
              <w:rPr>
                <w:rFonts w:ascii="Trebuchet MS" w:eastAsia="Times" w:hAnsi="Trebuchet MS"/>
                <w:b/>
                <w:caps/>
                <w:color w:val="003366"/>
                <w:sz w:val="17"/>
              </w:rPr>
              <w:t>(2018)</w:t>
            </w:r>
          </w:p>
        </w:tc>
        <w:tc>
          <w:tcPr>
            <w:tcW w:w="1099"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59B47973" w14:textId="77777777" w:rsidR="00A020A0" w:rsidRPr="00A020A0" w:rsidRDefault="00A020A0" w:rsidP="00A020A0">
            <w:pPr>
              <w:keepNext/>
              <w:spacing w:before="120" w:after="120" w:line="290" w:lineRule="exact"/>
              <w:jc w:val="center"/>
              <w:outlineLvl w:val="0"/>
              <w:rPr>
                <w:rFonts w:ascii="Trebuchet MS" w:eastAsia="Times" w:hAnsi="Trebuchet MS"/>
                <w:b/>
                <w:caps/>
                <w:color w:val="003366"/>
                <w:sz w:val="17"/>
              </w:rPr>
            </w:pPr>
            <w:r w:rsidRPr="00A020A0">
              <w:rPr>
                <w:rFonts w:ascii="Trebuchet MS" w:eastAsia="Times" w:hAnsi="Trebuchet MS"/>
                <w:b/>
                <w:caps/>
                <w:color w:val="003366"/>
                <w:sz w:val="17"/>
              </w:rPr>
              <w:t>Difference</w:t>
            </w:r>
          </w:p>
        </w:tc>
        <w:tc>
          <w:tcPr>
            <w:tcW w:w="1107"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7BA41B79" w14:textId="77777777" w:rsidR="00A020A0" w:rsidRPr="00A020A0" w:rsidRDefault="00A020A0" w:rsidP="00A020A0">
            <w:pPr>
              <w:keepNext/>
              <w:spacing w:before="120" w:after="120" w:line="290" w:lineRule="exact"/>
              <w:jc w:val="center"/>
              <w:outlineLvl w:val="0"/>
              <w:rPr>
                <w:rFonts w:ascii="Trebuchet MS" w:eastAsia="Times" w:hAnsi="Trebuchet MS"/>
                <w:b/>
                <w:caps/>
                <w:color w:val="003366"/>
                <w:sz w:val="17"/>
              </w:rPr>
            </w:pPr>
            <w:r w:rsidRPr="00A020A0">
              <w:rPr>
                <w:rFonts w:ascii="Trebuchet MS" w:eastAsia="Times" w:hAnsi="Trebuchet MS"/>
                <w:b/>
                <w:caps/>
                <w:color w:val="003366"/>
                <w:sz w:val="17"/>
              </w:rPr>
              <w:t>% Change</w:t>
            </w:r>
          </w:p>
        </w:tc>
      </w:tr>
      <w:tr w:rsidR="00A020A0" w:rsidRPr="00A020A0" w14:paraId="70B81744" w14:textId="77777777" w:rsidTr="00E235EE">
        <w:trPr>
          <w:trHeight w:val="377"/>
        </w:trPr>
        <w:tc>
          <w:tcPr>
            <w:tcW w:w="1580" w:type="dxa"/>
            <w:tcBorders>
              <w:top w:val="single" w:sz="4" w:space="0" w:color="auto"/>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33C9A66" w14:textId="77777777" w:rsidR="00A020A0" w:rsidRPr="00A020A0" w:rsidRDefault="00A020A0" w:rsidP="00A020A0">
            <w:pPr>
              <w:spacing w:before="20" w:after="20"/>
              <w:ind w:left="90"/>
              <w:rPr>
                <w:rFonts w:ascii="Trebuchet MS" w:eastAsia="Times" w:hAnsi="Trebuchet MS"/>
                <w:b/>
              </w:rPr>
            </w:pPr>
            <w:r w:rsidRPr="00A020A0">
              <w:rPr>
                <w:rFonts w:ascii="Calibri" w:eastAsia="Times" w:hAnsi="Calibri" w:cs="Arial"/>
                <w:color w:val="000000" w:themeColor="text1"/>
                <w:kern w:val="24"/>
              </w:rPr>
              <w:t>Gulf</w:t>
            </w:r>
          </w:p>
        </w:tc>
        <w:tc>
          <w:tcPr>
            <w:tcW w:w="1072" w:type="dxa"/>
            <w:tcBorders>
              <w:top w:val="single" w:sz="4" w:space="0" w:color="auto"/>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6FC3E2D" w14:textId="77777777" w:rsidR="00A020A0" w:rsidRPr="00A020A0" w:rsidRDefault="00A020A0" w:rsidP="00A020A0">
            <w:pPr>
              <w:spacing w:before="20" w:after="20"/>
              <w:ind w:right="80"/>
              <w:jc w:val="right"/>
              <w:rPr>
                <w:rFonts w:ascii="Trebuchet MS" w:eastAsia="Times" w:hAnsi="Trebuchet MS"/>
              </w:rPr>
            </w:pPr>
            <w:r w:rsidRPr="00A020A0">
              <w:rPr>
                <w:rFonts w:ascii="Calibri" w:eastAsia="Times" w:hAnsi="Calibri" w:cs="Arial"/>
                <w:color w:val="000000"/>
                <w:kern w:val="24"/>
              </w:rPr>
              <w:t>$1,308</w:t>
            </w:r>
          </w:p>
        </w:tc>
        <w:tc>
          <w:tcPr>
            <w:tcW w:w="1233" w:type="dxa"/>
            <w:tcBorders>
              <w:top w:val="single" w:sz="4" w:space="0" w:color="auto"/>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5EA3FC1" w14:textId="77777777" w:rsidR="00A020A0" w:rsidRPr="00A020A0" w:rsidRDefault="00A020A0" w:rsidP="00A020A0">
            <w:pPr>
              <w:spacing w:before="20" w:after="20"/>
              <w:ind w:right="50"/>
              <w:jc w:val="right"/>
              <w:rPr>
                <w:rFonts w:ascii="Trebuchet MS" w:eastAsia="Times" w:hAnsi="Trebuchet MS"/>
              </w:rPr>
            </w:pPr>
            <w:r w:rsidRPr="00A020A0">
              <w:rPr>
                <w:rFonts w:ascii="Calibri" w:eastAsia="Times" w:hAnsi="Calibri" w:cs="Arial"/>
                <w:color w:val="000000"/>
                <w:kern w:val="24"/>
              </w:rPr>
              <w:t>$1,197</w:t>
            </w:r>
          </w:p>
        </w:tc>
        <w:tc>
          <w:tcPr>
            <w:tcW w:w="1099" w:type="dxa"/>
            <w:tcBorders>
              <w:top w:val="single" w:sz="4" w:space="0" w:color="auto"/>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69CAF3F" w14:textId="77777777" w:rsidR="00A020A0" w:rsidRPr="00A020A0" w:rsidRDefault="00A020A0" w:rsidP="00A020A0">
            <w:pPr>
              <w:spacing w:before="20" w:after="20"/>
              <w:ind w:right="60"/>
              <w:jc w:val="right"/>
              <w:rPr>
                <w:rFonts w:ascii="Trebuchet MS" w:eastAsia="Times" w:hAnsi="Trebuchet MS"/>
              </w:rPr>
            </w:pPr>
            <w:r w:rsidRPr="00A020A0">
              <w:rPr>
                <w:rFonts w:ascii="Calibri" w:eastAsia="Times" w:hAnsi="Calibri" w:cs="Arial"/>
                <w:color w:val="FF0000"/>
                <w:kern w:val="24"/>
              </w:rPr>
              <w:t>-$111</w:t>
            </w:r>
          </w:p>
        </w:tc>
        <w:tc>
          <w:tcPr>
            <w:tcW w:w="1107" w:type="dxa"/>
            <w:tcBorders>
              <w:top w:val="single" w:sz="4" w:space="0" w:color="auto"/>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3FBDF74" w14:textId="77777777" w:rsidR="00A020A0" w:rsidRPr="00A020A0" w:rsidRDefault="00A020A0" w:rsidP="00A020A0">
            <w:pPr>
              <w:spacing w:before="20" w:after="20"/>
              <w:ind w:right="87"/>
              <w:jc w:val="right"/>
              <w:rPr>
                <w:rFonts w:ascii="Trebuchet MS" w:eastAsia="Times" w:hAnsi="Trebuchet MS"/>
              </w:rPr>
            </w:pPr>
            <w:r w:rsidRPr="00A020A0">
              <w:rPr>
                <w:rFonts w:ascii="Calibri" w:eastAsia="Times" w:hAnsi="Calibri" w:cs="Arial"/>
                <w:color w:val="FF0000"/>
                <w:kern w:val="24"/>
              </w:rPr>
              <w:t>-8%</w:t>
            </w:r>
          </w:p>
        </w:tc>
      </w:tr>
      <w:tr w:rsidR="00A020A0" w:rsidRPr="00A020A0" w14:paraId="28FB20D4" w14:textId="77777777" w:rsidTr="00E235EE">
        <w:trPr>
          <w:trHeight w:val="377"/>
        </w:trPr>
        <w:tc>
          <w:tcPr>
            <w:tcW w:w="1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1617965" w14:textId="77777777" w:rsidR="00A020A0" w:rsidRPr="00A020A0" w:rsidRDefault="00A020A0" w:rsidP="00A020A0">
            <w:pPr>
              <w:spacing w:before="20" w:after="20"/>
              <w:ind w:left="90"/>
              <w:rPr>
                <w:rFonts w:ascii="Trebuchet MS" w:eastAsia="Times" w:hAnsi="Trebuchet MS"/>
                <w:b/>
              </w:rPr>
            </w:pPr>
            <w:r w:rsidRPr="00A020A0">
              <w:rPr>
                <w:rFonts w:ascii="Calibri" w:eastAsia="Times" w:hAnsi="Calibri" w:cs="Arial"/>
                <w:color w:val="000000" w:themeColor="text1"/>
                <w:kern w:val="24"/>
              </w:rPr>
              <w:t>Pacific</w:t>
            </w:r>
          </w:p>
        </w:tc>
        <w:tc>
          <w:tcPr>
            <w:tcW w:w="107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37B14E5" w14:textId="77777777" w:rsidR="00A020A0" w:rsidRPr="00A020A0" w:rsidRDefault="00A020A0" w:rsidP="00A020A0">
            <w:pPr>
              <w:spacing w:before="20" w:after="20"/>
              <w:ind w:right="80"/>
              <w:jc w:val="right"/>
              <w:rPr>
                <w:rFonts w:ascii="Trebuchet MS" w:eastAsia="Times" w:hAnsi="Trebuchet MS"/>
              </w:rPr>
            </w:pPr>
            <w:r w:rsidRPr="00A020A0">
              <w:rPr>
                <w:rFonts w:ascii="Calibri" w:eastAsia="Times" w:hAnsi="Calibri" w:cs="Arial"/>
                <w:color w:val="000000"/>
                <w:kern w:val="24"/>
              </w:rPr>
              <w:t>$1,955</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3DD8309" w14:textId="77777777" w:rsidR="00A020A0" w:rsidRPr="00A020A0" w:rsidRDefault="00A020A0" w:rsidP="00A020A0">
            <w:pPr>
              <w:spacing w:before="20" w:after="20"/>
              <w:ind w:right="50"/>
              <w:jc w:val="right"/>
              <w:rPr>
                <w:rFonts w:ascii="Trebuchet MS" w:eastAsia="Times" w:hAnsi="Trebuchet MS"/>
              </w:rPr>
            </w:pPr>
            <w:r w:rsidRPr="00A020A0">
              <w:rPr>
                <w:rFonts w:ascii="Calibri" w:eastAsia="Times" w:hAnsi="Calibri" w:cs="Arial"/>
                <w:color w:val="000000"/>
                <w:kern w:val="24"/>
              </w:rPr>
              <w:t>$2,130</w:t>
            </w:r>
          </w:p>
        </w:tc>
        <w:tc>
          <w:tcPr>
            <w:tcW w:w="1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3F8D532" w14:textId="77777777" w:rsidR="00A020A0" w:rsidRPr="00A020A0" w:rsidRDefault="00A020A0" w:rsidP="00A020A0">
            <w:pPr>
              <w:spacing w:before="20" w:after="20"/>
              <w:ind w:right="60"/>
              <w:jc w:val="right"/>
              <w:rPr>
                <w:rFonts w:ascii="Trebuchet MS" w:eastAsia="Times" w:hAnsi="Trebuchet MS"/>
              </w:rPr>
            </w:pPr>
            <w:r w:rsidRPr="00A020A0">
              <w:rPr>
                <w:rFonts w:ascii="Calibri" w:eastAsia="Times" w:hAnsi="Calibri" w:cs="Arial"/>
                <w:color w:val="000000"/>
                <w:kern w:val="24"/>
              </w:rPr>
              <w:t>$175</w:t>
            </w:r>
          </w:p>
        </w:tc>
        <w:tc>
          <w:tcPr>
            <w:tcW w:w="11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C17D2B4" w14:textId="77777777" w:rsidR="00A020A0" w:rsidRPr="00A020A0" w:rsidRDefault="00A020A0" w:rsidP="00A020A0">
            <w:pPr>
              <w:spacing w:before="20" w:after="20"/>
              <w:ind w:right="87"/>
              <w:jc w:val="right"/>
              <w:rPr>
                <w:rFonts w:ascii="Trebuchet MS" w:eastAsia="Times" w:hAnsi="Trebuchet MS"/>
              </w:rPr>
            </w:pPr>
            <w:r w:rsidRPr="00A020A0">
              <w:rPr>
                <w:rFonts w:ascii="Calibri" w:eastAsia="Times" w:hAnsi="Calibri" w:cs="Arial"/>
                <w:color w:val="000000"/>
                <w:kern w:val="24"/>
              </w:rPr>
              <w:t>9%</w:t>
            </w:r>
          </w:p>
        </w:tc>
      </w:tr>
      <w:tr w:rsidR="00A020A0" w:rsidRPr="00A020A0" w14:paraId="7BA3DA6B" w14:textId="77777777" w:rsidTr="00E235EE">
        <w:trPr>
          <w:trHeight w:val="377"/>
        </w:trPr>
        <w:tc>
          <w:tcPr>
            <w:tcW w:w="1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5272BE6" w14:textId="77777777" w:rsidR="00A020A0" w:rsidRPr="00A020A0" w:rsidRDefault="00A020A0" w:rsidP="00A020A0">
            <w:pPr>
              <w:spacing w:before="20" w:after="20"/>
              <w:ind w:left="90"/>
              <w:rPr>
                <w:rFonts w:ascii="Trebuchet MS" w:eastAsia="Times" w:hAnsi="Trebuchet MS"/>
                <w:b/>
              </w:rPr>
            </w:pPr>
            <w:r w:rsidRPr="00A020A0">
              <w:rPr>
                <w:rFonts w:ascii="Calibri" w:eastAsia="Times" w:hAnsi="Calibri" w:cs="Arial"/>
                <w:color w:val="000000" w:themeColor="text1"/>
                <w:kern w:val="24"/>
              </w:rPr>
              <w:t>North Atlantic</w:t>
            </w:r>
          </w:p>
        </w:tc>
        <w:tc>
          <w:tcPr>
            <w:tcW w:w="107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ACBE9F4" w14:textId="77777777" w:rsidR="00A020A0" w:rsidRPr="00A020A0" w:rsidRDefault="00A020A0" w:rsidP="00A020A0">
            <w:pPr>
              <w:spacing w:before="20" w:after="20"/>
              <w:ind w:right="80"/>
              <w:jc w:val="right"/>
              <w:rPr>
                <w:rFonts w:ascii="Trebuchet MS" w:eastAsia="Times" w:hAnsi="Trebuchet MS"/>
              </w:rPr>
            </w:pPr>
            <w:r w:rsidRPr="00A020A0">
              <w:rPr>
                <w:rFonts w:ascii="Calibri" w:eastAsia="Times" w:hAnsi="Calibri" w:cs="Arial"/>
                <w:color w:val="000000"/>
                <w:kern w:val="24"/>
              </w:rPr>
              <w:t>$4,235</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BDAEF7C" w14:textId="77777777" w:rsidR="00A020A0" w:rsidRPr="00A020A0" w:rsidRDefault="00A020A0" w:rsidP="00A020A0">
            <w:pPr>
              <w:spacing w:before="20" w:after="20"/>
              <w:ind w:right="50"/>
              <w:jc w:val="right"/>
              <w:rPr>
                <w:rFonts w:ascii="Trebuchet MS" w:eastAsia="Times" w:hAnsi="Trebuchet MS"/>
              </w:rPr>
            </w:pPr>
            <w:r w:rsidRPr="00A020A0">
              <w:rPr>
                <w:rFonts w:ascii="Calibri" w:eastAsia="Times" w:hAnsi="Calibri" w:cs="Arial"/>
                <w:color w:val="000000"/>
                <w:kern w:val="24"/>
              </w:rPr>
              <w:t>$4,125</w:t>
            </w:r>
          </w:p>
        </w:tc>
        <w:tc>
          <w:tcPr>
            <w:tcW w:w="1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9224A94" w14:textId="77777777" w:rsidR="00A020A0" w:rsidRPr="00A020A0" w:rsidRDefault="00A020A0" w:rsidP="00A020A0">
            <w:pPr>
              <w:spacing w:before="20" w:after="20"/>
              <w:ind w:right="60"/>
              <w:jc w:val="right"/>
              <w:rPr>
                <w:rFonts w:ascii="Trebuchet MS" w:eastAsia="Times" w:hAnsi="Trebuchet MS"/>
              </w:rPr>
            </w:pPr>
            <w:r w:rsidRPr="00A020A0">
              <w:rPr>
                <w:rFonts w:ascii="Calibri" w:eastAsia="Times" w:hAnsi="Calibri" w:cs="Arial"/>
                <w:color w:val="FF0000"/>
                <w:kern w:val="24"/>
              </w:rPr>
              <w:t>-$110</w:t>
            </w:r>
          </w:p>
        </w:tc>
        <w:tc>
          <w:tcPr>
            <w:tcW w:w="11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393E423" w14:textId="77777777" w:rsidR="00A020A0" w:rsidRPr="00A020A0" w:rsidRDefault="00A020A0" w:rsidP="00A020A0">
            <w:pPr>
              <w:spacing w:before="20" w:after="20"/>
              <w:ind w:right="87"/>
              <w:jc w:val="right"/>
              <w:rPr>
                <w:rFonts w:ascii="Trebuchet MS" w:eastAsia="Times" w:hAnsi="Trebuchet MS"/>
              </w:rPr>
            </w:pPr>
            <w:r w:rsidRPr="00A020A0">
              <w:rPr>
                <w:rFonts w:ascii="Calibri" w:eastAsia="Times" w:hAnsi="Calibri" w:cs="Arial"/>
                <w:color w:val="FF0000"/>
                <w:kern w:val="24"/>
              </w:rPr>
              <w:t>-3%</w:t>
            </w:r>
          </w:p>
        </w:tc>
      </w:tr>
      <w:tr w:rsidR="00A020A0" w:rsidRPr="00A020A0" w14:paraId="7FBDB083" w14:textId="77777777" w:rsidTr="00E235EE">
        <w:trPr>
          <w:trHeight w:val="377"/>
        </w:trPr>
        <w:tc>
          <w:tcPr>
            <w:tcW w:w="1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7FF348E" w14:textId="77777777" w:rsidR="00A020A0" w:rsidRPr="00A020A0" w:rsidRDefault="00A020A0" w:rsidP="00A020A0">
            <w:pPr>
              <w:spacing w:before="20" w:after="20"/>
              <w:ind w:left="90"/>
              <w:rPr>
                <w:rFonts w:ascii="Trebuchet MS" w:eastAsia="Times" w:hAnsi="Trebuchet MS"/>
                <w:b/>
              </w:rPr>
            </w:pPr>
            <w:r w:rsidRPr="00A020A0">
              <w:rPr>
                <w:rFonts w:ascii="Calibri" w:eastAsia="Times" w:hAnsi="Calibri" w:cs="Arial"/>
                <w:color w:val="000000" w:themeColor="text1"/>
                <w:kern w:val="24"/>
              </w:rPr>
              <w:t>South Atlantic</w:t>
            </w:r>
          </w:p>
        </w:tc>
        <w:tc>
          <w:tcPr>
            <w:tcW w:w="107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49004D3" w14:textId="77777777" w:rsidR="00A020A0" w:rsidRPr="00A020A0" w:rsidRDefault="00A020A0" w:rsidP="00A020A0">
            <w:pPr>
              <w:spacing w:before="20" w:after="20"/>
              <w:ind w:right="80"/>
              <w:jc w:val="right"/>
              <w:rPr>
                <w:rFonts w:ascii="Trebuchet MS" w:eastAsia="Times" w:hAnsi="Trebuchet MS"/>
              </w:rPr>
            </w:pPr>
            <w:r w:rsidRPr="00A020A0">
              <w:rPr>
                <w:rFonts w:ascii="Calibri" w:eastAsia="Times" w:hAnsi="Calibri" w:cs="Arial"/>
                <w:color w:val="000000"/>
                <w:kern w:val="24"/>
              </w:rPr>
              <w:t>$1,957</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415F94E" w14:textId="77777777" w:rsidR="00A020A0" w:rsidRPr="00A020A0" w:rsidRDefault="00A020A0" w:rsidP="00A020A0">
            <w:pPr>
              <w:spacing w:before="20" w:after="20"/>
              <w:ind w:right="50"/>
              <w:jc w:val="right"/>
              <w:rPr>
                <w:rFonts w:ascii="Trebuchet MS" w:eastAsia="Times" w:hAnsi="Trebuchet MS"/>
              </w:rPr>
            </w:pPr>
            <w:r w:rsidRPr="00A020A0">
              <w:rPr>
                <w:rFonts w:ascii="Calibri" w:eastAsia="Times" w:hAnsi="Calibri" w:cs="Arial"/>
                <w:color w:val="000000"/>
                <w:kern w:val="24"/>
              </w:rPr>
              <w:t>$1,498</w:t>
            </w:r>
          </w:p>
        </w:tc>
        <w:tc>
          <w:tcPr>
            <w:tcW w:w="1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A09F97A" w14:textId="77777777" w:rsidR="00A020A0" w:rsidRPr="00A020A0" w:rsidRDefault="00A020A0" w:rsidP="00A020A0">
            <w:pPr>
              <w:spacing w:before="20" w:after="20"/>
              <w:ind w:right="60"/>
              <w:jc w:val="right"/>
              <w:rPr>
                <w:rFonts w:ascii="Trebuchet MS" w:eastAsia="Times" w:hAnsi="Trebuchet MS"/>
              </w:rPr>
            </w:pPr>
            <w:r w:rsidRPr="00A020A0">
              <w:rPr>
                <w:rFonts w:ascii="Calibri" w:eastAsia="Times" w:hAnsi="Calibri" w:cs="Arial"/>
                <w:color w:val="FF0000"/>
                <w:kern w:val="24"/>
              </w:rPr>
              <w:t>-$459</w:t>
            </w:r>
          </w:p>
        </w:tc>
        <w:tc>
          <w:tcPr>
            <w:tcW w:w="11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BB4BCDA" w14:textId="77777777" w:rsidR="00A020A0" w:rsidRPr="00A020A0" w:rsidRDefault="00A020A0" w:rsidP="00A020A0">
            <w:pPr>
              <w:spacing w:before="20" w:after="20"/>
              <w:ind w:right="87"/>
              <w:jc w:val="right"/>
              <w:rPr>
                <w:rFonts w:ascii="Trebuchet MS" w:eastAsia="Times" w:hAnsi="Trebuchet MS"/>
              </w:rPr>
            </w:pPr>
            <w:r w:rsidRPr="00A020A0">
              <w:rPr>
                <w:rFonts w:ascii="Calibri" w:eastAsia="Times" w:hAnsi="Calibri" w:cs="Arial"/>
                <w:color w:val="FF0000"/>
                <w:kern w:val="24"/>
              </w:rPr>
              <w:t>-23%</w:t>
            </w:r>
          </w:p>
        </w:tc>
      </w:tr>
      <w:tr w:rsidR="00A020A0" w:rsidRPr="00A020A0" w14:paraId="583FD2DF" w14:textId="77777777" w:rsidTr="00E235EE">
        <w:trPr>
          <w:trHeight w:val="377"/>
        </w:trPr>
        <w:tc>
          <w:tcPr>
            <w:tcW w:w="1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B299012" w14:textId="77777777" w:rsidR="00A020A0" w:rsidRPr="00A020A0" w:rsidRDefault="00A020A0" w:rsidP="00A020A0">
            <w:pPr>
              <w:spacing w:before="20" w:after="20"/>
              <w:ind w:left="90"/>
              <w:rPr>
                <w:rFonts w:ascii="Trebuchet MS" w:eastAsia="Times" w:hAnsi="Trebuchet MS"/>
                <w:b/>
              </w:rPr>
            </w:pPr>
            <w:r w:rsidRPr="00A020A0">
              <w:rPr>
                <w:rFonts w:ascii="Calibri" w:eastAsia="Times" w:hAnsi="Calibri" w:cs="Arial"/>
                <w:b/>
                <w:bCs/>
                <w:color w:val="000000" w:themeColor="text1"/>
                <w:kern w:val="24"/>
              </w:rPr>
              <w:t>Total</w:t>
            </w:r>
          </w:p>
        </w:tc>
        <w:tc>
          <w:tcPr>
            <w:tcW w:w="107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488CD64" w14:textId="77777777" w:rsidR="00A020A0" w:rsidRPr="00A020A0" w:rsidRDefault="00A020A0" w:rsidP="00A020A0">
            <w:pPr>
              <w:spacing w:before="20" w:after="20"/>
              <w:ind w:right="80"/>
              <w:jc w:val="right"/>
              <w:rPr>
                <w:rFonts w:ascii="Trebuchet MS" w:eastAsia="Times" w:hAnsi="Trebuchet MS"/>
              </w:rPr>
            </w:pPr>
            <w:r w:rsidRPr="00A020A0">
              <w:rPr>
                <w:rFonts w:ascii="Calibri" w:eastAsia="Times" w:hAnsi="Calibri" w:cs="Arial"/>
                <w:b/>
                <w:bCs/>
                <w:color w:val="000000"/>
                <w:kern w:val="24"/>
              </w:rPr>
              <w:t>$9,455</w:t>
            </w:r>
          </w:p>
        </w:tc>
        <w:tc>
          <w:tcPr>
            <w:tcW w:w="12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F3C60C7" w14:textId="77777777" w:rsidR="00A020A0" w:rsidRPr="00A020A0" w:rsidRDefault="00A020A0" w:rsidP="00A020A0">
            <w:pPr>
              <w:spacing w:before="20" w:after="20"/>
              <w:ind w:right="50"/>
              <w:jc w:val="right"/>
              <w:rPr>
                <w:rFonts w:ascii="Trebuchet MS" w:eastAsia="Times" w:hAnsi="Trebuchet MS"/>
              </w:rPr>
            </w:pPr>
            <w:r w:rsidRPr="00A020A0">
              <w:rPr>
                <w:rFonts w:ascii="Calibri" w:eastAsia="Times" w:hAnsi="Calibri" w:cs="Arial"/>
                <w:b/>
                <w:bCs/>
                <w:color w:val="000000"/>
                <w:kern w:val="24"/>
              </w:rPr>
              <w:t>$8,950</w:t>
            </w:r>
          </w:p>
        </w:tc>
        <w:tc>
          <w:tcPr>
            <w:tcW w:w="1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A59780E" w14:textId="77777777" w:rsidR="00A020A0" w:rsidRPr="00A020A0" w:rsidRDefault="00A020A0" w:rsidP="00A020A0">
            <w:pPr>
              <w:spacing w:before="20" w:after="20"/>
              <w:ind w:right="60"/>
              <w:jc w:val="right"/>
              <w:rPr>
                <w:rFonts w:ascii="Trebuchet MS" w:eastAsia="Times" w:hAnsi="Trebuchet MS"/>
              </w:rPr>
            </w:pPr>
            <w:r w:rsidRPr="00A020A0">
              <w:rPr>
                <w:rFonts w:ascii="Calibri" w:eastAsia="Times" w:hAnsi="Calibri" w:cs="Arial"/>
                <w:b/>
                <w:bCs/>
                <w:color w:val="FF0000"/>
                <w:kern w:val="24"/>
              </w:rPr>
              <w:t>-$505</w:t>
            </w:r>
          </w:p>
        </w:tc>
        <w:tc>
          <w:tcPr>
            <w:tcW w:w="11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55F68AF" w14:textId="77777777" w:rsidR="00A020A0" w:rsidRPr="00A020A0" w:rsidRDefault="00A020A0" w:rsidP="00A020A0">
            <w:pPr>
              <w:spacing w:before="20" w:after="20"/>
              <w:ind w:right="87"/>
              <w:jc w:val="right"/>
              <w:rPr>
                <w:rFonts w:ascii="Trebuchet MS" w:eastAsia="Times" w:hAnsi="Trebuchet MS"/>
              </w:rPr>
            </w:pPr>
            <w:r w:rsidRPr="00A020A0">
              <w:rPr>
                <w:rFonts w:ascii="Calibri" w:eastAsia="Times" w:hAnsi="Calibri" w:cs="Arial"/>
                <w:b/>
                <w:bCs/>
                <w:color w:val="FF0000"/>
                <w:kern w:val="24"/>
              </w:rPr>
              <w:t>-5%</w:t>
            </w:r>
          </w:p>
        </w:tc>
      </w:tr>
    </w:tbl>
    <w:p w14:paraId="238991ED" w14:textId="77777777" w:rsidR="00A020A0" w:rsidRPr="00A020A0" w:rsidRDefault="00A020A0" w:rsidP="00A020A0">
      <w:pPr>
        <w:spacing w:before="120" w:after="120" w:line="280" w:lineRule="exact"/>
        <w:rPr>
          <w:rFonts w:asciiTheme="minorHAnsi" w:eastAsia="Times" w:hAnsiTheme="minorHAnsi"/>
          <w:sz w:val="22"/>
        </w:rPr>
      </w:pPr>
    </w:p>
    <w:p w14:paraId="6FAFED90" w14:textId="48AE26C9" w:rsidR="00A020A0" w:rsidRPr="00CD30E7" w:rsidRDefault="00E2720B" w:rsidP="00CD30E7">
      <w:pPr>
        <w:pStyle w:val="Heading2"/>
        <w:rPr>
          <w:rFonts w:eastAsia="Times"/>
          <w:b w:val="0"/>
          <w:noProof/>
          <w:sz w:val="22"/>
        </w:rPr>
      </w:pPr>
      <w:r>
        <w:rPr>
          <w:rFonts w:eastAsia="Times"/>
          <w:noProof/>
          <w:sz w:val="22"/>
        </w:rPr>
        <w:t>F</w:t>
      </w:r>
      <w:r w:rsidR="00A020A0" w:rsidRPr="00CD30E7">
        <w:rPr>
          <w:rFonts w:eastAsia="Times"/>
          <w:noProof/>
          <w:sz w:val="22"/>
        </w:rPr>
        <w:t xml:space="preserve">igure </w:t>
      </w:r>
      <w:r w:rsidR="00086913" w:rsidRPr="00CD30E7">
        <w:rPr>
          <w:rFonts w:eastAsia="Times"/>
          <w:noProof/>
          <w:sz w:val="22"/>
        </w:rPr>
        <w:t>S-</w:t>
      </w:r>
      <w:r w:rsidR="00E2342A">
        <w:rPr>
          <w:rFonts w:eastAsia="Times"/>
          <w:noProof/>
          <w:sz w:val="22"/>
        </w:rPr>
        <w:t>7</w:t>
      </w:r>
      <w:r w:rsidR="00A020A0" w:rsidRPr="00CD30E7">
        <w:rPr>
          <w:rFonts w:eastAsia="Times"/>
          <w:noProof/>
          <w:sz w:val="22"/>
        </w:rPr>
        <w:tab/>
      </w:r>
      <w:r>
        <w:rPr>
          <w:rFonts w:eastAsia="Times"/>
          <w:noProof/>
          <w:sz w:val="22"/>
        </w:rPr>
        <w:t>C</w:t>
      </w:r>
      <w:r w:rsidR="00A020A0" w:rsidRPr="00CD30E7">
        <w:rPr>
          <w:rFonts w:eastAsia="Times"/>
          <w:noProof/>
          <w:sz w:val="22"/>
        </w:rPr>
        <w:t xml:space="preserve">hanges in property </w:t>
      </w:r>
      <w:r>
        <w:rPr>
          <w:rFonts w:eastAsia="Times"/>
          <w:noProof/>
          <w:sz w:val="22"/>
        </w:rPr>
        <w:t>v</w:t>
      </w:r>
      <w:r w:rsidR="00A020A0" w:rsidRPr="00CD30E7">
        <w:rPr>
          <w:rFonts w:eastAsia="Times"/>
          <w:noProof/>
          <w:sz w:val="22"/>
        </w:rPr>
        <w:t>alue (</w:t>
      </w:r>
      <w:r>
        <w:rPr>
          <w:rFonts w:eastAsia="Times"/>
          <w:noProof/>
          <w:sz w:val="22"/>
        </w:rPr>
        <w:t>b</w:t>
      </w:r>
      <w:r w:rsidR="000D6222" w:rsidRPr="00CD30E7">
        <w:rPr>
          <w:rFonts w:eastAsia="Times"/>
          <w:noProof/>
          <w:sz w:val="22"/>
        </w:rPr>
        <w:t>illion</w:t>
      </w:r>
      <w:r w:rsidR="00A020A0" w:rsidRPr="00CD30E7">
        <w:rPr>
          <w:rFonts w:eastAsia="Times"/>
          <w:noProof/>
          <w:sz w:val="22"/>
        </w:rPr>
        <w:t xml:space="preserve"> $2017, all property with elevation less than 50 cm). Change is presented by value in the bar chart and by percent in the row labels.</w:t>
      </w:r>
    </w:p>
    <w:p w14:paraId="4B399D8E" w14:textId="77777777" w:rsidR="00A020A0" w:rsidRPr="00A020A0" w:rsidRDefault="00A020A0" w:rsidP="00A020A0">
      <w:pPr>
        <w:spacing w:before="120" w:after="120"/>
        <w:rPr>
          <w:rFonts w:asciiTheme="minorHAnsi" w:eastAsia="Times" w:hAnsiTheme="minorHAnsi"/>
          <w:sz w:val="22"/>
        </w:rPr>
      </w:pPr>
      <w:r w:rsidRPr="00A020A0">
        <w:rPr>
          <w:rFonts w:asciiTheme="minorHAnsi" w:eastAsia="Times" w:hAnsiTheme="minorHAnsi"/>
          <w:noProof/>
          <w:sz w:val="22"/>
        </w:rPr>
        <w:drawing>
          <wp:inline distT="0" distB="0" distL="0" distR="0" wp14:anchorId="1754A528" wp14:editId="2550BAD6">
            <wp:extent cx="4962525" cy="43719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C5E2E51" w14:textId="77777777" w:rsidR="00A020A0" w:rsidRPr="00A020A0" w:rsidRDefault="00A020A0" w:rsidP="00A020A0">
      <w:pPr>
        <w:spacing w:before="120" w:after="120" w:line="280" w:lineRule="atLeast"/>
        <w:rPr>
          <w:rFonts w:asciiTheme="minorHAnsi" w:eastAsia="Times" w:hAnsiTheme="minorHAnsi"/>
          <w:sz w:val="22"/>
          <w:szCs w:val="22"/>
        </w:rPr>
      </w:pPr>
    </w:p>
    <w:p w14:paraId="4423E28B" w14:textId="3EDFDA67" w:rsidR="00A020A0" w:rsidRPr="00A020A0" w:rsidRDefault="00A020A0" w:rsidP="00A020A0">
      <w:pPr>
        <w:spacing w:before="120" w:after="120" w:line="280" w:lineRule="exact"/>
        <w:rPr>
          <w:sz w:val="22"/>
        </w:rPr>
      </w:pPr>
      <w:r w:rsidRPr="00A020A0">
        <w:rPr>
          <w:sz w:val="22"/>
        </w:rPr>
        <w:lastRenderedPageBreak/>
        <w:t xml:space="preserve">Tables </w:t>
      </w:r>
      <w:r w:rsidR="003A03DB">
        <w:rPr>
          <w:sz w:val="22"/>
        </w:rPr>
        <w:t>S-3</w:t>
      </w:r>
      <w:r w:rsidRPr="00A020A0">
        <w:rPr>
          <w:sz w:val="22"/>
        </w:rPr>
        <w:t xml:space="preserve"> and </w:t>
      </w:r>
      <w:r w:rsidR="003A03DB">
        <w:rPr>
          <w:sz w:val="22"/>
        </w:rPr>
        <w:t>S-4</w:t>
      </w:r>
      <w:r w:rsidRPr="00A020A0">
        <w:rPr>
          <w:sz w:val="22"/>
        </w:rPr>
        <w:t xml:space="preserve"> compare the costs to coastal property (NCPM model results) for RCP8.5 for the No Adaptation scenario and the Proactive Adaptation scenario, respectively. Nationally, the No Adaptation costs </w:t>
      </w:r>
      <w:r w:rsidR="00E2720B">
        <w:rPr>
          <w:sz w:val="22"/>
        </w:rPr>
        <w:t xml:space="preserve">are </w:t>
      </w:r>
      <w:r w:rsidRPr="00A020A0">
        <w:rPr>
          <w:sz w:val="22"/>
        </w:rPr>
        <w:t>reduce</w:t>
      </w:r>
      <w:r w:rsidR="00E2720B">
        <w:rPr>
          <w:sz w:val="22"/>
        </w:rPr>
        <w:t>d</w:t>
      </w:r>
      <w:r w:rsidRPr="00A020A0">
        <w:rPr>
          <w:sz w:val="22"/>
        </w:rPr>
        <w:t xml:space="preserve"> by about 4%</w:t>
      </w:r>
      <w:r w:rsidR="00E2720B">
        <w:rPr>
          <w:sz w:val="22"/>
        </w:rPr>
        <w:t>,</w:t>
      </w:r>
      <w:r w:rsidRPr="00A020A0">
        <w:rPr>
          <w:sz w:val="22"/>
        </w:rPr>
        <w:t xml:space="preserve"> while </w:t>
      </w:r>
      <w:r w:rsidR="00E2720B">
        <w:rPr>
          <w:sz w:val="22"/>
        </w:rPr>
        <w:t xml:space="preserve">projected </w:t>
      </w:r>
      <w:r w:rsidRPr="00A020A0">
        <w:rPr>
          <w:sz w:val="22"/>
        </w:rPr>
        <w:t>costs</w:t>
      </w:r>
      <w:r w:rsidR="00E2720B">
        <w:rPr>
          <w:sz w:val="22"/>
        </w:rPr>
        <w:t xml:space="preserve"> are</w:t>
      </w:r>
      <w:r w:rsidRPr="00A020A0">
        <w:rPr>
          <w:sz w:val="22"/>
        </w:rPr>
        <w:t xml:space="preserve"> reduce</w:t>
      </w:r>
      <w:r w:rsidR="00E2720B">
        <w:rPr>
          <w:sz w:val="22"/>
        </w:rPr>
        <w:t>d</w:t>
      </w:r>
      <w:r w:rsidRPr="00A020A0">
        <w:rPr>
          <w:sz w:val="22"/>
        </w:rPr>
        <w:t xml:space="preserve"> by about 8% for the Proactive Adaptation scenario. Note that these results include all of the updates to the model described above as part of Version 1.3.</w:t>
      </w:r>
    </w:p>
    <w:p w14:paraId="2FB6D7EC" w14:textId="417EB72C" w:rsidR="00A020A0" w:rsidRPr="00CD30E7" w:rsidRDefault="00E2720B" w:rsidP="00CD30E7">
      <w:pPr>
        <w:pStyle w:val="Heading2"/>
        <w:ind w:left="0" w:firstLine="0"/>
        <w:rPr>
          <w:rFonts w:eastAsia="Times"/>
          <w:b w:val="0"/>
          <w:noProof/>
          <w:sz w:val="22"/>
        </w:rPr>
      </w:pPr>
      <w:r>
        <w:rPr>
          <w:rFonts w:eastAsia="Times"/>
          <w:noProof/>
          <w:sz w:val="22"/>
          <w:u w:val="none"/>
        </w:rPr>
        <w:t>T</w:t>
      </w:r>
      <w:r w:rsidR="00A020A0" w:rsidRPr="00CD30E7">
        <w:rPr>
          <w:rFonts w:eastAsia="Times"/>
          <w:noProof/>
          <w:sz w:val="22"/>
          <w:u w:val="none"/>
        </w:rPr>
        <w:t xml:space="preserve">able </w:t>
      </w:r>
      <w:r w:rsidR="003A03DB" w:rsidRPr="00CD30E7">
        <w:rPr>
          <w:rFonts w:eastAsia="Times"/>
          <w:noProof/>
          <w:sz w:val="22"/>
          <w:u w:val="none"/>
        </w:rPr>
        <w:t>S-3</w:t>
      </w:r>
      <w:r w:rsidR="00A020A0" w:rsidRPr="00CD30E7">
        <w:rPr>
          <w:rFonts w:eastAsia="Times"/>
          <w:noProof/>
          <w:sz w:val="22"/>
          <w:u w:val="none"/>
        </w:rPr>
        <w:tab/>
        <w:t xml:space="preserve">Total </w:t>
      </w:r>
      <w:r>
        <w:rPr>
          <w:rFonts w:eastAsia="Times"/>
          <w:noProof/>
          <w:sz w:val="22"/>
          <w:u w:val="none"/>
        </w:rPr>
        <w:t>c</w:t>
      </w:r>
      <w:r w:rsidR="00A020A0" w:rsidRPr="00CD30E7">
        <w:rPr>
          <w:rFonts w:eastAsia="Times"/>
          <w:noProof/>
          <w:sz w:val="22"/>
          <w:u w:val="none"/>
        </w:rPr>
        <w:t>osts to coastal property for the No Adaptation scenario for RCP8.5 (</w:t>
      </w:r>
      <w:r>
        <w:rPr>
          <w:rFonts w:eastAsia="Times"/>
          <w:noProof/>
          <w:sz w:val="22"/>
          <w:u w:val="none"/>
        </w:rPr>
        <w:t>b</w:t>
      </w:r>
      <w:r w:rsidR="00A020A0" w:rsidRPr="00CD30E7">
        <w:rPr>
          <w:rFonts w:eastAsia="Times"/>
          <w:noProof/>
          <w:sz w:val="22"/>
          <w:u w:val="none"/>
        </w:rPr>
        <w:t>illions of $2017)</w:t>
      </w:r>
    </w:p>
    <w:tbl>
      <w:tblPr>
        <w:tblW w:w="6300" w:type="dxa"/>
        <w:tblCellMar>
          <w:left w:w="0" w:type="dxa"/>
          <w:right w:w="0" w:type="dxa"/>
        </w:tblCellMar>
        <w:tblLook w:val="0600" w:firstRow="0" w:lastRow="0" w:firstColumn="0" w:lastColumn="0" w:noHBand="1" w:noVBand="1"/>
      </w:tblPr>
      <w:tblGrid>
        <w:gridCol w:w="1934"/>
        <w:gridCol w:w="1457"/>
        <w:gridCol w:w="1456"/>
        <w:gridCol w:w="1453"/>
      </w:tblGrid>
      <w:tr w:rsidR="00A020A0" w:rsidRPr="00A020A0" w14:paraId="183CF12A" w14:textId="77777777" w:rsidTr="00E235EE">
        <w:trPr>
          <w:trHeight w:val="288"/>
        </w:trPr>
        <w:tc>
          <w:tcPr>
            <w:tcW w:w="1934"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21" w:type="dxa"/>
              <w:left w:w="21" w:type="dxa"/>
              <w:bottom w:w="0" w:type="dxa"/>
              <w:right w:w="21" w:type="dxa"/>
            </w:tcMar>
            <w:vAlign w:val="bottom"/>
            <w:hideMark/>
          </w:tcPr>
          <w:p w14:paraId="14864204" w14:textId="77777777" w:rsidR="00A020A0" w:rsidRPr="00A020A0" w:rsidRDefault="00A020A0" w:rsidP="00A020A0">
            <w:pPr>
              <w:keepNext/>
              <w:spacing w:before="100" w:beforeAutospacing="1" w:after="100" w:afterAutospacing="1"/>
              <w:jc w:val="center"/>
              <w:outlineLvl w:val="0"/>
              <w:rPr>
                <w:rFonts w:ascii="Trebuchet MS" w:eastAsia="Times" w:hAnsi="Trebuchet MS"/>
                <w:b/>
                <w:caps/>
                <w:color w:val="003366"/>
                <w:sz w:val="17"/>
              </w:rPr>
            </w:pPr>
            <w:r w:rsidRPr="00A020A0">
              <w:rPr>
                <w:rFonts w:ascii="Trebuchet MS" w:eastAsia="Times" w:hAnsi="Trebuchet MS"/>
                <w:b/>
                <w:caps/>
                <w:color w:val="003366"/>
                <w:sz w:val="17"/>
              </w:rPr>
              <w:t>Region</w:t>
            </w:r>
          </w:p>
        </w:tc>
        <w:tc>
          <w:tcPr>
            <w:tcW w:w="1457"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15" w:type="dxa"/>
              <w:left w:w="15" w:type="dxa"/>
              <w:bottom w:w="0" w:type="dxa"/>
              <w:right w:w="15" w:type="dxa"/>
            </w:tcMar>
            <w:vAlign w:val="center"/>
            <w:hideMark/>
          </w:tcPr>
          <w:p w14:paraId="7D9F5FA7" w14:textId="77777777" w:rsidR="00A020A0" w:rsidRPr="00A020A0" w:rsidRDefault="00A020A0" w:rsidP="00A020A0">
            <w:pPr>
              <w:keepNext/>
              <w:spacing w:before="100" w:beforeAutospacing="1" w:after="100" w:afterAutospacing="1"/>
              <w:jc w:val="center"/>
              <w:outlineLvl w:val="0"/>
              <w:rPr>
                <w:rFonts w:ascii="Trebuchet MS" w:eastAsia="Times" w:hAnsi="Trebuchet MS"/>
                <w:b/>
                <w:caps/>
                <w:color w:val="003366"/>
                <w:sz w:val="17"/>
              </w:rPr>
            </w:pPr>
            <w:r w:rsidRPr="00A020A0">
              <w:rPr>
                <w:rFonts w:ascii="Trebuchet MS" w:eastAsia="Times" w:hAnsi="Trebuchet MS"/>
                <w:b/>
                <w:caps/>
                <w:color w:val="003366"/>
                <w:sz w:val="17"/>
              </w:rPr>
              <w:t xml:space="preserve">Dataquick (2010) </w:t>
            </w:r>
          </w:p>
        </w:tc>
        <w:tc>
          <w:tcPr>
            <w:tcW w:w="1456"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15" w:type="dxa"/>
              <w:left w:w="15" w:type="dxa"/>
              <w:bottom w:w="0" w:type="dxa"/>
              <w:right w:w="15" w:type="dxa"/>
            </w:tcMar>
            <w:vAlign w:val="center"/>
            <w:hideMark/>
          </w:tcPr>
          <w:p w14:paraId="66257F74" w14:textId="77777777" w:rsidR="00A020A0" w:rsidRPr="00A020A0" w:rsidRDefault="00A020A0" w:rsidP="00A020A0">
            <w:pPr>
              <w:keepNext/>
              <w:spacing w:before="100" w:beforeAutospacing="1" w:after="100" w:afterAutospacing="1"/>
              <w:jc w:val="center"/>
              <w:outlineLvl w:val="0"/>
              <w:rPr>
                <w:rFonts w:ascii="Trebuchet MS" w:eastAsia="Times" w:hAnsi="Trebuchet MS"/>
                <w:b/>
                <w:caps/>
                <w:color w:val="003366"/>
                <w:sz w:val="17"/>
              </w:rPr>
            </w:pPr>
            <w:r w:rsidRPr="00A020A0">
              <w:rPr>
                <w:rFonts w:ascii="Trebuchet MS" w:eastAsia="Times" w:hAnsi="Trebuchet MS"/>
                <w:b/>
                <w:caps/>
                <w:color w:val="003366"/>
                <w:sz w:val="17"/>
              </w:rPr>
              <w:t>ZHVI updated (2018)</w:t>
            </w:r>
          </w:p>
        </w:tc>
        <w:tc>
          <w:tcPr>
            <w:tcW w:w="1453"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21" w:type="dxa"/>
              <w:left w:w="21" w:type="dxa"/>
              <w:bottom w:w="0" w:type="dxa"/>
              <w:right w:w="21" w:type="dxa"/>
            </w:tcMar>
            <w:vAlign w:val="bottom"/>
            <w:hideMark/>
          </w:tcPr>
          <w:p w14:paraId="479773A9" w14:textId="77777777" w:rsidR="00A020A0" w:rsidRPr="00A020A0" w:rsidRDefault="00A020A0" w:rsidP="00A020A0">
            <w:pPr>
              <w:keepNext/>
              <w:spacing w:before="100" w:beforeAutospacing="1" w:after="100" w:afterAutospacing="1"/>
              <w:jc w:val="center"/>
              <w:outlineLvl w:val="0"/>
              <w:rPr>
                <w:rFonts w:ascii="Trebuchet MS" w:eastAsia="Times" w:hAnsi="Trebuchet MS"/>
                <w:b/>
                <w:caps/>
                <w:color w:val="003366"/>
                <w:sz w:val="17"/>
              </w:rPr>
            </w:pPr>
            <w:r w:rsidRPr="00A020A0">
              <w:rPr>
                <w:rFonts w:ascii="Trebuchet MS" w:eastAsia="Times" w:hAnsi="Trebuchet MS"/>
                <w:b/>
                <w:caps/>
                <w:color w:val="003366"/>
                <w:sz w:val="17"/>
              </w:rPr>
              <w:t>Difference</w:t>
            </w:r>
          </w:p>
        </w:tc>
      </w:tr>
      <w:tr w:rsidR="00A020A0" w:rsidRPr="00A020A0" w14:paraId="358D6963" w14:textId="77777777" w:rsidTr="00E235EE">
        <w:trPr>
          <w:trHeight w:val="288"/>
        </w:trPr>
        <w:tc>
          <w:tcPr>
            <w:tcW w:w="1934"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74FC98C5" w14:textId="77777777" w:rsidR="00A020A0" w:rsidRPr="00A020A0" w:rsidRDefault="00A020A0" w:rsidP="00A020A0">
            <w:pPr>
              <w:spacing w:before="20" w:after="20"/>
              <w:ind w:left="86" w:right="144"/>
              <w:rPr>
                <w:rFonts w:ascii="Calibri" w:eastAsia="Times" w:hAnsi="Calibri" w:cs="Arial"/>
                <w:color w:val="000000" w:themeColor="text1"/>
                <w:kern w:val="24"/>
              </w:rPr>
            </w:pPr>
            <w:r w:rsidRPr="00A020A0">
              <w:rPr>
                <w:rFonts w:ascii="Calibri" w:eastAsia="Times" w:hAnsi="Calibri" w:cs="Arial"/>
                <w:color w:val="000000" w:themeColor="text1"/>
                <w:kern w:val="24"/>
              </w:rPr>
              <w:t>North Atlantic</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197DA678"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$154</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04680876"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$140</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2619598E"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-9%</w:t>
            </w:r>
          </w:p>
        </w:tc>
      </w:tr>
      <w:tr w:rsidR="00A020A0" w:rsidRPr="00A020A0" w14:paraId="49DF2A32" w14:textId="77777777" w:rsidTr="00E235EE">
        <w:trPr>
          <w:trHeight w:val="288"/>
        </w:trPr>
        <w:tc>
          <w:tcPr>
            <w:tcW w:w="1934"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0D10DBC7" w14:textId="77777777" w:rsidR="00A020A0" w:rsidRPr="00A020A0" w:rsidRDefault="00A020A0" w:rsidP="00A020A0">
            <w:pPr>
              <w:spacing w:before="20" w:after="20"/>
              <w:ind w:left="86" w:right="144"/>
              <w:rPr>
                <w:rFonts w:ascii="Calibri" w:eastAsia="Times" w:hAnsi="Calibri" w:cs="Arial"/>
                <w:color w:val="000000" w:themeColor="text1"/>
                <w:kern w:val="24"/>
              </w:rPr>
            </w:pPr>
            <w:r w:rsidRPr="00A020A0">
              <w:rPr>
                <w:rFonts w:ascii="Calibri" w:eastAsia="Times" w:hAnsi="Calibri" w:cs="Arial"/>
                <w:color w:val="000000" w:themeColor="text1"/>
                <w:kern w:val="24"/>
              </w:rPr>
              <w:t>South Atlantic</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5ACC087B"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$923</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606E3072"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$888</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7E45767A"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-4%</w:t>
            </w:r>
          </w:p>
        </w:tc>
      </w:tr>
      <w:tr w:rsidR="00A020A0" w:rsidRPr="00A020A0" w14:paraId="31E3D57A" w14:textId="77777777" w:rsidTr="00E235EE">
        <w:trPr>
          <w:trHeight w:val="288"/>
        </w:trPr>
        <w:tc>
          <w:tcPr>
            <w:tcW w:w="1934"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11628E05" w14:textId="77777777" w:rsidR="00A020A0" w:rsidRPr="00A020A0" w:rsidRDefault="00A020A0" w:rsidP="00A020A0">
            <w:pPr>
              <w:spacing w:before="20" w:after="20"/>
              <w:ind w:left="86" w:right="144"/>
              <w:rPr>
                <w:rFonts w:ascii="Calibri" w:eastAsia="Times" w:hAnsi="Calibri" w:cs="Arial"/>
                <w:color w:val="000000" w:themeColor="text1"/>
                <w:kern w:val="24"/>
              </w:rPr>
            </w:pPr>
            <w:r w:rsidRPr="00A020A0">
              <w:rPr>
                <w:rFonts w:ascii="Calibri" w:eastAsia="Times" w:hAnsi="Calibri" w:cs="Arial"/>
                <w:color w:val="000000" w:themeColor="text1"/>
                <w:kern w:val="24"/>
              </w:rPr>
              <w:t>Gulf</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0CEEFEBB"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$481</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47AF0627"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$472</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208BE52E"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-2%</w:t>
            </w:r>
          </w:p>
        </w:tc>
      </w:tr>
      <w:tr w:rsidR="00A020A0" w:rsidRPr="00A020A0" w14:paraId="251F532D" w14:textId="77777777" w:rsidTr="00E235EE">
        <w:trPr>
          <w:trHeight w:val="288"/>
        </w:trPr>
        <w:tc>
          <w:tcPr>
            <w:tcW w:w="1934"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0C8172E7" w14:textId="77777777" w:rsidR="00A020A0" w:rsidRPr="00A020A0" w:rsidRDefault="00A020A0" w:rsidP="00A020A0">
            <w:pPr>
              <w:spacing w:before="20" w:after="20"/>
              <w:ind w:left="86" w:right="144"/>
              <w:rPr>
                <w:rFonts w:ascii="Calibri" w:eastAsia="Times" w:hAnsi="Calibri" w:cs="Arial"/>
                <w:color w:val="000000" w:themeColor="text1"/>
                <w:kern w:val="24"/>
              </w:rPr>
            </w:pPr>
            <w:r w:rsidRPr="00A020A0">
              <w:rPr>
                <w:rFonts w:ascii="Calibri" w:eastAsia="Times" w:hAnsi="Calibri" w:cs="Arial"/>
                <w:color w:val="000000" w:themeColor="text1"/>
                <w:kern w:val="24"/>
              </w:rPr>
              <w:t>Pacific</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5D21C9A1"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$77</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74410ACA"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$75</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7E47D766"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-3%</w:t>
            </w:r>
          </w:p>
        </w:tc>
      </w:tr>
      <w:tr w:rsidR="00A020A0" w:rsidRPr="00A020A0" w14:paraId="3B757ECF" w14:textId="77777777" w:rsidTr="00E235EE">
        <w:trPr>
          <w:trHeight w:val="288"/>
        </w:trPr>
        <w:tc>
          <w:tcPr>
            <w:tcW w:w="1934"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3DC6A736" w14:textId="77777777" w:rsidR="00A020A0" w:rsidRPr="00A020A0" w:rsidRDefault="00A020A0" w:rsidP="00A020A0">
            <w:pPr>
              <w:spacing w:before="20" w:after="20"/>
              <w:ind w:left="86" w:right="144"/>
              <w:rPr>
                <w:rFonts w:ascii="Calibri" w:eastAsia="Times" w:hAnsi="Calibri" w:cs="Arial"/>
                <w:b/>
                <w:color w:val="000000" w:themeColor="text1"/>
                <w:kern w:val="24"/>
              </w:rPr>
            </w:pPr>
            <w:r w:rsidRPr="00A020A0">
              <w:rPr>
                <w:rFonts w:ascii="Calibri" w:eastAsia="Times" w:hAnsi="Calibri" w:cs="Arial"/>
                <w:b/>
                <w:color w:val="000000" w:themeColor="text1"/>
                <w:kern w:val="24"/>
              </w:rPr>
              <w:t>Total</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09098F7F" w14:textId="77777777" w:rsidR="00A020A0" w:rsidRPr="00A020A0" w:rsidRDefault="00A020A0" w:rsidP="00A020A0">
            <w:pPr>
              <w:spacing w:before="20" w:after="20"/>
              <w:ind w:left="86" w:right="144"/>
              <w:jc w:val="right"/>
              <w:rPr>
                <w:rFonts w:ascii="Calibri" w:eastAsia="Times" w:hAnsi="Calibri" w:cs="Arial"/>
                <w:b/>
                <w:color w:val="000000" w:themeColor="text1"/>
                <w:kern w:val="24"/>
              </w:rPr>
            </w:pPr>
            <w:r w:rsidRPr="00A020A0">
              <w:rPr>
                <w:rFonts w:ascii="Calibri" w:eastAsia="Times" w:hAnsi="Calibri" w:cs="Arial"/>
                <w:b/>
                <w:color w:val="000000" w:themeColor="text1"/>
                <w:kern w:val="24"/>
              </w:rPr>
              <w:t>$1,635</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4ED2BC8C" w14:textId="77777777" w:rsidR="00A020A0" w:rsidRPr="00A020A0" w:rsidRDefault="00A020A0" w:rsidP="00A020A0">
            <w:pPr>
              <w:spacing w:before="20" w:after="20"/>
              <w:ind w:left="86" w:right="144"/>
              <w:jc w:val="right"/>
              <w:rPr>
                <w:rFonts w:ascii="Calibri" w:eastAsia="Times" w:hAnsi="Calibri" w:cs="Arial"/>
                <w:b/>
                <w:color w:val="000000" w:themeColor="text1"/>
                <w:kern w:val="24"/>
              </w:rPr>
            </w:pPr>
            <w:r w:rsidRPr="00A020A0">
              <w:rPr>
                <w:rFonts w:ascii="Calibri" w:eastAsia="Times" w:hAnsi="Calibri" w:cs="Arial"/>
                <w:b/>
                <w:color w:val="000000" w:themeColor="text1"/>
                <w:kern w:val="24"/>
              </w:rPr>
              <w:t>$1,575</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059836A8" w14:textId="77777777" w:rsidR="00A020A0" w:rsidRPr="00A020A0" w:rsidRDefault="00A020A0" w:rsidP="00A020A0">
            <w:pPr>
              <w:spacing w:before="20" w:after="20"/>
              <w:ind w:left="86" w:right="144"/>
              <w:jc w:val="right"/>
              <w:rPr>
                <w:rFonts w:ascii="Calibri" w:eastAsia="Times" w:hAnsi="Calibri" w:cs="Arial"/>
                <w:b/>
                <w:color w:val="000000" w:themeColor="text1"/>
                <w:kern w:val="24"/>
              </w:rPr>
            </w:pPr>
            <w:r w:rsidRPr="00A020A0">
              <w:rPr>
                <w:rFonts w:ascii="Calibri" w:eastAsia="Times" w:hAnsi="Calibri" w:cs="Arial"/>
                <w:b/>
                <w:color w:val="000000" w:themeColor="text1"/>
                <w:kern w:val="24"/>
              </w:rPr>
              <w:t>-4%</w:t>
            </w:r>
          </w:p>
        </w:tc>
      </w:tr>
    </w:tbl>
    <w:p w14:paraId="258E9262" w14:textId="77777777" w:rsidR="00A020A0" w:rsidRPr="00A020A0" w:rsidRDefault="00A020A0" w:rsidP="00A020A0">
      <w:pPr>
        <w:spacing w:before="120" w:after="120" w:line="280" w:lineRule="exact"/>
        <w:rPr>
          <w:rFonts w:asciiTheme="minorHAnsi" w:eastAsia="Times" w:hAnsiTheme="minorHAnsi"/>
          <w:sz w:val="22"/>
          <w:szCs w:val="22"/>
        </w:rPr>
      </w:pPr>
    </w:p>
    <w:p w14:paraId="69928281" w14:textId="1984941C" w:rsidR="00A020A0" w:rsidRPr="00CD30E7" w:rsidRDefault="00E2720B" w:rsidP="00CD30E7">
      <w:pPr>
        <w:pStyle w:val="Heading2"/>
        <w:ind w:left="0" w:firstLine="0"/>
        <w:rPr>
          <w:rFonts w:eastAsia="Times"/>
          <w:b w:val="0"/>
          <w:noProof/>
          <w:sz w:val="22"/>
        </w:rPr>
      </w:pPr>
      <w:r>
        <w:rPr>
          <w:rFonts w:eastAsia="Times"/>
          <w:noProof/>
          <w:sz w:val="22"/>
          <w:u w:val="none"/>
        </w:rPr>
        <w:t>T</w:t>
      </w:r>
      <w:r w:rsidR="00A020A0" w:rsidRPr="00CD30E7">
        <w:rPr>
          <w:rFonts w:eastAsia="Times"/>
          <w:noProof/>
          <w:sz w:val="22"/>
          <w:u w:val="none"/>
        </w:rPr>
        <w:t xml:space="preserve">able </w:t>
      </w:r>
      <w:r w:rsidR="003A03DB" w:rsidRPr="00CD30E7">
        <w:rPr>
          <w:rFonts w:eastAsia="Times"/>
          <w:noProof/>
          <w:sz w:val="22"/>
          <w:u w:val="none"/>
        </w:rPr>
        <w:t>S-4</w:t>
      </w:r>
      <w:r w:rsidR="00A020A0" w:rsidRPr="00CD30E7">
        <w:rPr>
          <w:rFonts w:eastAsia="Times"/>
          <w:noProof/>
          <w:sz w:val="22"/>
          <w:u w:val="none"/>
        </w:rPr>
        <w:tab/>
        <w:t xml:space="preserve">Total </w:t>
      </w:r>
      <w:r>
        <w:rPr>
          <w:rFonts w:eastAsia="Times"/>
          <w:noProof/>
          <w:sz w:val="22"/>
          <w:u w:val="none"/>
        </w:rPr>
        <w:t>c</w:t>
      </w:r>
      <w:r w:rsidR="00A020A0" w:rsidRPr="00CD30E7">
        <w:rPr>
          <w:rFonts w:eastAsia="Times"/>
          <w:noProof/>
          <w:sz w:val="22"/>
          <w:u w:val="none"/>
        </w:rPr>
        <w:t>osts to coastal property for the proactive adaptation scenario for RCP8.5 (</w:t>
      </w:r>
      <w:r>
        <w:rPr>
          <w:rFonts w:eastAsia="Times"/>
          <w:noProof/>
          <w:sz w:val="22"/>
          <w:u w:val="none"/>
        </w:rPr>
        <w:t>b</w:t>
      </w:r>
      <w:r w:rsidR="00A020A0" w:rsidRPr="00CD30E7">
        <w:rPr>
          <w:rFonts w:eastAsia="Times"/>
          <w:noProof/>
          <w:sz w:val="22"/>
          <w:u w:val="none"/>
        </w:rPr>
        <w:t>illions of $2017)</w:t>
      </w:r>
    </w:p>
    <w:tbl>
      <w:tblPr>
        <w:tblW w:w="6300" w:type="dxa"/>
        <w:tblCellMar>
          <w:left w:w="0" w:type="dxa"/>
          <w:right w:w="0" w:type="dxa"/>
        </w:tblCellMar>
        <w:tblLook w:val="0600" w:firstRow="0" w:lastRow="0" w:firstColumn="0" w:lastColumn="0" w:noHBand="1" w:noVBand="1"/>
      </w:tblPr>
      <w:tblGrid>
        <w:gridCol w:w="1934"/>
        <w:gridCol w:w="1457"/>
        <w:gridCol w:w="1455"/>
        <w:gridCol w:w="1454"/>
      </w:tblGrid>
      <w:tr w:rsidR="00A020A0" w:rsidRPr="00A020A0" w14:paraId="3BDC5FC3" w14:textId="77777777" w:rsidTr="00E235EE">
        <w:trPr>
          <w:trHeight w:val="288"/>
        </w:trPr>
        <w:tc>
          <w:tcPr>
            <w:tcW w:w="1934"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21" w:type="dxa"/>
              <w:left w:w="21" w:type="dxa"/>
              <w:bottom w:w="0" w:type="dxa"/>
              <w:right w:w="21" w:type="dxa"/>
            </w:tcMar>
            <w:vAlign w:val="bottom"/>
            <w:hideMark/>
          </w:tcPr>
          <w:p w14:paraId="34A584F4" w14:textId="77777777" w:rsidR="00A020A0" w:rsidRPr="00A020A0" w:rsidRDefault="00A020A0" w:rsidP="00A020A0">
            <w:pPr>
              <w:keepNext/>
              <w:jc w:val="center"/>
              <w:outlineLvl w:val="0"/>
              <w:rPr>
                <w:rFonts w:ascii="Trebuchet MS" w:eastAsia="Times" w:hAnsi="Trebuchet MS"/>
                <w:b/>
                <w:caps/>
                <w:color w:val="003366"/>
                <w:sz w:val="17"/>
              </w:rPr>
            </w:pPr>
            <w:r w:rsidRPr="00A020A0">
              <w:rPr>
                <w:rFonts w:ascii="Trebuchet MS" w:eastAsia="Times" w:hAnsi="Trebuchet MS"/>
                <w:b/>
                <w:caps/>
                <w:color w:val="003366"/>
                <w:sz w:val="17"/>
              </w:rPr>
              <w:t>Region</w:t>
            </w:r>
          </w:p>
        </w:tc>
        <w:tc>
          <w:tcPr>
            <w:tcW w:w="1457"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15" w:type="dxa"/>
              <w:left w:w="15" w:type="dxa"/>
              <w:bottom w:w="0" w:type="dxa"/>
              <w:right w:w="15" w:type="dxa"/>
            </w:tcMar>
            <w:vAlign w:val="center"/>
            <w:hideMark/>
          </w:tcPr>
          <w:p w14:paraId="4CEA424E" w14:textId="77777777" w:rsidR="00A020A0" w:rsidRPr="00A020A0" w:rsidRDefault="00A020A0" w:rsidP="00A020A0">
            <w:pPr>
              <w:keepNext/>
              <w:jc w:val="center"/>
              <w:outlineLvl w:val="0"/>
              <w:rPr>
                <w:rFonts w:ascii="Trebuchet MS" w:eastAsia="Times" w:hAnsi="Trebuchet MS"/>
                <w:b/>
                <w:caps/>
                <w:color w:val="003366"/>
                <w:sz w:val="17"/>
              </w:rPr>
            </w:pPr>
            <w:r w:rsidRPr="00A020A0">
              <w:rPr>
                <w:rFonts w:ascii="Trebuchet MS" w:eastAsia="Times" w:hAnsi="Trebuchet MS"/>
                <w:b/>
                <w:caps/>
                <w:color w:val="003366"/>
                <w:sz w:val="17"/>
              </w:rPr>
              <w:t xml:space="preserve">Dataquick (2010) </w:t>
            </w:r>
          </w:p>
        </w:tc>
        <w:tc>
          <w:tcPr>
            <w:tcW w:w="1455"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15" w:type="dxa"/>
              <w:left w:w="15" w:type="dxa"/>
              <w:bottom w:w="0" w:type="dxa"/>
              <w:right w:w="15" w:type="dxa"/>
            </w:tcMar>
            <w:vAlign w:val="center"/>
            <w:hideMark/>
          </w:tcPr>
          <w:p w14:paraId="51FE96FB" w14:textId="77777777" w:rsidR="00A020A0" w:rsidRPr="00A020A0" w:rsidRDefault="00A020A0" w:rsidP="00A020A0">
            <w:pPr>
              <w:keepNext/>
              <w:jc w:val="center"/>
              <w:outlineLvl w:val="0"/>
              <w:rPr>
                <w:rFonts w:ascii="Trebuchet MS" w:eastAsia="Times" w:hAnsi="Trebuchet MS"/>
                <w:b/>
                <w:caps/>
                <w:color w:val="003366"/>
                <w:sz w:val="17"/>
              </w:rPr>
            </w:pPr>
            <w:r w:rsidRPr="00A020A0">
              <w:rPr>
                <w:rFonts w:ascii="Trebuchet MS" w:eastAsia="Times" w:hAnsi="Trebuchet MS"/>
                <w:b/>
                <w:caps/>
                <w:color w:val="003366"/>
                <w:sz w:val="17"/>
              </w:rPr>
              <w:t>ZHI updated (2018)</w:t>
            </w:r>
          </w:p>
        </w:tc>
        <w:tc>
          <w:tcPr>
            <w:tcW w:w="1454"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21" w:type="dxa"/>
              <w:left w:w="21" w:type="dxa"/>
              <w:bottom w:w="0" w:type="dxa"/>
              <w:right w:w="21" w:type="dxa"/>
            </w:tcMar>
            <w:vAlign w:val="bottom"/>
            <w:hideMark/>
          </w:tcPr>
          <w:p w14:paraId="2EF3038F" w14:textId="77777777" w:rsidR="00A020A0" w:rsidRPr="00A020A0" w:rsidRDefault="00A020A0" w:rsidP="00A020A0">
            <w:pPr>
              <w:keepNext/>
              <w:jc w:val="center"/>
              <w:outlineLvl w:val="0"/>
              <w:rPr>
                <w:rFonts w:ascii="Trebuchet MS" w:eastAsia="Times" w:hAnsi="Trebuchet MS"/>
                <w:b/>
                <w:caps/>
                <w:color w:val="003366"/>
                <w:sz w:val="17"/>
              </w:rPr>
            </w:pPr>
            <w:r w:rsidRPr="00A020A0">
              <w:rPr>
                <w:rFonts w:ascii="Trebuchet MS" w:eastAsia="Times" w:hAnsi="Trebuchet MS"/>
                <w:b/>
                <w:caps/>
                <w:color w:val="003366"/>
                <w:sz w:val="17"/>
              </w:rPr>
              <w:t>Difference</w:t>
            </w:r>
          </w:p>
        </w:tc>
      </w:tr>
      <w:tr w:rsidR="00A020A0" w:rsidRPr="00A020A0" w14:paraId="027973CD" w14:textId="77777777" w:rsidTr="00E235EE">
        <w:trPr>
          <w:trHeight w:val="288"/>
        </w:trPr>
        <w:tc>
          <w:tcPr>
            <w:tcW w:w="1934"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10529B60" w14:textId="77777777" w:rsidR="00A020A0" w:rsidRPr="00A020A0" w:rsidRDefault="00A020A0" w:rsidP="00A020A0">
            <w:pPr>
              <w:spacing w:before="20" w:after="20"/>
              <w:ind w:left="86" w:right="144"/>
              <w:rPr>
                <w:rFonts w:ascii="Calibri" w:eastAsia="Times" w:hAnsi="Calibri" w:cs="Arial"/>
                <w:color w:val="000000" w:themeColor="text1"/>
                <w:kern w:val="24"/>
              </w:rPr>
            </w:pPr>
            <w:r w:rsidRPr="00A020A0">
              <w:rPr>
                <w:rFonts w:ascii="Calibri" w:eastAsia="Times" w:hAnsi="Calibri" w:cs="Arial"/>
                <w:color w:val="000000" w:themeColor="text1"/>
                <w:kern w:val="24"/>
              </w:rPr>
              <w:t>North Atlantic</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4C1F7C0E"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$143</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6EE6F82E"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$113</w:t>
            </w:r>
          </w:p>
        </w:tc>
        <w:tc>
          <w:tcPr>
            <w:tcW w:w="1454"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2DCBE769"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-21%</w:t>
            </w:r>
          </w:p>
        </w:tc>
      </w:tr>
      <w:tr w:rsidR="00A020A0" w:rsidRPr="00A020A0" w14:paraId="74328A03" w14:textId="77777777" w:rsidTr="00E235EE">
        <w:trPr>
          <w:trHeight w:val="288"/>
        </w:trPr>
        <w:tc>
          <w:tcPr>
            <w:tcW w:w="1934"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085C2BFC" w14:textId="77777777" w:rsidR="00A020A0" w:rsidRPr="00A020A0" w:rsidRDefault="00A020A0" w:rsidP="00A020A0">
            <w:pPr>
              <w:spacing w:before="20" w:after="20"/>
              <w:ind w:left="86" w:right="144"/>
              <w:rPr>
                <w:rFonts w:ascii="Calibri" w:eastAsia="Times" w:hAnsi="Calibri" w:cs="Arial"/>
                <w:color w:val="000000" w:themeColor="text1"/>
                <w:kern w:val="24"/>
              </w:rPr>
            </w:pPr>
            <w:r w:rsidRPr="00A020A0">
              <w:rPr>
                <w:rFonts w:ascii="Calibri" w:eastAsia="Times" w:hAnsi="Calibri" w:cs="Arial"/>
                <w:color w:val="000000" w:themeColor="text1"/>
                <w:kern w:val="24"/>
              </w:rPr>
              <w:t>South Atlantic</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531011FA"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$166</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2A8E93D5"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$156</w:t>
            </w:r>
          </w:p>
        </w:tc>
        <w:tc>
          <w:tcPr>
            <w:tcW w:w="1454"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3ACA0BC6"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-6%</w:t>
            </w:r>
          </w:p>
        </w:tc>
      </w:tr>
      <w:tr w:rsidR="00A020A0" w:rsidRPr="00A020A0" w14:paraId="18839694" w14:textId="77777777" w:rsidTr="00E235EE">
        <w:trPr>
          <w:trHeight w:val="288"/>
        </w:trPr>
        <w:tc>
          <w:tcPr>
            <w:tcW w:w="1934"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51E5822F" w14:textId="77777777" w:rsidR="00A020A0" w:rsidRPr="00A020A0" w:rsidRDefault="00A020A0" w:rsidP="00A020A0">
            <w:pPr>
              <w:spacing w:before="20" w:after="20"/>
              <w:ind w:left="86" w:right="144"/>
              <w:rPr>
                <w:rFonts w:ascii="Calibri" w:eastAsia="Times" w:hAnsi="Calibri" w:cs="Arial"/>
                <w:color w:val="000000" w:themeColor="text1"/>
                <w:kern w:val="24"/>
              </w:rPr>
            </w:pPr>
            <w:r w:rsidRPr="00A020A0">
              <w:rPr>
                <w:rFonts w:ascii="Calibri" w:eastAsia="Times" w:hAnsi="Calibri" w:cs="Arial"/>
                <w:color w:val="000000" w:themeColor="text1"/>
                <w:kern w:val="24"/>
              </w:rPr>
              <w:t>Gulf</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6CC030E5"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$196</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2420A9A5"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$190</w:t>
            </w:r>
          </w:p>
        </w:tc>
        <w:tc>
          <w:tcPr>
            <w:tcW w:w="1454"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1418DA83"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-3%</w:t>
            </w:r>
          </w:p>
        </w:tc>
      </w:tr>
      <w:tr w:rsidR="00A020A0" w:rsidRPr="00A020A0" w14:paraId="4F91753F" w14:textId="77777777" w:rsidTr="00E235EE">
        <w:trPr>
          <w:trHeight w:val="288"/>
        </w:trPr>
        <w:tc>
          <w:tcPr>
            <w:tcW w:w="1934"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0B346E15" w14:textId="77777777" w:rsidR="00A020A0" w:rsidRPr="00A020A0" w:rsidRDefault="00A020A0" w:rsidP="00A020A0">
            <w:pPr>
              <w:spacing w:before="20" w:after="20"/>
              <w:ind w:left="86" w:right="144"/>
              <w:rPr>
                <w:rFonts w:ascii="Calibri" w:eastAsia="Times" w:hAnsi="Calibri" w:cs="Arial"/>
                <w:color w:val="000000" w:themeColor="text1"/>
                <w:kern w:val="24"/>
              </w:rPr>
            </w:pPr>
            <w:r w:rsidRPr="00A020A0">
              <w:rPr>
                <w:rFonts w:ascii="Calibri" w:eastAsia="Times" w:hAnsi="Calibri" w:cs="Arial"/>
                <w:color w:val="000000" w:themeColor="text1"/>
                <w:kern w:val="24"/>
              </w:rPr>
              <w:t>Pacific</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756FC596"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$39</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5BFC00E7"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$42</w:t>
            </w:r>
          </w:p>
        </w:tc>
        <w:tc>
          <w:tcPr>
            <w:tcW w:w="1454"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6DBB9008" w14:textId="77777777" w:rsidR="00A020A0" w:rsidRPr="00A020A0" w:rsidRDefault="00A020A0" w:rsidP="00A020A0">
            <w:pPr>
              <w:spacing w:before="20" w:after="20"/>
              <w:ind w:left="86" w:right="144"/>
              <w:jc w:val="right"/>
              <w:rPr>
                <w:rFonts w:ascii="Calibri" w:eastAsia="Times" w:hAnsi="Calibri" w:cs="Arial"/>
                <w:color w:val="000000" w:themeColor="text1"/>
                <w:kern w:val="24"/>
              </w:rPr>
            </w:pPr>
            <w:r w:rsidRPr="00A020A0">
              <w:rPr>
                <w:rFonts w:ascii="Calibri" w:eastAsia="Times" w:hAnsi="Calibri" w:cs="Arial"/>
                <w:color w:val="000000" w:themeColor="text1"/>
                <w:kern w:val="24"/>
              </w:rPr>
              <w:t>6%</w:t>
            </w:r>
          </w:p>
        </w:tc>
      </w:tr>
      <w:tr w:rsidR="00A020A0" w:rsidRPr="00A020A0" w14:paraId="57BE3AF9" w14:textId="77777777" w:rsidTr="00E235EE">
        <w:trPr>
          <w:trHeight w:val="288"/>
        </w:trPr>
        <w:tc>
          <w:tcPr>
            <w:tcW w:w="1934"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1A4BD2EC" w14:textId="77777777" w:rsidR="00A020A0" w:rsidRPr="00A020A0" w:rsidRDefault="00A020A0" w:rsidP="00A020A0">
            <w:pPr>
              <w:spacing w:before="20" w:after="20"/>
              <w:ind w:left="86" w:right="144"/>
              <w:rPr>
                <w:rFonts w:ascii="Calibri" w:eastAsia="Times" w:hAnsi="Calibri" w:cs="Arial"/>
                <w:b/>
                <w:color w:val="000000" w:themeColor="text1"/>
                <w:kern w:val="24"/>
              </w:rPr>
            </w:pPr>
            <w:r w:rsidRPr="00A020A0">
              <w:rPr>
                <w:rFonts w:ascii="Calibri" w:eastAsia="Times" w:hAnsi="Calibri" w:cs="Arial"/>
                <w:b/>
                <w:color w:val="000000" w:themeColor="text1"/>
                <w:kern w:val="24"/>
              </w:rPr>
              <w:t>Total</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69E763D3" w14:textId="77777777" w:rsidR="00A020A0" w:rsidRPr="00A020A0" w:rsidRDefault="00A020A0" w:rsidP="00A020A0">
            <w:pPr>
              <w:spacing w:before="20" w:after="20"/>
              <w:ind w:left="86" w:right="144"/>
              <w:jc w:val="right"/>
              <w:rPr>
                <w:rFonts w:ascii="Calibri" w:eastAsia="Times" w:hAnsi="Calibri" w:cs="Arial"/>
                <w:b/>
                <w:color w:val="000000" w:themeColor="text1"/>
                <w:kern w:val="24"/>
              </w:rPr>
            </w:pPr>
            <w:r w:rsidRPr="00A020A0">
              <w:rPr>
                <w:rFonts w:ascii="Calibri" w:eastAsia="Times" w:hAnsi="Calibri" w:cs="Arial"/>
                <w:b/>
                <w:color w:val="000000" w:themeColor="text1"/>
                <w:kern w:val="24"/>
              </w:rPr>
              <w:t>$545</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6CED896A" w14:textId="77777777" w:rsidR="00A020A0" w:rsidRPr="00A020A0" w:rsidRDefault="00A020A0" w:rsidP="00A020A0">
            <w:pPr>
              <w:spacing w:before="20" w:after="20"/>
              <w:ind w:left="86" w:right="144"/>
              <w:jc w:val="right"/>
              <w:rPr>
                <w:rFonts w:ascii="Calibri" w:eastAsia="Times" w:hAnsi="Calibri" w:cs="Arial"/>
                <w:b/>
                <w:color w:val="000000" w:themeColor="text1"/>
                <w:kern w:val="24"/>
              </w:rPr>
            </w:pPr>
            <w:r w:rsidRPr="00A020A0">
              <w:rPr>
                <w:rFonts w:ascii="Calibri" w:eastAsia="Times" w:hAnsi="Calibri" w:cs="Arial"/>
                <w:b/>
                <w:color w:val="000000" w:themeColor="text1"/>
                <w:kern w:val="24"/>
              </w:rPr>
              <w:t>$500</w:t>
            </w:r>
          </w:p>
        </w:tc>
        <w:tc>
          <w:tcPr>
            <w:tcW w:w="1454" w:type="dxa"/>
            <w:tcBorders>
              <w:top w:val="single" w:sz="4" w:space="0" w:color="000000"/>
              <w:left w:val="single" w:sz="4" w:space="0" w:color="000000"/>
              <w:bottom w:val="single" w:sz="4" w:space="0" w:color="000000"/>
              <w:right w:val="single" w:sz="4" w:space="0" w:color="000000"/>
            </w:tcBorders>
            <w:shd w:val="clear" w:color="auto" w:fill="auto"/>
            <w:tcMar>
              <w:top w:w="21" w:type="dxa"/>
              <w:left w:w="21" w:type="dxa"/>
              <w:bottom w:w="0" w:type="dxa"/>
              <w:right w:w="21" w:type="dxa"/>
            </w:tcMar>
            <w:vAlign w:val="bottom"/>
            <w:hideMark/>
          </w:tcPr>
          <w:p w14:paraId="6FBD99B2" w14:textId="77777777" w:rsidR="00A020A0" w:rsidRPr="00A020A0" w:rsidRDefault="00A020A0" w:rsidP="00A020A0">
            <w:pPr>
              <w:spacing w:before="20" w:after="20"/>
              <w:ind w:left="86" w:right="144"/>
              <w:jc w:val="right"/>
              <w:rPr>
                <w:rFonts w:ascii="Calibri" w:eastAsia="Times" w:hAnsi="Calibri" w:cs="Arial"/>
                <w:b/>
                <w:color w:val="000000" w:themeColor="text1"/>
                <w:kern w:val="24"/>
              </w:rPr>
            </w:pPr>
            <w:r w:rsidRPr="00A020A0">
              <w:rPr>
                <w:rFonts w:ascii="Calibri" w:eastAsia="Times" w:hAnsi="Calibri" w:cs="Arial"/>
                <w:b/>
                <w:color w:val="000000" w:themeColor="text1"/>
                <w:kern w:val="24"/>
              </w:rPr>
              <w:t>-8%</w:t>
            </w:r>
          </w:p>
        </w:tc>
      </w:tr>
    </w:tbl>
    <w:p w14:paraId="37E93F4B" w14:textId="77777777" w:rsidR="00EA0C80" w:rsidRDefault="00EA0C80" w:rsidP="001913E9">
      <w:pPr>
        <w:pStyle w:val="BodyTextIndent"/>
        <w:spacing w:after="0"/>
        <w:ind w:firstLine="0"/>
        <w:rPr>
          <w:sz w:val="22"/>
        </w:rPr>
      </w:pPr>
    </w:p>
    <w:p w14:paraId="5893C3C4" w14:textId="0ACC28D2" w:rsidR="00464D89" w:rsidRDefault="00464D89">
      <w:pPr>
        <w:rPr>
          <w:sz w:val="22"/>
        </w:rPr>
      </w:pPr>
    </w:p>
    <w:p w14:paraId="580A98C3" w14:textId="1196930B" w:rsidR="00464D89" w:rsidRDefault="00464D89" w:rsidP="001913E9">
      <w:pPr>
        <w:pStyle w:val="BodyTextIndent"/>
        <w:spacing w:after="0"/>
        <w:ind w:firstLine="0"/>
        <w:rPr>
          <w:sz w:val="22"/>
        </w:rPr>
      </w:pPr>
      <w:r w:rsidRPr="00555B75">
        <w:rPr>
          <w:b/>
          <w:sz w:val="22"/>
        </w:rPr>
        <w:t>References</w:t>
      </w:r>
    </w:p>
    <w:p w14:paraId="270F64D5" w14:textId="77777777" w:rsidR="00555B75" w:rsidRDefault="00555B75" w:rsidP="001913E9">
      <w:pPr>
        <w:pStyle w:val="BodyTextIndent"/>
        <w:spacing w:after="0"/>
        <w:ind w:firstLine="0"/>
        <w:rPr>
          <w:sz w:val="22"/>
        </w:rPr>
      </w:pPr>
    </w:p>
    <w:p w14:paraId="4E4D6B26" w14:textId="77777777" w:rsidR="006A0952" w:rsidRDefault="006A0952" w:rsidP="006A0952">
      <w:pPr>
        <w:pStyle w:val="BodyTextIndent"/>
        <w:ind w:firstLine="0"/>
        <w:rPr>
          <w:sz w:val="22"/>
        </w:rPr>
      </w:pPr>
      <w:proofErr w:type="spellStart"/>
      <w:r w:rsidRPr="00CA3F9E">
        <w:rPr>
          <w:sz w:val="22"/>
        </w:rPr>
        <w:t>Bakkensen</w:t>
      </w:r>
      <w:proofErr w:type="spellEnd"/>
      <w:r w:rsidRPr="00CA3F9E">
        <w:rPr>
          <w:sz w:val="22"/>
        </w:rPr>
        <w:t>, L. A., &amp; Mendelsohn, R. O. 2016. Risk and adaptation: evidence from global hurricane damages and fatalities. Journal of the Association of Environmental and Resource Economists, 3(3), 555-587.</w:t>
      </w:r>
    </w:p>
    <w:p w14:paraId="36D72822" w14:textId="77777777" w:rsidR="006A0952" w:rsidRPr="00CA3F9E" w:rsidRDefault="006A0952" w:rsidP="006A0952">
      <w:pPr>
        <w:pStyle w:val="BodyTextIndent"/>
        <w:ind w:firstLine="0"/>
        <w:rPr>
          <w:sz w:val="22"/>
        </w:rPr>
      </w:pPr>
      <w:proofErr w:type="spellStart"/>
      <w:r w:rsidRPr="00CA3F9E">
        <w:rPr>
          <w:sz w:val="22"/>
        </w:rPr>
        <w:t>Bubeck</w:t>
      </w:r>
      <w:proofErr w:type="spellEnd"/>
      <w:r w:rsidRPr="00CA3F9E">
        <w:rPr>
          <w:sz w:val="22"/>
        </w:rPr>
        <w:t xml:space="preserve">, Philip, </w:t>
      </w:r>
      <w:proofErr w:type="spellStart"/>
      <w:r w:rsidRPr="00CA3F9E">
        <w:rPr>
          <w:sz w:val="22"/>
        </w:rPr>
        <w:t>Wouter</w:t>
      </w:r>
      <w:proofErr w:type="spellEnd"/>
      <w:r w:rsidRPr="00CA3F9E">
        <w:rPr>
          <w:sz w:val="22"/>
        </w:rPr>
        <w:t xml:space="preserve"> JW </w:t>
      </w:r>
      <w:proofErr w:type="spellStart"/>
      <w:r w:rsidRPr="00CA3F9E">
        <w:rPr>
          <w:sz w:val="22"/>
        </w:rPr>
        <w:t>Botzen</w:t>
      </w:r>
      <w:proofErr w:type="spellEnd"/>
      <w:r w:rsidRPr="00CA3F9E">
        <w:rPr>
          <w:sz w:val="22"/>
        </w:rPr>
        <w:t xml:space="preserve">, and Jeroen CJH </w:t>
      </w:r>
      <w:proofErr w:type="spellStart"/>
      <w:r w:rsidRPr="00CA3F9E">
        <w:rPr>
          <w:sz w:val="22"/>
        </w:rPr>
        <w:t>Aerts</w:t>
      </w:r>
      <w:proofErr w:type="spellEnd"/>
      <w:r w:rsidRPr="00CA3F9E">
        <w:rPr>
          <w:sz w:val="22"/>
        </w:rPr>
        <w:t xml:space="preserve">. </w:t>
      </w:r>
      <w:r>
        <w:rPr>
          <w:sz w:val="22"/>
        </w:rPr>
        <w:t xml:space="preserve">2012.  </w:t>
      </w:r>
      <w:r w:rsidRPr="00CA3F9E">
        <w:rPr>
          <w:sz w:val="22"/>
        </w:rPr>
        <w:t xml:space="preserve">"A review of risk perceptions and other factors that influence flood mitigation behavior." Risk </w:t>
      </w:r>
      <w:r>
        <w:rPr>
          <w:sz w:val="22"/>
        </w:rPr>
        <w:t>A</w:t>
      </w:r>
      <w:r w:rsidRPr="00CA3F9E">
        <w:rPr>
          <w:sz w:val="22"/>
        </w:rPr>
        <w:t>nalysis 32</w:t>
      </w:r>
      <w:r>
        <w:rPr>
          <w:sz w:val="22"/>
        </w:rPr>
        <w:t xml:space="preserve">(9): </w:t>
      </w:r>
      <w:r w:rsidRPr="00CA3F9E">
        <w:rPr>
          <w:sz w:val="22"/>
        </w:rPr>
        <w:t>91481-1495.</w:t>
      </w:r>
    </w:p>
    <w:p w14:paraId="7A9A3D73" w14:textId="77777777" w:rsidR="006A0952" w:rsidRPr="00CA3F9E" w:rsidRDefault="006A0952" w:rsidP="006A0952">
      <w:pPr>
        <w:pStyle w:val="BodyTextIndent"/>
        <w:ind w:firstLine="0"/>
        <w:rPr>
          <w:sz w:val="22"/>
        </w:rPr>
      </w:pPr>
      <w:r w:rsidRPr="00CA3F9E">
        <w:rPr>
          <w:sz w:val="22"/>
        </w:rPr>
        <w:t>Emanuel, K. A. 2013. Downscaling CMIP5 climate models shows increased tropical cyclone activity over the 21st century. Proceedings of the National Academy of Sciences, 110, 12219-12224.</w:t>
      </w:r>
    </w:p>
    <w:p w14:paraId="60EAF9A3" w14:textId="77777777" w:rsidR="006A0952" w:rsidRDefault="006A0952" w:rsidP="006A0952">
      <w:pPr>
        <w:pStyle w:val="BodyTextIndent"/>
        <w:ind w:firstLine="0"/>
        <w:rPr>
          <w:sz w:val="22"/>
        </w:rPr>
      </w:pPr>
      <w:r w:rsidRPr="00BB0776">
        <w:rPr>
          <w:sz w:val="22"/>
        </w:rPr>
        <w:t>INGAA Foundation, Inc. March 18, 2014. “North American Midstream Infrastructure through 2035: Capitalizing on Our Energy Abundance.” An INGAA Foundation Report, Prepared by ICF International.</w:t>
      </w:r>
    </w:p>
    <w:p w14:paraId="22B1038E" w14:textId="77777777" w:rsidR="006A0952" w:rsidRPr="00CA3F9E" w:rsidRDefault="006A0952" w:rsidP="006A0952">
      <w:pPr>
        <w:pStyle w:val="BodyTextIndent"/>
        <w:ind w:firstLine="0"/>
        <w:rPr>
          <w:sz w:val="22"/>
        </w:rPr>
      </w:pPr>
      <w:r w:rsidRPr="00CA3F9E">
        <w:rPr>
          <w:sz w:val="22"/>
        </w:rPr>
        <w:t>Kopp, R.E., R.M. Horton, C.M. Little, J.X. Mitrovica, M. Oppenheimer, D.J. Rasmussen, B.H. Strauss, and C. Tebaldi</w:t>
      </w:r>
      <w:r>
        <w:rPr>
          <w:sz w:val="22"/>
        </w:rPr>
        <w:t xml:space="preserve">.  </w:t>
      </w:r>
      <w:r w:rsidRPr="00CA3F9E">
        <w:rPr>
          <w:sz w:val="22"/>
        </w:rPr>
        <w:t>2014</w:t>
      </w:r>
      <w:r>
        <w:rPr>
          <w:sz w:val="22"/>
        </w:rPr>
        <w:t xml:space="preserve">.  </w:t>
      </w:r>
      <w:r w:rsidRPr="00CA3F9E">
        <w:rPr>
          <w:sz w:val="22"/>
        </w:rPr>
        <w:t>Probabilistic 21st and 22nd century sea-level projections at a global network of tide-gauge sites. Earth's Future, 2, no. 8, 383-406, doi:10.1002/2014EF000239.</w:t>
      </w:r>
    </w:p>
    <w:p w14:paraId="7BE21CD9" w14:textId="77777777" w:rsidR="006A0952" w:rsidRDefault="006A0952" w:rsidP="006A0952">
      <w:pPr>
        <w:pStyle w:val="BodyTextIndent"/>
        <w:ind w:firstLine="0"/>
        <w:rPr>
          <w:sz w:val="22"/>
        </w:rPr>
      </w:pPr>
      <w:r w:rsidRPr="00CA3F9E">
        <w:rPr>
          <w:sz w:val="22"/>
        </w:rPr>
        <w:lastRenderedPageBreak/>
        <w:t xml:space="preserve">Kopp, R.E., R.M. </w:t>
      </w:r>
      <w:proofErr w:type="spellStart"/>
      <w:r w:rsidRPr="00CA3F9E">
        <w:rPr>
          <w:sz w:val="22"/>
        </w:rPr>
        <w:t>DeConto</w:t>
      </w:r>
      <w:proofErr w:type="spellEnd"/>
      <w:r w:rsidRPr="00CA3F9E">
        <w:rPr>
          <w:sz w:val="22"/>
        </w:rPr>
        <w:t xml:space="preserve">, D.A. Bader, C.C. Hay, R.M. Horton, S. </w:t>
      </w:r>
      <w:proofErr w:type="spellStart"/>
      <w:r w:rsidRPr="00CA3F9E">
        <w:rPr>
          <w:sz w:val="22"/>
        </w:rPr>
        <w:t>Kulp</w:t>
      </w:r>
      <w:proofErr w:type="spellEnd"/>
      <w:r w:rsidRPr="00CA3F9E">
        <w:rPr>
          <w:sz w:val="22"/>
        </w:rPr>
        <w:t>, M. Oppenheimer, D. Pollard, and B.H. Strauss</w:t>
      </w:r>
      <w:r>
        <w:rPr>
          <w:sz w:val="22"/>
        </w:rPr>
        <w:t xml:space="preserve">. </w:t>
      </w:r>
      <w:r w:rsidRPr="00CA3F9E">
        <w:rPr>
          <w:sz w:val="22"/>
        </w:rPr>
        <w:t>2017</w:t>
      </w:r>
      <w:r>
        <w:rPr>
          <w:sz w:val="22"/>
        </w:rPr>
        <w:t xml:space="preserve">. </w:t>
      </w:r>
      <w:r w:rsidRPr="00CA3F9E">
        <w:rPr>
          <w:sz w:val="22"/>
        </w:rPr>
        <w:t xml:space="preserve"> Evolving understanding of Antarctic ice-sheet physics and ambiguity in probabilistic sea-level projections. Earth's Future, 5, no. 12, 1217-1233, doi:10.1002/2017EF000663.</w:t>
      </w:r>
    </w:p>
    <w:p w14:paraId="57055498" w14:textId="49BB1274" w:rsidR="00555B75" w:rsidRDefault="00555B75" w:rsidP="00CA3F9E">
      <w:pPr>
        <w:pStyle w:val="BodyTextIndent"/>
        <w:spacing w:after="0"/>
        <w:ind w:firstLine="0"/>
        <w:rPr>
          <w:sz w:val="22"/>
        </w:rPr>
      </w:pPr>
      <w:r w:rsidRPr="00555B75">
        <w:rPr>
          <w:sz w:val="22"/>
        </w:rPr>
        <w:t>Neumann JE, Hudgens DE, Herter J, Martinich J</w:t>
      </w:r>
      <w:r w:rsidR="00717B82">
        <w:rPr>
          <w:sz w:val="22"/>
        </w:rPr>
        <w:t xml:space="preserve">. </w:t>
      </w:r>
      <w:r w:rsidRPr="00555B75">
        <w:rPr>
          <w:sz w:val="22"/>
        </w:rPr>
        <w:t>2010a</w:t>
      </w:r>
      <w:r w:rsidR="00717B82">
        <w:rPr>
          <w:sz w:val="22"/>
        </w:rPr>
        <w:t>.</w:t>
      </w:r>
      <w:r w:rsidRPr="00555B75">
        <w:rPr>
          <w:sz w:val="22"/>
        </w:rPr>
        <w:t xml:space="preserve"> The Economics of Adaptation along Developed Coastlines. Wiley </w:t>
      </w:r>
      <w:proofErr w:type="spellStart"/>
      <w:r w:rsidRPr="00555B75">
        <w:rPr>
          <w:sz w:val="22"/>
        </w:rPr>
        <w:t>Interdiscip</w:t>
      </w:r>
      <w:proofErr w:type="spellEnd"/>
      <w:r w:rsidRPr="00555B75">
        <w:rPr>
          <w:sz w:val="22"/>
        </w:rPr>
        <w:t xml:space="preserve"> Rev </w:t>
      </w:r>
      <w:proofErr w:type="spellStart"/>
      <w:r w:rsidRPr="00555B75">
        <w:rPr>
          <w:sz w:val="22"/>
        </w:rPr>
        <w:t>Clim</w:t>
      </w:r>
      <w:proofErr w:type="spellEnd"/>
      <w:r w:rsidRPr="00555B75">
        <w:rPr>
          <w:sz w:val="22"/>
        </w:rPr>
        <w:t xml:space="preserve"> Chang 2(1):89–98</w:t>
      </w:r>
    </w:p>
    <w:p w14:paraId="000694FF" w14:textId="77777777" w:rsidR="00CA3F9E" w:rsidRPr="00555B75" w:rsidRDefault="00CA3F9E" w:rsidP="00CA3F9E">
      <w:pPr>
        <w:pStyle w:val="BodyTextIndent"/>
        <w:spacing w:after="0"/>
        <w:ind w:firstLine="0"/>
        <w:rPr>
          <w:sz w:val="22"/>
        </w:rPr>
      </w:pPr>
    </w:p>
    <w:p w14:paraId="028B1FAB" w14:textId="347D12DB" w:rsidR="00555B75" w:rsidRDefault="00555B75" w:rsidP="00CA3F9E">
      <w:pPr>
        <w:pStyle w:val="BodyTextIndent"/>
        <w:spacing w:after="0"/>
        <w:ind w:firstLine="0"/>
        <w:rPr>
          <w:sz w:val="22"/>
        </w:rPr>
      </w:pPr>
      <w:r w:rsidRPr="00555B75">
        <w:rPr>
          <w:sz w:val="22"/>
        </w:rPr>
        <w:t>Neumann, JE, Hud</w:t>
      </w:r>
      <w:r w:rsidR="00717B82">
        <w:rPr>
          <w:sz w:val="22"/>
        </w:rPr>
        <w:t xml:space="preserve">gens DE, Herter J, Martinich J. </w:t>
      </w:r>
      <w:r w:rsidRPr="00555B75">
        <w:rPr>
          <w:sz w:val="22"/>
        </w:rPr>
        <w:t>2010b</w:t>
      </w:r>
      <w:r w:rsidR="00717B82">
        <w:rPr>
          <w:sz w:val="22"/>
        </w:rPr>
        <w:t>.</w:t>
      </w:r>
      <w:r w:rsidRPr="00555B75">
        <w:rPr>
          <w:sz w:val="22"/>
        </w:rPr>
        <w:t xml:space="preserve"> Assessing Sea-Level Rise Impacts: A GIS-Based Framework and Application to Coastal New Jersey. Coastal Management, 38, 433-455.</w:t>
      </w:r>
    </w:p>
    <w:p w14:paraId="582A7B2A" w14:textId="77777777" w:rsidR="00CA3F9E" w:rsidRPr="00555B75" w:rsidRDefault="00CA3F9E" w:rsidP="00CA3F9E">
      <w:pPr>
        <w:pStyle w:val="BodyTextIndent"/>
        <w:spacing w:after="0"/>
        <w:ind w:firstLine="0"/>
        <w:rPr>
          <w:sz w:val="22"/>
        </w:rPr>
      </w:pPr>
    </w:p>
    <w:p w14:paraId="2E4A8B6F" w14:textId="445B2418" w:rsidR="00555B75" w:rsidRDefault="00555B75" w:rsidP="00CA3F9E">
      <w:pPr>
        <w:pStyle w:val="BodyTextIndent"/>
        <w:spacing w:after="0"/>
        <w:ind w:firstLine="0"/>
        <w:rPr>
          <w:sz w:val="22"/>
        </w:rPr>
      </w:pPr>
      <w:r w:rsidRPr="00555B75">
        <w:rPr>
          <w:sz w:val="22"/>
        </w:rPr>
        <w:t xml:space="preserve">Neumann, J., K. Emanuel, S. </w:t>
      </w:r>
      <w:proofErr w:type="spellStart"/>
      <w:r w:rsidRPr="00555B75">
        <w:rPr>
          <w:sz w:val="22"/>
        </w:rPr>
        <w:t>Ravela</w:t>
      </w:r>
      <w:proofErr w:type="spellEnd"/>
      <w:r w:rsidRPr="00555B75">
        <w:rPr>
          <w:sz w:val="22"/>
        </w:rPr>
        <w:t>, L. Ludwig, P. Kirshen, K. Bosma, and J. Martinich</w:t>
      </w:r>
      <w:r w:rsidR="00717B82">
        <w:rPr>
          <w:sz w:val="22"/>
        </w:rPr>
        <w:t>.</w:t>
      </w:r>
      <w:r w:rsidRPr="00555B75">
        <w:rPr>
          <w:sz w:val="22"/>
        </w:rPr>
        <w:t xml:space="preserve"> 2015</w:t>
      </w:r>
      <w:r w:rsidR="00717B82">
        <w:rPr>
          <w:sz w:val="22"/>
        </w:rPr>
        <w:t>.</w:t>
      </w:r>
      <w:r w:rsidRPr="00555B75">
        <w:rPr>
          <w:sz w:val="22"/>
        </w:rPr>
        <w:t xml:space="preserve"> Joint Effects of Storm Surge and Sea-level Rise on U.S. Coasts. Climatic Change, 129, 337-349, </w:t>
      </w:r>
      <w:proofErr w:type="spellStart"/>
      <w:r w:rsidRPr="00555B75">
        <w:rPr>
          <w:sz w:val="22"/>
        </w:rPr>
        <w:t>doi</w:t>
      </w:r>
      <w:proofErr w:type="spellEnd"/>
      <w:r w:rsidRPr="00555B75">
        <w:rPr>
          <w:sz w:val="22"/>
        </w:rPr>
        <w:t>: 10.1007/s10584-014-1304-z.</w:t>
      </w:r>
    </w:p>
    <w:p w14:paraId="2490627D" w14:textId="77777777" w:rsidR="00CA3F9E" w:rsidRPr="00555B75" w:rsidRDefault="00CA3F9E" w:rsidP="00CA3F9E">
      <w:pPr>
        <w:pStyle w:val="BodyTextIndent"/>
        <w:spacing w:after="0"/>
        <w:ind w:firstLine="0"/>
        <w:rPr>
          <w:sz w:val="22"/>
        </w:rPr>
      </w:pPr>
    </w:p>
    <w:p w14:paraId="391F745B" w14:textId="77777777" w:rsidR="006A0952" w:rsidRDefault="006A0952" w:rsidP="006A0952">
      <w:pPr>
        <w:pStyle w:val="BodyTextIndent"/>
        <w:ind w:firstLine="0"/>
        <w:rPr>
          <w:sz w:val="22"/>
        </w:rPr>
      </w:pPr>
      <w:r w:rsidRPr="00CA3F9E">
        <w:rPr>
          <w:sz w:val="22"/>
        </w:rPr>
        <w:t>NOAA (National Oceanic and Atmospheric Administration). 2018. NOAA Tides and Currents - Water Levels. Available at https://tidesandcurrents.noaa.gov/stations.html?type=Water+Levels. Accessed June 2018.</w:t>
      </w:r>
    </w:p>
    <w:p w14:paraId="480167FA" w14:textId="77777777" w:rsidR="006A0952" w:rsidRPr="00CA3F9E" w:rsidRDefault="006A0952" w:rsidP="006A0952">
      <w:pPr>
        <w:pStyle w:val="BodyTextIndent"/>
        <w:ind w:firstLine="0"/>
        <w:rPr>
          <w:sz w:val="22"/>
        </w:rPr>
      </w:pPr>
      <w:r w:rsidRPr="00CA3F9E">
        <w:rPr>
          <w:sz w:val="22"/>
        </w:rPr>
        <w:t xml:space="preserve">Poussin, J. K., </w:t>
      </w:r>
      <w:proofErr w:type="spellStart"/>
      <w:r w:rsidRPr="00CA3F9E">
        <w:rPr>
          <w:sz w:val="22"/>
        </w:rPr>
        <w:t>Botzen</w:t>
      </w:r>
      <w:proofErr w:type="spellEnd"/>
      <w:r w:rsidRPr="00CA3F9E">
        <w:rPr>
          <w:sz w:val="22"/>
        </w:rPr>
        <w:t xml:space="preserve">, W. W., &amp; </w:t>
      </w:r>
      <w:proofErr w:type="spellStart"/>
      <w:r w:rsidRPr="00CA3F9E">
        <w:rPr>
          <w:sz w:val="22"/>
        </w:rPr>
        <w:t>Aerts</w:t>
      </w:r>
      <w:proofErr w:type="spellEnd"/>
      <w:r w:rsidRPr="00CA3F9E">
        <w:rPr>
          <w:sz w:val="22"/>
        </w:rPr>
        <w:t xml:space="preserve">, J. C. 2014. Factors of influence on flood damage mitigation </w:t>
      </w:r>
      <w:proofErr w:type="spellStart"/>
      <w:r w:rsidRPr="00CA3F9E">
        <w:rPr>
          <w:sz w:val="22"/>
        </w:rPr>
        <w:t>behaviour</w:t>
      </w:r>
      <w:proofErr w:type="spellEnd"/>
      <w:r w:rsidRPr="00CA3F9E">
        <w:rPr>
          <w:sz w:val="22"/>
        </w:rPr>
        <w:t xml:space="preserve"> by households. Environmental Science &amp; Policy, 40</w:t>
      </w:r>
      <w:r>
        <w:rPr>
          <w:sz w:val="22"/>
        </w:rPr>
        <w:t>:</w:t>
      </w:r>
      <w:r w:rsidRPr="00CA3F9E">
        <w:rPr>
          <w:sz w:val="22"/>
        </w:rPr>
        <w:t>69-77.</w:t>
      </w:r>
    </w:p>
    <w:p w14:paraId="7AC949F4" w14:textId="77777777" w:rsidR="006A0952" w:rsidRPr="00CA3F9E" w:rsidRDefault="006A0952" w:rsidP="006A0952">
      <w:pPr>
        <w:pStyle w:val="BodyTextIndent"/>
        <w:ind w:firstLine="0"/>
        <w:rPr>
          <w:sz w:val="22"/>
        </w:rPr>
      </w:pPr>
      <w:r w:rsidRPr="00CA3F9E">
        <w:rPr>
          <w:sz w:val="22"/>
        </w:rPr>
        <w:t xml:space="preserve">Sweet, W.V., R. Horton, R.E. Kopp, A.N. </w:t>
      </w:r>
      <w:proofErr w:type="spellStart"/>
      <w:r w:rsidRPr="00CA3F9E">
        <w:rPr>
          <w:sz w:val="22"/>
        </w:rPr>
        <w:t>LeGrande</w:t>
      </w:r>
      <w:proofErr w:type="spellEnd"/>
      <w:r w:rsidRPr="00CA3F9E">
        <w:rPr>
          <w:sz w:val="22"/>
        </w:rPr>
        <w:t xml:space="preserve">, and A. </w:t>
      </w:r>
      <w:proofErr w:type="spellStart"/>
      <w:r w:rsidRPr="00CA3F9E">
        <w:rPr>
          <w:sz w:val="22"/>
        </w:rPr>
        <w:t>Romanou</w:t>
      </w:r>
      <w:proofErr w:type="spellEnd"/>
      <w:r>
        <w:rPr>
          <w:sz w:val="22"/>
        </w:rPr>
        <w:t xml:space="preserve">.  </w:t>
      </w:r>
      <w:r w:rsidRPr="00CA3F9E">
        <w:rPr>
          <w:sz w:val="22"/>
        </w:rPr>
        <w:t>2017</w:t>
      </w:r>
      <w:r>
        <w:rPr>
          <w:sz w:val="22"/>
        </w:rPr>
        <w:t xml:space="preserve">. </w:t>
      </w:r>
      <w:r w:rsidRPr="00CA3F9E">
        <w:rPr>
          <w:sz w:val="22"/>
        </w:rPr>
        <w:t xml:space="preserve"> Sea level rise. In: Climate Science Special Report: Fourth National Climate Assessment, Volume I [</w:t>
      </w:r>
      <w:proofErr w:type="spellStart"/>
      <w:r w:rsidRPr="00CA3F9E">
        <w:rPr>
          <w:sz w:val="22"/>
        </w:rPr>
        <w:t>Wuebbles</w:t>
      </w:r>
      <w:proofErr w:type="spellEnd"/>
      <w:r w:rsidRPr="00CA3F9E">
        <w:rPr>
          <w:sz w:val="22"/>
        </w:rPr>
        <w:t xml:space="preserve">, D.J., D.W. Fahey, K.A. Hibbard, D.J. Dokken, B.C. Stewart, and T.K. </w:t>
      </w:r>
      <w:proofErr w:type="spellStart"/>
      <w:r w:rsidRPr="00CA3F9E">
        <w:rPr>
          <w:sz w:val="22"/>
        </w:rPr>
        <w:t>Maycock</w:t>
      </w:r>
      <w:proofErr w:type="spellEnd"/>
      <w:r w:rsidRPr="00CA3F9E">
        <w:rPr>
          <w:sz w:val="22"/>
        </w:rPr>
        <w:t xml:space="preserve"> (eds.)]. U.S. Global Change Research Program, Washington, DC, USA, pp. 333-363, </w:t>
      </w:r>
      <w:proofErr w:type="spellStart"/>
      <w:r w:rsidRPr="00CA3F9E">
        <w:rPr>
          <w:sz w:val="22"/>
        </w:rPr>
        <w:t>doi</w:t>
      </w:r>
      <w:proofErr w:type="spellEnd"/>
      <w:r w:rsidRPr="00CA3F9E">
        <w:rPr>
          <w:sz w:val="22"/>
        </w:rPr>
        <w:t>: 10.7930/J0VM49F2.</w:t>
      </w:r>
    </w:p>
    <w:p w14:paraId="1EBD8BB5" w14:textId="5B583743" w:rsidR="00BB0776" w:rsidRPr="00BB0776" w:rsidRDefault="00BB0776" w:rsidP="00CA3F9E">
      <w:pPr>
        <w:pStyle w:val="BodyTextIndent"/>
        <w:ind w:firstLine="0"/>
        <w:rPr>
          <w:sz w:val="22"/>
        </w:rPr>
      </w:pPr>
      <w:r w:rsidRPr="00BB0776">
        <w:rPr>
          <w:sz w:val="22"/>
        </w:rPr>
        <w:t>U.S. Ene</w:t>
      </w:r>
      <w:r w:rsidR="00717B82">
        <w:rPr>
          <w:sz w:val="22"/>
        </w:rPr>
        <w:t xml:space="preserve">rgy Information Administration. 2016.  </w:t>
      </w:r>
      <w:r w:rsidRPr="00BB0776">
        <w:rPr>
          <w:sz w:val="22"/>
        </w:rPr>
        <w:t xml:space="preserve">U.S. States, State Profiles and Energy Estimates, Notes &amp; Sources. </w:t>
      </w:r>
      <w:hyperlink r:id="rId17" w:anchor="maps" w:history="1">
        <w:r w:rsidRPr="00BB0776">
          <w:rPr>
            <w:rStyle w:val="Hyperlink"/>
            <w:sz w:val="22"/>
          </w:rPr>
          <w:t>http://www.eia.gov/state/notes-sources.cfm#maps</w:t>
        </w:r>
      </w:hyperlink>
      <w:r w:rsidRPr="00BB0776">
        <w:rPr>
          <w:sz w:val="22"/>
        </w:rPr>
        <w:t xml:space="preserve"> </w:t>
      </w:r>
    </w:p>
    <w:p w14:paraId="272CFBF7" w14:textId="77777777" w:rsidR="006A0952" w:rsidRDefault="006A0952" w:rsidP="006A0952">
      <w:pPr>
        <w:pStyle w:val="BodyTextIndent"/>
        <w:spacing w:after="0"/>
        <w:ind w:firstLine="0"/>
        <w:rPr>
          <w:sz w:val="22"/>
        </w:rPr>
      </w:pPr>
      <w:r>
        <w:rPr>
          <w:sz w:val="22"/>
        </w:rPr>
        <w:t xml:space="preserve">U.S. </w:t>
      </w:r>
      <w:r w:rsidRPr="00555B75">
        <w:rPr>
          <w:sz w:val="22"/>
        </w:rPr>
        <w:t>EPA. 2017. Multi-Model Framework for Quantitative Sectoral Impacts Analysis: A Technical Report for the Fourth National Climate Assessment. U.S. Environmental Protection Agency, EPA 430-R-17-001.</w:t>
      </w:r>
    </w:p>
    <w:p w14:paraId="03CAFB0A" w14:textId="77777777" w:rsidR="006A0952" w:rsidRPr="00555B75" w:rsidRDefault="006A0952" w:rsidP="006A0952">
      <w:pPr>
        <w:pStyle w:val="BodyTextIndent"/>
        <w:spacing w:after="0"/>
        <w:rPr>
          <w:sz w:val="22"/>
        </w:rPr>
      </w:pPr>
    </w:p>
    <w:p w14:paraId="659B8357" w14:textId="7B91C8E6" w:rsidR="00CA3F9E" w:rsidRPr="00CA3F9E" w:rsidRDefault="00CA3F9E" w:rsidP="00CA3F9E">
      <w:pPr>
        <w:pStyle w:val="BodyTextIndent"/>
        <w:ind w:firstLine="0"/>
        <w:rPr>
          <w:sz w:val="22"/>
        </w:rPr>
      </w:pPr>
      <w:proofErr w:type="spellStart"/>
      <w:r w:rsidRPr="00CA3F9E">
        <w:rPr>
          <w:sz w:val="22"/>
        </w:rPr>
        <w:t>Wachinger</w:t>
      </w:r>
      <w:proofErr w:type="spellEnd"/>
      <w:r w:rsidRPr="00CA3F9E">
        <w:rPr>
          <w:sz w:val="22"/>
        </w:rPr>
        <w:t xml:space="preserve">, G., </w:t>
      </w:r>
      <w:proofErr w:type="spellStart"/>
      <w:r w:rsidRPr="00CA3F9E">
        <w:rPr>
          <w:sz w:val="22"/>
        </w:rPr>
        <w:t>Renn</w:t>
      </w:r>
      <w:proofErr w:type="spellEnd"/>
      <w:r w:rsidRPr="00CA3F9E">
        <w:rPr>
          <w:sz w:val="22"/>
        </w:rPr>
        <w:t xml:space="preserve">, O., </w:t>
      </w:r>
      <w:proofErr w:type="spellStart"/>
      <w:r w:rsidRPr="00CA3F9E">
        <w:rPr>
          <w:sz w:val="22"/>
        </w:rPr>
        <w:t>Begg</w:t>
      </w:r>
      <w:proofErr w:type="spellEnd"/>
      <w:r w:rsidRPr="00CA3F9E">
        <w:rPr>
          <w:sz w:val="22"/>
        </w:rPr>
        <w:t xml:space="preserve">, C., &amp; </w:t>
      </w:r>
      <w:proofErr w:type="spellStart"/>
      <w:r w:rsidRPr="00CA3F9E">
        <w:rPr>
          <w:sz w:val="22"/>
        </w:rPr>
        <w:t>Kuhlicke</w:t>
      </w:r>
      <w:proofErr w:type="spellEnd"/>
      <w:r w:rsidRPr="00CA3F9E">
        <w:rPr>
          <w:sz w:val="22"/>
        </w:rPr>
        <w:t>, C. 2013. The risk perception paradox—implications for governance and communication of natural hazards. Risk analysis, 33(6)</w:t>
      </w:r>
      <w:r w:rsidR="00BE490F">
        <w:rPr>
          <w:sz w:val="22"/>
        </w:rPr>
        <w:t>:</w:t>
      </w:r>
      <w:r w:rsidRPr="00CA3F9E">
        <w:rPr>
          <w:sz w:val="22"/>
        </w:rPr>
        <w:t xml:space="preserve"> 1049-1065.</w:t>
      </w:r>
    </w:p>
    <w:p w14:paraId="0E7607FF" w14:textId="77777777" w:rsidR="00CA3F9E" w:rsidRDefault="00CA3F9E" w:rsidP="00CA3F9E">
      <w:pPr>
        <w:pStyle w:val="BodyTextIndent"/>
        <w:rPr>
          <w:sz w:val="22"/>
        </w:rPr>
      </w:pPr>
    </w:p>
    <w:p w14:paraId="611D6A65" w14:textId="77777777" w:rsidR="00CA3F9E" w:rsidRDefault="00CA3F9E" w:rsidP="00CA3F9E">
      <w:pPr>
        <w:pStyle w:val="BodyTextIndent"/>
        <w:rPr>
          <w:sz w:val="22"/>
        </w:rPr>
      </w:pPr>
    </w:p>
    <w:p w14:paraId="2C2945E1" w14:textId="4A35D696" w:rsidR="00CA3F9E" w:rsidRPr="00CA3F9E" w:rsidRDefault="00CA3F9E" w:rsidP="00CA3F9E">
      <w:pPr>
        <w:pStyle w:val="BodyTextIndent"/>
        <w:rPr>
          <w:sz w:val="22"/>
          <w:vertAlign w:val="superscript"/>
        </w:rPr>
      </w:pPr>
      <w:r w:rsidRPr="00CA3F9E">
        <w:rPr>
          <w:sz w:val="22"/>
        </w:rPr>
        <w:t>.</w:t>
      </w:r>
      <w:r w:rsidRPr="00CA3F9E">
        <w:rPr>
          <w:sz w:val="22"/>
          <w:vertAlign w:val="superscript"/>
        </w:rPr>
        <w:t xml:space="preserve">  </w:t>
      </w:r>
    </w:p>
    <w:p w14:paraId="35595A13" w14:textId="77777777" w:rsidR="00CA3F9E" w:rsidRPr="00CA3F9E" w:rsidRDefault="00CA3F9E" w:rsidP="00CA3F9E">
      <w:pPr>
        <w:pStyle w:val="BodyTextIndent"/>
        <w:rPr>
          <w:sz w:val="22"/>
          <w:vertAlign w:val="superscript"/>
        </w:rPr>
      </w:pPr>
    </w:p>
    <w:p w14:paraId="79F99C4E" w14:textId="77777777" w:rsidR="00CA3F9E" w:rsidRPr="00BB0776" w:rsidRDefault="00CA3F9E" w:rsidP="00BB0776">
      <w:pPr>
        <w:pStyle w:val="BodyTextIndent"/>
        <w:rPr>
          <w:sz w:val="22"/>
        </w:rPr>
      </w:pPr>
    </w:p>
    <w:p w14:paraId="149C0B49" w14:textId="77777777" w:rsidR="00555B75" w:rsidRPr="00555B75" w:rsidRDefault="00555B75" w:rsidP="001913E9">
      <w:pPr>
        <w:pStyle w:val="BodyTextIndent"/>
        <w:spacing w:after="0"/>
        <w:ind w:firstLine="0"/>
        <w:rPr>
          <w:sz w:val="22"/>
        </w:rPr>
      </w:pPr>
    </w:p>
    <w:sectPr w:rsidR="00555B75" w:rsidRPr="00555B75">
      <w:footerReference w:type="default" r:id="rId18"/>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AF237" w14:textId="77777777" w:rsidR="00DD3920" w:rsidRDefault="00DD3920">
      <w:r>
        <w:separator/>
      </w:r>
    </w:p>
  </w:endnote>
  <w:endnote w:type="continuationSeparator" w:id="0">
    <w:p w14:paraId="73CB0357" w14:textId="77777777" w:rsidR="00DD3920" w:rsidRDefault="00DD3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E3CE8" w14:textId="77777777" w:rsidR="00072A1F" w:rsidRDefault="00564D64">
    <w:pPr>
      <w:pStyle w:val="Footer"/>
      <w:jc w:val="center"/>
    </w:pPr>
    <w:r>
      <w:rPr>
        <w:rStyle w:val="PageNumber"/>
      </w:rPr>
      <w:fldChar w:fldCharType="begin"/>
    </w:r>
    <w:r>
      <w:rPr>
        <w:rStyle w:val="PageNumber"/>
      </w:rPr>
      <w:instrText xml:space="preserve"> PAGE </w:instrText>
    </w:r>
    <w:r>
      <w:rPr>
        <w:rStyle w:val="PageNumber"/>
      </w:rPr>
      <w:fldChar w:fldCharType="separate"/>
    </w:r>
    <w:r w:rsidR="00556DDC">
      <w:rPr>
        <w:rStyle w:val="PageNumber"/>
        <w:noProof/>
      </w:rPr>
      <w:t>12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78CDF" w14:textId="77777777" w:rsidR="00DD3920" w:rsidRDefault="00DD3920">
      <w:r>
        <w:separator/>
      </w:r>
    </w:p>
  </w:footnote>
  <w:footnote w:type="continuationSeparator" w:id="0">
    <w:p w14:paraId="5FC3442E" w14:textId="77777777" w:rsidR="00DD3920" w:rsidRDefault="00DD3920">
      <w:r>
        <w:continuationSeparator/>
      </w:r>
    </w:p>
  </w:footnote>
  <w:footnote w:id="1">
    <w:p w14:paraId="25644AC0" w14:textId="77777777" w:rsidR="00A020A0" w:rsidRDefault="00A020A0" w:rsidP="00050C19">
      <w:pPr>
        <w:pStyle w:val="FootnoteText"/>
        <w:ind w:firstLine="0"/>
      </w:pPr>
      <w:r>
        <w:rPr>
          <w:rStyle w:val="FootnoteReference"/>
        </w:rPr>
        <w:footnoteRef/>
      </w:r>
      <w:r>
        <w:t xml:space="preserve"> </w:t>
      </w:r>
      <w:hyperlink r:id="rId1" w:history="1">
        <w:r w:rsidRPr="00050C19">
          <w:rPr>
            <w:rStyle w:val="Hyperlink"/>
            <w:sz w:val="20"/>
          </w:rPr>
          <w:t>https://www.zillow.com/research/data/</w:t>
        </w:r>
      </w:hyperlink>
      <w:r w:rsidRPr="00050C19">
        <w:rPr>
          <w:sz w:val="20"/>
        </w:rPr>
        <w:t xml:space="preserve"> Accessed in August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E6320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6D5FCF"/>
    <w:multiLevelType w:val="hybridMultilevel"/>
    <w:tmpl w:val="88163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4A4D43"/>
    <w:multiLevelType w:val="singleLevel"/>
    <w:tmpl w:val="00000000"/>
    <w:lvl w:ilvl="0">
      <w:start w:val="3"/>
      <w:numFmt w:val="decimal"/>
      <w:lvlText w:val="%1."/>
      <w:legacy w:legacy="1" w:legacySpace="0" w:legacyIndent="360"/>
      <w:lvlJc w:val="left"/>
      <w:pPr>
        <w:ind w:left="360" w:hanging="360"/>
      </w:pPr>
    </w:lvl>
  </w:abstractNum>
  <w:abstractNum w:abstractNumId="4" w15:restartNumberingAfterBreak="0">
    <w:nsid w:val="3E017859"/>
    <w:multiLevelType w:val="hybridMultilevel"/>
    <w:tmpl w:val="6E0C5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99072D"/>
    <w:multiLevelType w:val="hybridMultilevel"/>
    <w:tmpl w:val="F93AA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B934B3"/>
    <w:multiLevelType w:val="hybridMultilevel"/>
    <w:tmpl w:val="F7D68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9B0A38"/>
    <w:multiLevelType w:val="hybridMultilevel"/>
    <w:tmpl w:val="679C2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lvlOverride w:ilvl="0">
      <w:lvl w:ilvl="0">
        <w:start w:val="1"/>
        <w:numFmt w:val="bullet"/>
        <w:lvlText w:val=""/>
        <w:legacy w:legacy="1" w:legacySpace="0" w:legacyIndent="360"/>
        <w:lvlJc w:val="left"/>
        <w:pPr>
          <w:ind w:left="1080" w:hanging="360"/>
        </w:pPr>
        <w:rPr>
          <w:rFonts w:ascii="Arial" w:hAnsi="Arial" w:hint="default"/>
        </w:rPr>
      </w:lvl>
    </w:lvlOverride>
  </w:num>
  <w:num w:numId="3">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4">
    <w:abstractNumId w:val="6"/>
  </w:num>
  <w:num w:numId="5">
    <w:abstractNumId w:val="5"/>
  </w:num>
  <w:num w:numId="6">
    <w:abstractNumId w:val="4"/>
  </w:num>
  <w:num w:numId="7">
    <w:abstractNumId w:val="1"/>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8" w:dllVersion="513" w:checkStyle="1"/>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320E"/>
    <w:rsid w:val="00021B37"/>
    <w:rsid w:val="00050C19"/>
    <w:rsid w:val="00072A1F"/>
    <w:rsid w:val="00086913"/>
    <w:rsid w:val="000B220C"/>
    <w:rsid w:val="000D50D6"/>
    <w:rsid w:val="000D6222"/>
    <w:rsid w:val="00102CEE"/>
    <w:rsid w:val="00105E7A"/>
    <w:rsid w:val="00154C98"/>
    <w:rsid w:val="001639BE"/>
    <w:rsid w:val="001813C4"/>
    <w:rsid w:val="001913E9"/>
    <w:rsid w:val="00200DC5"/>
    <w:rsid w:val="00207213"/>
    <w:rsid w:val="002510FF"/>
    <w:rsid w:val="0027021E"/>
    <w:rsid w:val="00276BDE"/>
    <w:rsid w:val="002C5204"/>
    <w:rsid w:val="002E1E05"/>
    <w:rsid w:val="00302519"/>
    <w:rsid w:val="003462ED"/>
    <w:rsid w:val="0037302C"/>
    <w:rsid w:val="0038238E"/>
    <w:rsid w:val="003A03DB"/>
    <w:rsid w:val="0046402E"/>
    <w:rsid w:val="00464D89"/>
    <w:rsid w:val="004B6554"/>
    <w:rsid w:val="005171BF"/>
    <w:rsid w:val="00555B75"/>
    <w:rsid w:val="00556DDC"/>
    <w:rsid w:val="00564D64"/>
    <w:rsid w:val="0060149B"/>
    <w:rsid w:val="00605106"/>
    <w:rsid w:val="00634BAF"/>
    <w:rsid w:val="00651AEB"/>
    <w:rsid w:val="006A0952"/>
    <w:rsid w:val="006A7314"/>
    <w:rsid w:val="006C4003"/>
    <w:rsid w:val="006D320E"/>
    <w:rsid w:val="00717B82"/>
    <w:rsid w:val="00727BFE"/>
    <w:rsid w:val="007B555D"/>
    <w:rsid w:val="007B5AE1"/>
    <w:rsid w:val="007D2389"/>
    <w:rsid w:val="007D7566"/>
    <w:rsid w:val="00812212"/>
    <w:rsid w:val="0081666E"/>
    <w:rsid w:val="00881F43"/>
    <w:rsid w:val="00904781"/>
    <w:rsid w:val="009131C8"/>
    <w:rsid w:val="00941523"/>
    <w:rsid w:val="00941819"/>
    <w:rsid w:val="0098001C"/>
    <w:rsid w:val="00A020A0"/>
    <w:rsid w:val="00A03BCA"/>
    <w:rsid w:val="00AB1700"/>
    <w:rsid w:val="00AC6B65"/>
    <w:rsid w:val="00AF5861"/>
    <w:rsid w:val="00B542E5"/>
    <w:rsid w:val="00B55697"/>
    <w:rsid w:val="00B943D1"/>
    <w:rsid w:val="00BB0776"/>
    <w:rsid w:val="00BB3214"/>
    <w:rsid w:val="00BB45DB"/>
    <w:rsid w:val="00BC02C5"/>
    <w:rsid w:val="00BD64D3"/>
    <w:rsid w:val="00BE490F"/>
    <w:rsid w:val="00C16117"/>
    <w:rsid w:val="00C75F03"/>
    <w:rsid w:val="00C92ED1"/>
    <w:rsid w:val="00CA3F9E"/>
    <w:rsid w:val="00CA504E"/>
    <w:rsid w:val="00CD30E7"/>
    <w:rsid w:val="00CD3ACD"/>
    <w:rsid w:val="00CF32D2"/>
    <w:rsid w:val="00CF5B4E"/>
    <w:rsid w:val="00D52C60"/>
    <w:rsid w:val="00D73D54"/>
    <w:rsid w:val="00D75266"/>
    <w:rsid w:val="00DD3920"/>
    <w:rsid w:val="00DF3D6E"/>
    <w:rsid w:val="00E17B7A"/>
    <w:rsid w:val="00E2342A"/>
    <w:rsid w:val="00E2720B"/>
    <w:rsid w:val="00E40E0B"/>
    <w:rsid w:val="00EA0C80"/>
    <w:rsid w:val="00ED4AE8"/>
    <w:rsid w:val="00F065F9"/>
    <w:rsid w:val="00F20DEF"/>
    <w:rsid w:val="00F606D3"/>
    <w:rsid w:val="00F95C70"/>
    <w:rsid w:val="00FF3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98C3BD"/>
  <w15:docId w15:val="{DA76E5F8-362E-454F-BE81-ABAB04A06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Indent"/>
    <w:qFormat/>
    <w:pPr>
      <w:keepNext/>
      <w:spacing w:before="240" w:after="240"/>
      <w:ind w:left="360" w:hanging="360"/>
      <w:outlineLvl w:val="0"/>
    </w:pPr>
    <w:rPr>
      <w:b/>
      <w:caps/>
      <w:kern w:val="28"/>
      <w:sz w:val="24"/>
    </w:rPr>
  </w:style>
  <w:style w:type="paragraph" w:styleId="Heading2">
    <w:name w:val="heading 2"/>
    <w:basedOn w:val="Normal"/>
    <w:next w:val="BodyTextIndent"/>
    <w:qFormat/>
    <w:pPr>
      <w:keepNext/>
      <w:spacing w:before="240" w:after="240"/>
      <w:ind w:left="360" w:hanging="360"/>
      <w:outlineLvl w:val="1"/>
    </w:pPr>
    <w:rPr>
      <w:b/>
      <w:sz w:val="24"/>
      <w:u w:val="single"/>
    </w:rPr>
  </w:style>
  <w:style w:type="paragraph" w:styleId="Heading3">
    <w:name w:val="heading 3"/>
    <w:basedOn w:val="Normal"/>
    <w:next w:val="BodyTextIndent"/>
    <w:qFormat/>
    <w:pPr>
      <w:keepNext/>
      <w:spacing w:before="240" w:after="240"/>
      <w:ind w:left="360" w:hanging="360"/>
      <w:outlineLvl w:val="2"/>
    </w:pPr>
    <w:rPr>
      <w:b/>
      <w:sz w:val="24"/>
    </w:rPr>
  </w:style>
  <w:style w:type="paragraph" w:styleId="Heading4">
    <w:name w:val="heading 4"/>
    <w:basedOn w:val="Normal"/>
    <w:next w:val="BodyTextIndent"/>
    <w:qFormat/>
    <w:pPr>
      <w:keepNext/>
      <w:spacing w:before="240" w:after="240"/>
      <w:ind w:left="1080" w:hanging="360"/>
      <w:outlineLvl w:val="3"/>
    </w:pPr>
    <w:rPr>
      <w:b/>
      <w:sz w:val="24"/>
      <w:u w:val="single"/>
    </w:rPr>
  </w:style>
  <w:style w:type="paragraph" w:styleId="Heading5">
    <w:name w:val="heading 5"/>
    <w:basedOn w:val="Normal"/>
    <w:next w:val="BodyTextIndent"/>
    <w:qFormat/>
    <w:pPr>
      <w:keepNext/>
      <w:spacing w:before="240" w:after="240"/>
      <w:ind w:left="1080" w:hanging="360"/>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spacing w:after="240"/>
      <w:ind w:firstLine="720"/>
      <w:jc w:val="both"/>
    </w:pPr>
    <w:rPr>
      <w:sz w:val="24"/>
    </w:rPr>
  </w:style>
  <w:style w:type="paragraph" w:customStyle="1" w:styleId="Normal11point">
    <w:name w:val="Normal 11point"/>
    <w:basedOn w:val="Normal"/>
    <w:rPr>
      <w:sz w:val="22"/>
    </w:rPr>
  </w:style>
  <w:style w:type="paragraph" w:customStyle="1" w:styleId="ReferencesHeading">
    <w:name w:val="References Heading"/>
    <w:basedOn w:val="Normal11point"/>
    <w:pPr>
      <w:keepNext/>
      <w:spacing w:before="240" w:after="480"/>
      <w:jc w:val="center"/>
    </w:pPr>
    <w:rPr>
      <w:b/>
      <w:caps/>
    </w:rPr>
  </w:style>
  <w:style w:type="paragraph" w:customStyle="1" w:styleId="Heading4under3">
    <w:name w:val="Heading 4 under 3"/>
    <w:basedOn w:val="Normal"/>
    <w:next w:val="BodyTextIndent"/>
    <w:pPr>
      <w:keepNext/>
      <w:spacing w:after="240"/>
      <w:ind w:left="1080" w:hanging="360"/>
    </w:pPr>
    <w:rPr>
      <w:b/>
      <w:sz w:val="24"/>
      <w:u w:val="single"/>
    </w:rPr>
  </w:style>
  <w:style w:type="paragraph" w:customStyle="1" w:styleId="Heading5under4">
    <w:name w:val="Heading 5 under 4"/>
    <w:basedOn w:val="Normal"/>
    <w:next w:val="BodyTextIndent"/>
    <w:pPr>
      <w:keepNext/>
      <w:spacing w:after="240"/>
      <w:ind w:left="1080" w:hanging="360"/>
    </w:pPr>
    <w:rPr>
      <w:b/>
      <w:sz w:val="24"/>
    </w:rPr>
  </w:style>
  <w:style w:type="paragraph" w:styleId="BodyText">
    <w:name w:val="Body Text"/>
    <w:basedOn w:val="Normal"/>
    <w:semiHidden/>
    <w:pPr>
      <w:spacing w:after="240"/>
      <w:jc w:val="both"/>
    </w:pPr>
    <w:rPr>
      <w:sz w:val="24"/>
    </w:rPr>
  </w:style>
  <w:style w:type="paragraph" w:customStyle="1" w:styleId="References">
    <w:name w:val="References"/>
    <w:basedOn w:val="BodyText"/>
    <w:pPr>
      <w:ind w:left="720" w:hanging="720"/>
    </w:pPr>
  </w:style>
  <w:style w:type="paragraph" w:styleId="FootnoteText">
    <w:name w:val="footnote text"/>
    <w:basedOn w:val="Normal"/>
    <w:link w:val="FootnoteTextChar"/>
    <w:uiPriority w:val="99"/>
    <w:pPr>
      <w:spacing w:after="240"/>
      <w:ind w:firstLine="720"/>
      <w:jc w:val="both"/>
    </w:pPr>
    <w:rPr>
      <w:sz w:val="24"/>
    </w:rPr>
  </w:style>
  <w:style w:type="character" w:styleId="FootnoteReference">
    <w:name w:val="footnote reference"/>
    <w:basedOn w:val="DefaultParagraphFont"/>
    <w:uiPriority w:val="99"/>
    <w:rPr>
      <w:vertAlign w:val="superscript"/>
    </w:rPr>
  </w:style>
  <w:style w:type="character" w:styleId="EndnoteReference">
    <w:name w:val="endnote reference"/>
    <w:basedOn w:val="DefaultParagraphFont"/>
    <w:semiHidden/>
    <w:rPr>
      <w:vertAlign w:val="superscript"/>
    </w:rPr>
  </w:style>
  <w:style w:type="paragraph" w:styleId="EndnoteText">
    <w:name w:val="endnote text"/>
    <w:basedOn w:val="Normal"/>
    <w:semiHidden/>
  </w:style>
  <w:style w:type="paragraph" w:customStyle="1" w:styleId="Heading2under1">
    <w:name w:val="Heading 2 under 1"/>
    <w:basedOn w:val="Normal"/>
    <w:next w:val="BodyTextIndent"/>
    <w:pPr>
      <w:keepNext/>
      <w:spacing w:after="240"/>
      <w:ind w:left="360" w:hanging="360"/>
    </w:pPr>
    <w:rPr>
      <w:b/>
      <w:sz w:val="24"/>
      <w:u w:val="single"/>
    </w:rPr>
  </w:style>
  <w:style w:type="paragraph" w:customStyle="1" w:styleId="Bullets">
    <w:name w:val="Bullets"/>
    <w:basedOn w:val="BodyText"/>
    <w:pPr>
      <w:ind w:left="1440" w:right="720" w:hanging="720"/>
    </w:pPr>
  </w:style>
  <w:style w:type="paragraph" w:customStyle="1" w:styleId="Heading3under2">
    <w:name w:val="Heading 3 under 2"/>
    <w:basedOn w:val="Normal"/>
    <w:next w:val="BodyTextIndent"/>
    <w:pPr>
      <w:keepNext/>
      <w:spacing w:after="240"/>
      <w:ind w:left="360" w:hanging="360"/>
    </w:pPr>
    <w:rPr>
      <w:b/>
      <w:sz w:val="24"/>
    </w:rPr>
  </w:style>
  <w:style w:type="paragraph" w:customStyle="1" w:styleId="Bulletslast">
    <w:name w:val="Bullets last"/>
    <w:basedOn w:val="Normal"/>
    <w:next w:val="BodyTextIndent"/>
    <w:pPr>
      <w:spacing w:after="480"/>
      <w:ind w:left="1440" w:right="720" w:hanging="720"/>
      <w:jc w:val="both"/>
    </w:pPr>
    <w:rPr>
      <w:sz w:val="24"/>
    </w:rPr>
  </w:style>
  <w:style w:type="paragraph" w:styleId="Header">
    <w:name w:val="header"/>
    <w:basedOn w:val="Normal"/>
    <w:semiHidden/>
    <w:pPr>
      <w:tabs>
        <w:tab w:val="center" w:pos="4320"/>
        <w:tab w:val="right" w:pos="8640"/>
      </w:tabs>
    </w:pPr>
  </w:style>
  <w:style w:type="paragraph" w:customStyle="1" w:styleId="Normal12point">
    <w:name w:val="Normal 12 point"/>
    <w:basedOn w:val="Normal"/>
    <w:rPr>
      <w:sz w:val="24"/>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customStyle="1" w:styleId="Table">
    <w:name w:val="Table"/>
    <w:basedOn w:val="Normal12point"/>
  </w:style>
  <w:style w:type="paragraph" w:customStyle="1" w:styleId="IEcNormalText">
    <w:name w:val="IEc Normal Text"/>
    <w:basedOn w:val="Normal"/>
    <w:rsid w:val="00564D64"/>
    <w:pPr>
      <w:spacing w:after="120" w:line="280" w:lineRule="exact"/>
    </w:pPr>
    <w:rPr>
      <w:rFonts w:eastAsia="Times"/>
      <w:sz w:val="22"/>
    </w:rPr>
  </w:style>
  <w:style w:type="paragraph" w:customStyle="1" w:styleId="IEcExhibitTitle">
    <w:name w:val="IEc Exhibit Title"/>
    <w:basedOn w:val="Normal"/>
    <w:rsid w:val="00564D64"/>
    <w:pPr>
      <w:spacing w:after="240" w:line="290" w:lineRule="exact"/>
    </w:pPr>
    <w:rPr>
      <w:rFonts w:ascii="Trebuchet MS" w:eastAsia="Times" w:hAnsi="Trebuchet MS"/>
      <w:b/>
      <w:caps/>
      <w:noProof/>
      <w:color w:val="003366"/>
      <w:spacing w:val="20"/>
      <w:kern w:val="8"/>
      <w:sz w:val="17"/>
    </w:rPr>
  </w:style>
  <w:style w:type="paragraph" w:customStyle="1" w:styleId="IEcHeadingC">
    <w:name w:val="IEc Heading C"/>
    <w:basedOn w:val="Normal"/>
    <w:rsid w:val="00564D64"/>
    <w:pPr>
      <w:spacing w:before="240" w:line="280" w:lineRule="exact"/>
    </w:pPr>
    <w:rPr>
      <w:rFonts w:ascii="Trebuchet MS" w:eastAsia="Times" w:hAnsi="Trebuchet MS"/>
      <w:noProof/>
      <w:color w:val="003366"/>
      <w:spacing w:val="20"/>
      <w:kern w:val="8"/>
      <w:sz w:val="17"/>
    </w:rPr>
  </w:style>
  <w:style w:type="character" w:styleId="CommentReference">
    <w:name w:val="annotation reference"/>
    <w:basedOn w:val="DefaultParagraphFont"/>
    <w:uiPriority w:val="99"/>
    <w:rsid w:val="00564D64"/>
    <w:rPr>
      <w:sz w:val="16"/>
      <w:szCs w:val="16"/>
    </w:rPr>
  </w:style>
  <w:style w:type="paragraph" w:styleId="CommentText">
    <w:name w:val="annotation text"/>
    <w:basedOn w:val="Normal"/>
    <w:link w:val="CommentTextChar"/>
    <w:uiPriority w:val="99"/>
    <w:rsid w:val="00564D64"/>
    <w:rPr>
      <w:rFonts w:eastAsia="Times"/>
    </w:rPr>
  </w:style>
  <w:style w:type="character" w:customStyle="1" w:styleId="CommentTextChar">
    <w:name w:val="Comment Text Char"/>
    <w:basedOn w:val="DefaultParagraphFont"/>
    <w:link w:val="CommentText"/>
    <w:uiPriority w:val="99"/>
    <w:rsid w:val="00564D64"/>
    <w:rPr>
      <w:rFonts w:eastAsia="Times"/>
    </w:rPr>
  </w:style>
  <w:style w:type="character" w:customStyle="1" w:styleId="FootnoteTextChar">
    <w:name w:val="Footnote Text Char"/>
    <w:basedOn w:val="DefaultParagraphFont"/>
    <w:link w:val="FootnoteText"/>
    <w:uiPriority w:val="99"/>
    <w:rsid w:val="00564D64"/>
    <w:rPr>
      <w:sz w:val="24"/>
    </w:rPr>
  </w:style>
  <w:style w:type="character" w:styleId="Hyperlink">
    <w:name w:val="Hyperlink"/>
    <w:basedOn w:val="DefaultParagraphFont"/>
    <w:uiPriority w:val="99"/>
    <w:unhideWhenUsed/>
    <w:rsid w:val="00564D64"/>
    <w:rPr>
      <w:rFonts w:cs="Times New Roman"/>
      <w:color w:val="0000FF" w:themeColor="hyperlink"/>
      <w:u w:val="single"/>
    </w:rPr>
  </w:style>
  <w:style w:type="paragraph" w:styleId="BalloonText">
    <w:name w:val="Balloon Text"/>
    <w:basedOn w:val="Normal"/>
    <w:link w:val="BalloonTextChar"/>
    <w:uiPriority w:val="99"/>
    <w:semiHidden/>
    <w:unhideWhenUsed/>
    <w:rsid w:val="00564D64"/>
    <w:rPr>
      <w:rFonts w:ascii="Tahoma" w:hAnsi="Tahoma" w:cs="Tahoma"/>
      <w:sz w:val="16"/>
      <w:szCs w:val="16"/>
    </w:rPr>
  </w:style>
  <w:style w:type="character" w:customStyle="1" w:styleId="BalloonTextChar">
    <w:name w:val="Balloon Text Char"/>
    <w:basedOn w:val="DefaultParagraphFont"/>
    <w:link w:val="BalloonText"/>
    <w:uiPriority w:val="99"/>
    <w:semiHidden/>
    <w:rsid w:val="00564D6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B943D1"/>
    <w:rPr>
      <w:rFonts w:eastAsia="Times New Roman"/>
      <w:b/>
      <w:bCs/>
    </w:rPr>
  </w:style>
  <w:style w:type="character" w:customStyle="1" w:styleId="CommentSubjectChar">
    <w:name w:val="Comment Subject Char"/>
    <w:basedOn w:val="CommentTextChar"/>
    <w:link w:val="CommentSubject"/>
    <w:uiPriority w:val="99"/>
    <w:semiHidden/>
    <w:rsid w:val="00B943D1"/>
    <w:rPr>
      <w:rFonts w:eastAsia="Times"/>
      <w:b/>
      <w:bCs/>
    </w:rPr>
  </w:style>
  <w:style w:type="paragraph" w:styleId="ListParagraph">
    <w:name w:val="List Paragraph"/>
    <w:basedOn w:val="Normal"/>
    <w:uiPriority w:val="34"/>
    <w:qFormat/>
    <w:rsid w:val="001913E9"/>
    <w:pPr>
      <w:ind w:left="720"/>
      <w:contextualSpacing/>
    </w:pPr>
  </w:style>
  <w:style w:type="table" w:styleId="TableGrid">
    <w:name w:val="Table Grid"/>
    <w:basedOn w:val="TableNormal"/>
    <w:uiPriority w:val="59"/>
    <w:rsid w:val="00651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651AEB"/>
    <w:rPr>
      <w:rFonts w:ascii="Courier" w:eastAsia="Times" w:hAnsi="Courie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cHeadingAinreport">
    <w:name w:val="IEc Heading A in report"/>
    <w:basedOn w:val="Normal"/>
    <w:rsid w:val="00A020A0"/>
    <w:pPr>
      <w:spacing w:before="120" w:after="120" w:line="290" w:lineRule="exact"/>
    </w:pPr>
    <w:rPr>
      <w:rFonts w:ascii="Trebuchet MS" w:eastAsia="Times" w:hAnsi="Trebuchet MS"/>
      <w:b/>
      <w:caps/>
      <w:noProof/>
      <w:color w:val="800000"/>
      <w:spacing w:val="20"/>
      <w:kern w:val="8"/>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www.eia.gov/state/notes-sources.cfm"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1" Type="http://schemas.openxmlformats.org/officeDocument/2006/relationships/hyperlink" Target="https://www.zillow.com/research/data/"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D:\Dropbox\EPA%20SLR\03%20Analysis\08%20Property_Value_update\Property_Zillow_QC2_v2.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2"/>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Summary!$H$14:$H$36</c:f>
              <c:strCache>
                <c:ptCount val="23"/>
                <c:pt idx="0">
                  <c:v>Alabama (-24%)</c:v>
                </c:pt>
                <c:pt idx="1">
                  <c:v>California (6%)</c:v>
                </c:pt>
                <c:pt idx="2">
                  <c:v>Connecticut (-23%)</c:v>
                </c:pt>
                <c:pt idx="3">
                  <c:v>Delaware (-14%)</c:v>
                </c:pt>
                <c:pt idx="4">
                  <c:v>District of Columbia (19%)</c:v>
                </c:pt>
                <c:pt idx="5">
                  <c:v>Florida (-25%)</c:v>
                </c:pt>
                <c:pt idx="6">
                  <c:v>Georgia (-10%)</c:v>
                </c:pt>
                <c:pt idx="7">
                  <c:v>Louisiana (19%)</c:v>
                </c:pt>
                <c:pt idx="8">
                  <c:v>Maine (-5%)</c:v>
                </c:pt>
                <c:pt idx="9">
                  <c:v>Maryland (-25%)</c:v>
                </c:pt>
                <c:pt idx="10">
                  <c:v>Massachusetts (10%)</c:v>
                </c:pt>
                <c:pt idx="11">
                  <c:v>Mississippi (-9%)</c:v>
                </c:pt>
                <c:pt idx="12">
                  <c:v>New Hampshire (-1%)</c:v>
                </c:pt>
                <c:pt idx="13">
                  <c:v>New Jersey (-25%)</c:v>
                </c:pt>
                <c:pt idx="14">
                  <c:v>New York (7%)</c:v>
                </c:pt>
                <c:pt idx="15">
                  <c:v>North Carolina (-20%)</c:v>
                </c:pt>
                <c:pt idx="16">
                  <c:v>Oregon (26%)</c:v>
                </c:pt>
                <c:pt idx="17">
                  <c:v>Pennsylvania (-6%)</c:v>
                </c:pt>
                <c:pt idx="18">
                  <c:v>Rhode Island (-20%)</c:v>
                </c:pt>
                <c:pt idx="19">
                  <c:v>South Carolina (-15%)</c:v>
                </c:pt>
                <c:pt idx="20">
                  <c:v>Texas (18%)</c:v>
                </c:pt>
                <c:pt idx="21">
                  <c:v>Virginia (-14%)</c:v>
                </c:pt>
                <c:pt idx="22">
                  <c:v>Washington (19%)</c:v>
                </c:pt>
              </c:strCache>
            </c:strRef>
          </c:cat>
          <c:val>
            <c:numRef>
              <c:f>Summary!$N$14:$N$36</c:f>
              <c:numCache>
                <c:formatCode>"$"#,##0</c:formatCode>
                <c:ptCount val="23"/>
                <c:pt idx="0">
                  <c:v>-10.938800299738482</c:v>
                </c:pt>
                <c:pt idx="1">
                  <c:v>100.29479167338741</c:v>
                </c:pt>
                <c:pt idx="2">
                  <c:v>-47.890163688881358</c:v>
                </c:pt>
                <c:pt idx="3">
                  <c:v>-3.698271204664902</c:v>
                </c:pt>
                <c:pt idx="4">
                  <c:v>34.196006749541596</c:v>
                </c:pt>
                <c:pt idx="5">
                  <c:v>-608.98478450393895</c:v>
                </c:pt>
                <c:pt idx="6">
                  <c:v>-5.6101434469080971</c:v>
                </c:pt>
                <c:pt idx="7">
                  <c:v>15.39845301935911</c:v>
                </c:pt>
                <c:pt idx="8">
                  <c:v>-2.0974330934177914</c:v>
                </c:pt>
                <c:pt idx="9">
                  <c:v>-84.886549946604589</c:v>
                </c:pt>
                <c:pt idx="10">
                  <c:v>76.004059002795088</c:v>
                </c:pt>
                <c:pt idx="11">
                  <c:v>-1.2336701813232658</c:v>
                </c:pt>
                <c:pt idx="12">
                  <c:v>-0.1019929628636369</c:v>
                </c:pt>
                <c:pt idx="13">
                  <c:v>-141.62158890554235</c:v>
                </c:pt>
                <c:pt idx="14">
                  <c:v>119.99784992713671</c:v>
                </c:pt>
                <c:pt idx="15">
                  <c:v>-19.551670042690489</c:v>
                </c:pt>
                <c:pt idx="16">
                  <c:v>18.912990736978344</c:v>
                </c:pt>
                <c:pt idx="17">
                  <c:v>-4.1234648056443746</c:v>
                </c:pt>
                <c:pt idx="18">
                  <c:v>-23.944204228833314</c:v>
                </c:pt>
                <c:pt idx="19">
                  <c:v>-17.093903002270352</c:v>
                </c:pt>
                <c:pt idx="20">
                  <c:v>77.828662419377963</c:v>
                </c:pt>
                <c:pt idx="21">
                  <c:v>-31.505518360795122</c:v>
                </c:pt>
                <c:pt idx="22">
                  <c:v>55.759446927340775</c:v>
                </c:pt>
              </c:numCache>
            </c:numRef>
          </c:val>
          <c:extLst>
            <c:ext xmlns:c16="http://schemas.microsoft.com/office/drawing/2014/chart" uri="{C3380CC4-5D6E-409C-BE32-E72D297353CC}">
              <c16:uniqueId val="{00000000-FD10-4F9C-BD1A-04A6E074C5F5}"/>
            </c:ext>
          </c:extLst>
        </c:ser>
        <c:dLbls>
          <c:showLegendKey val="0"/>
          <c:showVal val="1"/>
          <c:showCatName val="0"/>
          <c:showSerName val="0"/>
          <c:showPercent val="0"/>
          <c:showBubbleSize val="0"/>
        </c:dLbls>
        <c:gapWidth val="75"/>
        <c:axId val="172779776"/>
        <c:axId val="173684224"/>
      </c:barChart>
      <c:catAx>
        <c:axId val="172779776"/>
        <c:scaling>
          <c:orientation val="maxMin"/>
        </c:scaling>
        <c:delete val="0"/>
        <c:axPos val="l"/>
        <c:majorGridlines/>
        <c:numFmt formatCode="General" sourceLinked="0"/>
        <c:majorTickMark val="none"/>
        <c:minorTickMark val="none"/>
        <c:tickLblPos val="low"/>
        <c:crossAx val="173684224"/>
        <c:crosses val="autoZero"/>
        <c:auto val="1"/>
        <c:lblAlgn val="ctr"/>
        <c:lblOffset val="100"/>
        <c:noMultiLvlLbl val="0"/>
      </c:catAx>
      <c:valAx>
        <c:axId val="173684224"/>
        <c:scaling>
          <c:orientation val="minMax"/>
          <c:min val="-750"/>
        </c:scaling>
        <c:delete val="0"/>
        <c:axPos val="t"/>
        <c:numFmt formatCode="&quot;$&quot;#,##0" sourceLinked="1"/>
        <c:majorTickMark val="none"/>
        <c:minorTickMark val="none"/>
        <c:tickLblPos val="high"/>
        <c:crossAx val="172779776"/>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DFC14-BD5E-40FC-AEAF-728B30FBB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4182</Words>
  <Characters>23841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IEc Report Format v2.1</vt:lpstr>
    </vt:vector>
  </TitlesOfParts>
  <Company>Industrial Economics Inc.</Company>
  <LinksUpToDate>false</LinksUpToDate>
  <CharactersWithSpaces>27968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IEc Report Format v2.1</dc:title>
  <dc:creator>Margaret Black</dc:creator>
  <cp:lastModifiedBy>Jim Neumann</cp:lastModifiedBy>
  <cp:revision>3</cp:revision>
  <cp:lastPrinted>2013-02-13T16:46:00Z</cp:lastPrinted>
  <dcterms:created xsi:type="dcterms:W3CDTF">2021-04-19T14:58:00Z</dcterms:created>
  <dcterms:modified xsi:type="dcterms:W3CDTF">2021-04-19T18:19:00Z</dcterms:modified>
</cp:coreProperties>
</file>