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22A0F" w14:textId="77777777" w:rsidR="00E64BC8" w:rsidRPr="00E64BC8" w:rsidRDefault="00E64BC8">
      <w:pPr>
        <w:rPr>
          <w:rFonts w:ascii="Times New Roman" w:hAnsi="Times New Roman" w:cs="Times New Roman"/>
          <w:b/>
          <w:sz w:val="20"/>
          <w:szCs w:val="20"/>
        </w:rPr>
      </w:pPr>
      <w:r w:rsidRPr="00E64BC8">
        <w:rPr>
          <w:rFonts w:ascii="Times New Roman" w:hAnsi="Times New Roman" w:cs="Times New Roman"/>
          <w:b/>
          <w:sz w:val="20"/>
          <w:szCs w:val="20"/>
        </w:rPr>
        <w:t>Online Supplementary Material</w:t>
      </w:r>
    </w:p>
    <w:p w14:paraId="56F45D29" w14:textId="77777777" w:rsidR="00E64BC8" w:rsidRDefault="00E64BC8">
      <w:pPr>
        <w:rPr>
          <w:rFonts w:ascii="Times New Roman" w:hAnsi="Times New Roman" w:cs="Times New Roman"/>
          <w:sz w:val="20"/>
          <w:szCs w:val="20"/>
        </w:rPr>
      </w:pPr>
    </w:p>
    <w:p w14:paraId="77A6D452" w14:textId="77777777" w:rsidR="001C310D" w:rsidRPr="00497D17" w:rsidRDefault="00B05611" w:rsidP="001C310D">
      <w:pPr>
        <w:rPr>
          <w:rFonts w:ascii="Times New Roman" w:hAnsi="Times New Roman" w:cs="Times New Roman"/>
          <w:b/>
          <w:sz w:val="20"/>
          <w:szCs w:val="20"/>
        </w:rPr>
      </w:pPr>
      <w:r>
        <w:rPr>
          <w:rFonts w:ascii="Times New Roman" w:hAnsi="Times New Roman" w:cs="Times New Roman"/>
          <w:b/>
          <w:sz w:val="20"/>
          <w:szCs w:val="20"/>
        </w:rPr>
        <w:t xml:space="preserve">Section 2.2: </w:t>
      </w:r>
      <w:r w:rsidR="001C310D">
        <w:rPr>
          <w:rFonts w:ascii="Times New Roman" w:hAnsi="Times New Roman" w:cs="Times New Roman"/>
          <w:b/>
          <w:sz w:val="20"/>
          <w:szCs w:val="20"/>
        </w:rPr>
        <w:t xml:space="preserve">Reviews of risk and vulnerability assessments </w:t>
      </w:r>
    </w:p>
    <w:p w14:paraId="562C333E" w14:textId="6DD5433C" w:rsidR="001C310D" w:rsidRDefault="001C310D" w:rsidP="001C310D">
      <w:pPr>
        <w:pStyle w:val="NormalWeb"/>
        <w:spacing w:before="0" w:beforeAutospacing="0" w:after="0" w:afterAutospacing="0"/>
        <w:jc w:val="both"/>
        <w:rPr>
          <w:color w:val="000000"/>
          <w:sz w:val="20"/>
          <w:szCs w:val="20"/>
        </w:rPr>
      </w:pPr>
      <w:r>
        <w:rPr>
          <w:color w:val="000000"/>
          <w:sz w:val="20"/>
          <w:szCs w:val="20"/>
        </w:rPr>
        <w:t>Expanding on section 2.2 of the article, the following section summarizes the main findings of previous large-scale reviews of existing risk and vulnerability assessments, many of which indicator-based. Preston et al. (2011)</w:t>
      </w:r>
      <w:r w:rsidRPr="005616A3">
        <w:rPr>
          <w:color w:val="000000"/>
          <w:sz w:val="20"/>
          <w:szCs w:val="20"/>
        </w:rPr>
        <w:t xml:space="preserve"> </w:t>
      </w:r>
      <w:r w:rsidRPr="003E4145">
        <w:rPr>
          <w:color w:val="000000"/>
          <w:sz w:val="20"/>
          <w:szCs w:val="20"/>
        </w:rPr>
        <w:t xml:space="preserve">review 69 climate vulnerability assessments published in the peer-reviewed and grey literature, including 45 assessments that took a spatially explicit approach to mapping vulnerability. Their review focuses on comparing the goals and objectives, the conceptual framing and the methodological approach of these assessments, and evaluates to which degree they were co-designed with relevant stakeholders. Key findings include, that (i) assessments vary depending on the focus of the assessment (vulnerability of what) and the hazard context (vulnerability to what), (ii) the conceptual framing influences the choice of vulnerability drivers considered in the assessments, (iii) vulnerability mapping is an emergent practice, and (iv) that only a limited number of studies have engaged with stakeholders. </w:t>
      </w:r>
      <w:r w:rsidRPr="003E4145">
        <w:rPr>
          <w:color w:val="000000"/>
          <w:sz w:val="20"/>
          <w:szCs w:val="20"/>
        </w:rPr>
        <w:fldChar w:fldCharType="begin"/>
      </w:r>
      <w:r w:rsidRPr="003E4145">
        <w:rPr>
          <w:color w:val="000000"/>
          <w:sz w:val="20"/>
          <w:szCs w:val="20"/>
        </w:rPr>
        <w:instrText xml:space="preserve"> ADDIN ZOTERO_ITEM CSL_CITATION {"citationID":"dfyvLkvn","properties":{"formattedCitation":"(Beccari, 2016)","plainCitation":"(Beccari, 2016)","noteIndex":0},"citationItems":[{"id":2415,"uris":["http://zotero.org/groups/2597160/items/ARBGMDMI"],"uri":["http://zotero.org/groups/2597160/items/ARBGMDMI"],"itemData":{"id":2415,"type":"article-journal","abstract":"Introduction: In the past decade significant attention has been given to the development of tools that attempt to measure the vulnerability, risk or resilience of communities to disasters. Particular attention has been given to the development of composite indices to quantify these concepts mirroring their deployment in other fields such as sustainable development. Whilst some authors have published reviews of disaster vulnerability, risk and resilience composite indicator methodologies, these have been of a limited nature. This paper seeks to dramatically expand these efforts by analysing 106 composite indicator methodologies to understand the breadth and depth of practice.","container-title":"PLoS Currents","DOI":"10.1371/currents.dis.453df025e34b682e9737f95070f9b970","ISSN":"2157-3999","journalAbbreviation":"PLoS Curr","language":"en","source":"DOI.org (Crossref)","title":"A Comparative Analysis of Disaster Risk, Vulnerability and Resilience Composite Indicators","URL":"https://currents.plos.org/disasters/?p=26273","author":[{"family":"Beccari","given":"Benjamin"}],"accessed":{"date-parts":[["2020",10,29]]},"issued":{"date-parts":[["2016"]]}}}],"schema":"https://github.com/citation-style-language/schema/raw/master/csl-citation.json"} </w:instrText>
      </w:r>
      <w:r w:rsidRPr="003E4145">
        <w:rPr>
          <w:color w:val="000000"/>
          <w:sz w:val="20"/>
          <w:szCs w:val="20"/>
        </w:rPr>
        <w:fldChar w:fldCharType="separate"/>
      </w:r>
      <w:r w:rsidRPr="003E4145">
        <w:rPr>
          <w:sz w:val="20"/>
          <w:szCs w:val="20"/>
        </w:rPr>
        <w:t>Beccari (2016)</w:t>
      </w:r>
      <w:r w:rsidRPr="003E4145">
        <w:rPr>
          <w:color w:val="000000"/>
          <w:sz w:val="20"/>
          <w:szCs w:val="20"/>
        </w:rPr>
        <w:fldChar w:fldCharType="end"/>
      </w:r>
      <w:r w:rsidRPr="003E4145">
        <w:rPr>
          <w:color w:val="000000"/>
          <w:sz w:val="20"/>
          <w:szCs w:val="20"/>
        </w:rPr>
        <w:t xml:space="preserve"> reviews 106 index-based sub-national risk, vulnerability and resilience assessments in regards to their methodological approach (i.e. key steps in index construction). His study finds substantial variation in index construction methodologies, however a number of common trends also became evident from the review: indicators were commonly chosen by experts, either not normalized or normalized using min-max approaches, and were combined using equal weights. Maps represented the most common format of visualizing the results. The analysis also revealed a large variation in the variables that were used in assessments, ranging from as few as two to as many as 235 (with 75% using less than 40 variables). Population density and unemployment rate were by far the most commonly used indicators, followed by population above 65 and GDP per capita. </w:t>
      </w:r>
      <w:r w:rsidRPr="003E4145">
        <w:rPr>
          <w:color w:val="000000"/>
          <w:sz w:val="20"/>
          <w:szCs w:val="20"/>
        </w:rPr>
        <w:fldChar w:fldCharType="begin"/>
      </w:r>
      <w:r w:rsidRPr="003E4145">
        <w:rPr>
          <w:color w:val="000000"/>
          <w:sz w:val="20"/>
          <w:szCs w:val="20"/>
        </w:rPr>
        <w:instrText xml:space="preserve"> ADDIN ZOTERO_ITEM CSL_CITATION {"citationID":"svDDVoyn","properties":{"formattedCitation":"(Ford et al., 2018)","plainCitation":"(Ford et al., 2018)","noteIndex":0},"citationItems":[{"id":2435,"uris":["http://zotero.org/groups/2597160/items/7T9YKYUM"],"uri":["http://zotero.org/groups/2597160/items/7T9YKYUM"],"itemData":{"id":2435,"type":"article-journal","abstract":"The concept of vulnerability is well established in the climate change literature, underpinning significant research effort. The ability of vulnerability research to capture the complexities of climate-society dynamics has been increasingly questioned, however. In this paper, we identify, characterize, and evaluate concerns over the use of vulnerability approaches in the climate change field based on a review of peer-reviewed articles published since 1990 (n = 587). Seven concerns are identified: neglect of social drivers, promotion of a static understanding of human-environment interactions, vagueness about the concept of vulnerability, neglect of cross-scale interactions, passive and negative framing, limited influence on decision-making, and limited collaboration across disciplines. Examining each concern against trends in the literature, we find some of these concerns weakly justified, but others pose valid challenges to vulnerability research. Efforts to revitalize vulnerability research are needed, with priority areas including developing the next generation of empirical studies, catalyzing collaboration across disciplines to leverage and build on the strengths of divergent intellectual traditions involved in vulnerability research, and linking research to the practical realities of decision-making.","container-title":"Climatic Change","DOI":"10.1007/s10584-018-2304-1","ISSN":"1573-1480","issue":"2","journalAbbreviation":"Climatic Change","language":"en","page":"189-203","source":"Springer Link","title":"Vulnerability and its discontents: the past, present, and future of climate change vulnerability research","title-short":"Vulnerability and its discontents","volume":"151","author":[{"family":"Ford","given":"James D."},{"family":"Pearce","given":"Tristan"},{"family":"McDowell","given":"Graham"},{"family":"Berrang-Ford","given":"Lea"},{"family":"Sayles","given":"Jesse S."},{"family":"Belfer","given":"Ella"}],"issued":{"date-parts":[["2018",11,1]]}}}],"schema":"https://github.com/citation-style-language/schema/raw/master/csl-citation.json"} </w:instrText>
      </w:r>
      <w:r w:rsidRPr="003E4145">
        <w:rPr>
          <w:color w:val="000000"/>
          <w:sz w:val="20"/>
          <w:szCs w:val="20"/>
        </w:rPr>
        <w:fldChar w:fldCharType="separate"/>
      </w:r>
      <w:r w:rsidRPr="003E4145">
        <w:rPr>
          <w:sz w:val="20"/>
          <w:szCs w:val="20"/>
        </w:rPr>
        <w:t>Ford et al. (2018)</w:t>
      </w:r>
      <w:r w:rsidRPr="003E4145">
        <w:rPr>
          <w:color w:val="000000"/>
          <w:sz w:val="20"/>
          <w:szCs w:val="20"/>
        </w:rPr>
        <w:fldChar w:fldCharType="end"/>
      </w:r>
      <w:r w:rsidRPr="003E4145">
        <w:rPr>
          <w:color w:val="000000"/>
          <w:sz w:val="20"/>
          <w:szCs w:val="20"/>
        </w:rPr>
        <w:t xml:space="preserve"> reviewed 587 climate change vulnerability assessments published in the peer-reviewed literature since 1990. Based on their comprehensive review they identify seven key concerns to inform future research: prioritization of physical and/or environmental over social vulnerability drivers, promotion of a rather static understanding of human-environmental interactions, neglect of cross-scale interactions, ambiguity in some of the underlying drivers of vulnerability, limited influence on decision making and, confirming a point stressed by </w:t>
      </w:r>
      <w:r w:rsidRPr="003E4145">
        <w:rPr>
          <w:color w:val="000000"/>
          <w:sz w:val="20"/>
          <w:szCs w:val="20"/>
        </w:rPr>
        <w:fldChar w:fldCharType="begin"/>
      </w:r>
      <w:r w:rsidRPr="003E4145">
        <w:rPr>
          <w:color w:val="000000"/>
          <w:sz w:val="20"/>
          <w:szCs w:val="20"/>
        </w:rPr>
        <w:instrText xml:space="preserve"> ADDIN ZOTERO_ITEM CSL_CITATION {"citationID":"MS4c4Ilv","properties":{"formattedCitation":"(Preston et al., 2011)","plainCitation":"(Preston et al., 2011)","noteIndex":0},"citationItems":[{"id":2565,"uris":["http://zotero.org/groups/2597160/items/GVQPS8GU"],"uri":["http://zotero.org/groups/2597160/items/GVQPS8GU"],"itemData":{"id":2565,"type":"article-journal","abstract":"There is growing demand among stakeholders across public and private institutions for spatially-explicit information regarding  vulnerability to climate change at the local scale. However, the challenges associated with mapping the geography of climate change vulnerability are non-trivial, both conceptually and technically, suggesting the need for more critical evaluation of this practice. Here, we review climate change vulnerability mapping in the context of four key questions that are fundamental to assessment design. First, what are the goals of the assessment? A review of published assessments yields a range of objective statements that emphasize problem orientation or decision-making about adaptation actions. Second, how is the assessment of vulnerability framed? Assessments vary with respect to what values are assessed (vulnerability of what) and the underlying determinants of vulnerability that are considered (vulnerability to what). The selected frame ultimately influences perceptions of the primary driving forces of vulnerability as well as preferences regarding management alternatives. Third, what are the technical methods by which an assessment is conducted? The integration of vulnerability determinants into a common map remains an emergent and subjective practice associated with a number of methodological challenges. Fourth, who participates in the assessment and how will it be used to facilitate change? Assessments are often conducted under the auspices of benefiting stakeholders, yet many lack direct engagement with stakeholders. Each of these questions is reviewed in turn by drawing on an illustrative set of 45 vulnerability mapping studies appearing in the literature. A number of pathways for placing vulnerability mapping on a more robust footing are also identified.","container-title":"Sustainability Science","DOI":"10.1007/s11625-011-0129-1","ISSN":"1862-4057","issue":"2","journalAbbreviation":"Sustain Sci","language":"en","page":"177-202","source":"Springer Link","title":"Putting vulnerability to climate change on the map: a review of approaches, benefits, and risks","title-short":"Putting vulnerability to climate change on the map","volume":"6","author":[{"family":"Preston","given":"Benjamin L."},{"family":"Yuen","given":"Emma J."},{"family":"Westaway","given":"Richard M."}],"issued":{"date-parts":[["2011",7,1]]}}}],"schema":"https://github.com/citation-style-language/schema/raw/master/csl-citation.json"} </w:instrText>
      </w:r>
      <w:r w:rsidRPr="003E4145">
        <w:rPr>
          <w:color w:val="000000"/>
          <w:sz w:val="20"/>
          <w:szCs w:val="20"/>
        </w:rPr>
        <w:fldChar w:fldCharType="separate"/>
      </w:r>
      <w:r w:rsidRPr="003E4145">
        <w:rPr>
          <w:sz w:val="20"/>
          <w:szCs w:val="20"/>
        </w:rPr>
        <w:t>Preston et al. (2011)</w:t>
      </w:r>
      <w:r w:rsidRPr="003E4145">
        <w:rPr>
          <w:color w:val="000000"/>
          <w:sz w:val="20"/>
          <w:szCs w:val="20"/>
        </w:rPr>
        <w:fldChar w:fldCharType="end"/>
      </w:r>
      <w:r w:rsidRPr="003E4145">
        <w:rPr>
          <w:color w:val="000000"/>
          <w:sz w:val="20"/>
          <w:szCs w:val="20"/>
        </w:rPr>
        <w:t xml:space="preserve"> before, limited collaboration with stakeholders. </w:t>
      </w:r>
      <w:r w:rsidRPr="003E4145">
        <w:rPr>
          <w:color w:val="000000"/>
          <w:sz w:val="20"/>
          <w:szCs w:val="20"/>
        </w:rPr>
        <w:fldChar w:fldCharType="begin"/>
      </w:r>
      <w:r w:rsidRPr="003E4145">
        <w:rPr>
          <w:color w:val="000000"/>
          <w:sz w:val="20"/>
          <w:szCs w:val="20"/>
        </w:rPr>
        <w:instrText xml:space="preserve"> ADDIN ZOTERO_ITEM CSL_CITATION {"citationID":"lF4dAEHU","properties":{"formattedCitation":"(Hagenlocher et al., 2019b)","plainCitation":"(Hagenlocher et al., 2019b)","noteIndex":0},"citationItems":[{"id":2437,"uris":["http://zotero.org/groups/2597160/items/DJTPF66F"],"uri":["http://zotero.org/groups/2597160/items/DJTPF66F"],"itemData":{"id":2437,"type":"article-journal","abstract":"Reducing the social, environmental, and economic impacts of droughts and identifying pathways towards drought resilient societies remains a global priority. A common understanding of the drivers of drought risk and ways in which drought impacts materialize is crucial for improved assessments and for the identification and (spatial) planning of targeted drought risk reduction and adaptation options. Over the past two decades, we have witnessed an increase in drought risk assessments across spatial and temporal scales drawing on a multitude of conceptual foundations and methodological approaches. Recognizing the diversity of approaches in science and practice as well as the associated opportunities and challenges, we present the outcomes of a systematic literature review of the state of the art of people-centered drought vulnerability and risk conceptualization and assessments, and identify persisting gaps. Our analysis shows that, of the reviewed assessments, (i) more than 60% do not explicitly specify the type of drought hazard that is addressed, (ii) 42% do not provide a clear definition of drought risk, (iii) 62% apply static, index-based approaches, (iv) 57% of the indicator-based assessments do not specify their weighting methods, (v) only 11% conduct any form of validation, (vi) only ten percent develop future scenarios of drought risk, and (vii) only about 40% of the assessments establish a direct link to drought risk reduction or adaptation strategies, i.e. consider solutions. We discuss the challenges associated with these findings for both assessment and identification of drought risk reduction measures, and identify research needs to inform future research and policy agendas in order to advance the understanding of drought risk and support pathways towards more drought resilient societies.","container-title":"Environmental Research Letters","DOI":"10.1088/1748-9326/ab225d","ISSN":"1748-9326","issue":"8","journalAbbreviation":"Environ. Res. Lett.","language":"en","note":"publisher: IOP Publishing","page":"083002","source":"Institute of Physics","title":"Drought vulnerability and risk assessments: state of the art, persistent gaps, and research agenda","title-short":"Drought vulnerability and risk assessments","volume":"14","author":[{"family":"Hagenlocher","given":"Michael"},{"family":"Meza","given":"Isabel"},{"family":"Anderson","given":"Carl C."},{"family":"Min","given":"Annika"},{"family":"Renaud","given":"Fabrice G."},{"family":"Walz","given":"Yvonne"},{"family":"Siebert","given":"Stefan"},{"family":"Sebesvari","given":"Zita"}],"issued":{"date-parts":[["2019",7]]}}}],"schema":"https://github.com/citation-style-language/schema/raw/master/csl-citation.json"} </w:instrText>
      </w:r>
      <w:r w:rsidRPr="003E4145">
        <w:rPr>
          <w:color w:val="000000"/>
          <w:sz w:val="20"/>
          <w:szCs w:val="20"/>
        </w:rPr>
        <w:fldChar w:fldCharType="separate"/>
      </w:r>
      <w:r w:rsidRPr="003E4145">
        <w:rPr>
          <w:sz w:val="20"/>
          <w:szCs w:val="20"/>
        </w:rPr>
        <w:t>Hagenlocher et al. (2019b)</w:t>
      </w:r>
      <w:r w:rsidRPr="003E4145">
        <w:rPr>
          <w:color w:val="000000"/>
          <w:sz w:val="20"/>
          <w:szCs w:val="20"/>
        </w:rPr>
        <w:fldChar w:fldCharType="end"/>
      </w:r>
      <w:r w:rsidRPr="003E4145">
        <w:rPr>
          <w:color w:val="000000"/>
          <w:sz w:val="20"/>
          <w:szCs w:val="20"/>
        </w:rPr>
        <w:t xml:space="preserve"> reviewed and evaluated 105 drought vulnerability and risk assessments across spatial (local to global) and temporal scales. Their analysis shows that more than 40% of the assessments did not provide a clear definition of risk, index-based approaches are used most frequently (&gt;60% of all assessments; confirming findings from </w:t>
      </w:r>
      <w:r w:rsidRPr="003E4145">
        <w:rPr>
          <w:color w:val="000000"/>
          <w:sz w:val="20"/>
          <w:szCs w:val="20"/>
        </w:rPr>
        <w:fldChar w:fldCharType="begin"/>
      </w:r>
      <w:r w:rsidRPr="003E4145">
        <w:rPr>
          <w:color w:val="000000"/>
          <w:sz w:val="20"/>
          <w:szCs w:val="20"/>
        </w:rPr>
        <w:instrText xml:space="preserve"> ADDIN ZOTERO_ITEM CSL_CITATION {"citationID":"uTXnYkS6","properties":{"formattedCitation":"(Beccari, 2016)","plainCitation":"(Beccari, 2016)","noteIndex":0},"citationItems":[{"id":2415,"uris":["http://zotero.org/groups/2597160/items/ARBGMDMI"],"uri":["http://zotero.org/groups/2597160/items/ARBGMDMI"],"itemData":{"id":2415,"type":"article-journal","abstract":"Introduction: In the past decade significant attention has been given to the development of tools that attempt to measure the vulnerability, risk or resilience of communities to disasters. Particular attention has been given to the development of composite indices to quantify these concepts mirroring their deployment in other fields such as sustainable development. Whilst some authors have published reviews of disaster vulnerability, risk and resilience composite indicator methodologies, these have been of a limited nature. This paper seeks to dramatically expand these efforts by analysing 106 composite indicator methodologies to understand the breadth and depth of practice.","container-title":"PLoS Currents","DOI":"10.1371/currents.dis.453df025e34b682e9737f95070f9b970","ISSN":"2157-3999","journalAbbreviation":"PLoS Curr","language":"en","source":"DOI.org (Crossref)","title":"A Comparative Analysis of Disaster Risk, Vulnerability and Resilience Composite Indicators","URL":"https://currents.plos.org/disasters/?p=26273","author":[{"family":"Beccari","given":"Benjamin"}],"accessed":{"date-parts":[["2020",10,29]]},"issued":{"date-parts":[["2016"]]}}}],"schema":"https://github.com/citation-style-language/schema/raw/master/csl-citation.json"} </w:instrText>
      </w:r>
      <w:r w:rsidRPr="003E4145">
        <w:rPr>
          <w:color w:val="000000"/>
          <w:sz w:val="20"/>
          <w:szCs w:val="20"/>
        </w:rPr>
        <w:fldChar w:fldCharType="separate"/>
      </w:r>
      <w:r w:rsidRPr="003E4145">
        <w:rPr>
          <w:sz w:val="20"/>
          <w:szCs w:val="20"/>
        </w:rPr>
        <w:t>Beccari (2016)</w:t>
      </w:r>
      <w:r w:rsidRPr="003E4145">
        <w:rPr>
          <w:color w:val="000000"/>
          <w:sz w:val="20"/>
          <w:szCs w:val="20"/>
        </w:rPr>
        <w:fldChar w:fldCharType="end"/>
      </w:r>
      <w:r w:rsidRPr="003E4145">
        <w:rPr>
          <w:color w:val="000000"/>
          <w:sz w:val="20"/>
          <w:szCs w:val="20"/>
        </w:rPr>
        <w:t xml:space="preserve">, the majority did not specify their weighting method, only few conducted any form of validation of their results, and less than 40% provided recommendations for action and policy. </w:t>
      </w:r>
      <w:r w:rsidRPr="003E4145">
        <w:rPr>
          <w:color w:val="000000"/>
          <w:sz w:val="20"/>
          <w:szCs w:val="20"/>
        </w:rPr>
        <w:fldChar w:fldCharType="begin"/>
      </w:r>
      <w:r w:rsidRPr="003E4145">
        <w:rPr>
          <w:color w:val="000000"/>
          <w:sz w:val="20"/>
          <w:szCs w:val="20"/>
        </w:rPr>
        <w:instrText xml:space="preserve"> ADDIN ZOTERO_ITEM CSL_CITATION {"citationID":"EtE4dqfg","properties":{"formattedCitation":"(de Sherbinin et al., 2019)","plainCitation":"(de Sherbinin et al., 2019)","noteIndex":0},"citationItems":[{"id":2407,"uris":["http://zotero.org/groups/2597160/items/L9YKSH9J"],"uri":["http://zotero.org/groups/2597160/items/L9YKSH9J"],"itemData":{"id":2407,"type":"article-journal","abstract":"Maps synthesizing climate, biophysical and socioeconomic data have become part of the standard tool-kit for communicating the risks of climate change to society. Vulnerability maps are used to direct attention to geographic areas where impacts on society are expected to be greatest and that may therefore require adaptation interventions. Under the Green Climate Fund and other bilateral climate adaptation funding mechanisms, donors are investing billions of dollars of adaptation funds, often with guidance from modeling results, visualized and communicated through maps and spatial decision support tools. This paper presents the results of a systematic review of 84 studies that map social vulnerability to climate impacts. These assessments are compiled by interdisciplinary teams of researchers, span many regions, range in scale from local to global, and vary in terms of frameworks, data, methods, and thematic foci. The goal is to identify common approaches to mapping, evaluate their strengths and limitations, and offer recommendations and future directions for the field. The systematic review finds some convergence around common frameworks developed by the Intergovernmental Panel on Climate Change, frequent use of linear index aggregation, and common approaches to the selection and use of climate and socioeconomic data. Further, it identifies limitations such as a lack of future climate and socioeconomic projections in many studies, insufficient characterization of uncertainty, challenges in map validation, and insufficient engagement with policy audiences for those studies that purport to be policy relevant. Finally, it provides recommendations for addressing the identified shortcomings.","container-title":"Wiley Interdisciplinary Reviews: Climate Change","DOI":"10.1002/wcc.600","ISSN":"1757-7780, 1757-7799","journalAbbreviation":"WIREs Clim Change","language":"en","source":"DOI.org (Crossref)","title":"Climate vulnerability mapping: A systematic review and future prospects","title-short":"Climate vulnerability mapping","URL":"https://onlinelibrary.wiley.com/doi/abs/10.1002/wcc.600","author":[{"family":"Sherbinin","given":"Alex","non-dropping-particle":"de"},{"family":"Bukvic","given":"Anamaria"},{"family":"Rohat","given":"Guillaume"},{"family":"Gall","given":"Melanie"},{"family":"McCusker","given":"Brent"},{"family":"Preston","given":"Benjamin"},{"family":"Apotsos","given":"Alex"},{"family":"Fish","given":"Carolyn"},{"family":"Kienberger","given":"Stefan"},{"family":"Muhonda","given":"Park"},{"family":"Wilhelmi","given":"Olga"},{"family":"Macharia","given":"Denis"},{"family":"Shubert","given":"William"},{"family":"Sliuzas","given":"Richard"},{"family":"Tomaszewski","given":"Brian"},{"family":"Zhang","given":"Sainan"}],"accessed":{"date-parts":[["2020",10,29]]},"issued":{"date-parts":[["2019",7,15]]}}}],"schema":"https://github.com/citation-style-language/schema/raw/master/csl-citation.json"} </w:instrText>
      </w:r>
      <w:r w:rsidRPr="003E4145">
        <w:rPr>
          <w:color w:val="000000"/>
          <w:sz w:val="20"/>
          <w:szCs w:val="20"/>
        </w:rPr>
        <w:fldChar w:fldCharType="separate"/>
      </w:r>
      <w:r w:rsidRPr="003E4145">
        <w:rPr>
          <w:sz w:val="20"/>
          <w:szCs w:val="20"/>
        </w:rPr>
        <w:t xml:space="preserve">De </w:t>
      </w:r>
      <w:proofErr w:type="spellStart"/>
      <w:r w:rsidRPr="003E4145">
        <w:rPr>
          <w:sz w:val="20"/>
          <w:szCs w:val="20"/>
        </w:rPr>
        <w:t>Sherbinin</w:t>
      </w:r>
      <w:proofErr w:type="spellEnd"/>
      <w:r w:rsidRPr="003E4145">
        <w:rPr>
          <w:sz w:val="20"/>
          <w:szCs w:val="20"/>
        </w:rPr>
        <w:t xml:space="preserve"> et al.</w:t>
      </w:r>
      <w:r w:rsidR="00E0458D">
        <w:rPr>
          <w:sz w:val="20"/>
          <w:szCs w:val="20"/>
        </w:rPr>
        <w:t xml:space="preserve"> </w:t>
      </w:r>
      <w:r w:rsidRPr="003E4145">
        <w:rPr>
          <w:sz w:val="20"/>
          <w:szCs w:val="20"/>
        </w:rPr>
        <w:t>(2019)</w:t>
      </w:r>
      <w:r w:rsidRPr="003E4145">
        <w:rPr>
          <w:color w:val="000000"/>
          <w:sz w:val="20"/>
          <w:szCs w:val="20"/>
        </w:rPr>
        <w:fldChar w:fldCharType="end"/>
      </w:r>
      <w:r w:rsidRPr="003E4145">
        <w:rPr>
          <w:color w:val="000000"/>
          <w:sz w:val="20"/>
          <w:szCs w:val="20"/>
        </w:rPr>
        <w:t xml:space="preserve"> reviewed 84 climate change vulnerability mapping studies with the aim to identify best practices and limitations and provide recommendations for future spatial assessments. Their study confirms findings of previous similar efforts described above (e.g. frequent use of index-based approaches, challenges in map validation, and insufficient engagement with stakeholders), but also finds increasing conceptual convergence in the way that an increasing number of assessments is based on the latest risk definitions put forward by the Intergovernmental Panel on Climate Change (IPCC). Lastly, and most recently, </w:t>
      </w:r>
      <w:r w:rsidRPr="003E4145">
        <w:rPr>
          <w:color w:val="000000"/>
          <w:sz w:val="20"/>
          <w:szCs w:val="20"/>
        </w:rPr>
        <w:fldChar w:fldCharType="begin"/>
      </w:r>
      <w:r w:rsidRPr="003E4145">
        <w:rPr>
          <w:color w:val="000000"/>
          <w:sz w:val="20"/>
          <w:szCs w:val="20"/>
        </w:rPr>
        <w:instrText xml:space="preserve"> ADDIN ZOTERO_ITEM CSL_CITATION {"citationID":"O73nUnSq","properties":{"formattedCitation":"(Ward et al., 2020)","plainCitation":"(Ward et al., 2020)","noteIndex":0},"citationItems":[{"id":2431,"uris":["http://zotero.org/groups/2597160/items/CUCF84GP"],"uri":["http://zotero.org/groups/2597160/items/CUCF84GP"],"itemData":{"id":2431,"type":"article-journal","abstract":"Abstract. Since 1990, natural hazards have led to over 1.6 million fatalities globally, and economic losses are estimated at an average of around USD 260–310 billion per year. The scientific and policy communities recognise the need to reduce these risks. As a result, the last decade has seen a rapid development of global models for assessing risk from natural hazards at the global scale. In this paper, we review the scientific literature on natural hazard risk assessments at the global scale, and we specifically examine whether and how they have examined future projections of hazard, exposure, and/or vulnerability. In doing so, we examine similarities and differences between the approaches taken across the different hazards, and we identify potential ways in which different hazard communities can learn from each other. For example, there are a number of global risk studies focusing on hydrological, climatological, and meteorological hazards that have included future projections and disaster risk reduction measures (in the case of floods), whereas fewer exist in the peer-reviewed literature for global studies related to geological hazards. On the other hand, studies of earthquake and tsunami risk are now using stochastic modelling approaches to allow for a fully probabilistic assessment of risk, which could benefit the modelling of risk from other hazards. Finally, we discuss opportunities for learning from methods and approaches being developed and applied to assess natural hazard risks at more continental or regional scales. Through this paper, we hope to\nencourage further dialogue on knowledge sharing between disciplines and\ncommunities working on different hazards and risk and at different spatial\nscales.","container-title":"Natural Hazards and Earth System Sciences","DOI":"10.5194/nhess-20-1069-2020","ISSN":"1684-9981","issue":"4","journalAbbreviation":"Nat. Hazards Earth Syst. Sci.","language":"en","page":"1069-1096","source":"DOI.org (Crossref)","title":"Review article: Natural hazard risk assessments at the global scale","title-short":"Review article","volume":"20","author":[{"family":"Ward","given":"Philip J."},{"family":"Blauhut","given":"Veit"},{"family":"Bloemendaal","given":"Nadia"},{"family":"Daniell","given":"James E."},{"family":"Ruiter","given":"Marleen C.","non-dropping-particle":"de"},{"family":"Duncan","given":"Melanie J."},{"family":"Emberson","given":"Robert"},{"family":"Jenkins","given":"Susanna F."},{"family":"Kirschbaum","given":"Dalia"},{"family":"Kunz","given":"Michael"},{"family":"Mohr","given":"Susanna"},{"family":"Muis","given":"Sanne"},{"family":"Riddell","given":"Graeme A."},{"family":"Schäfer","given":"Andreas"},{"family":"Stanley","given":"Thomas"},{"family":"Veldkamp","given":"Ted I. E."},{"family":"Winsemius","given":"Hessel C."}],"issued":{"date-parts":[["2020",4,22]]}}}],"schema":"https://github.com/citation-style-language/schema/raw/master/csl-citation.json"} </w:instrText>
      </w:r>
      <w:r w:rsidRPr="003E4145">
        <w:rPr>
          <w:color w:val="000000"/>
          <w:sz w:val="20"/>
          <w:szCs w:val="20"/>
        </w:rPr>
        <w:fldChar w:fldCharType="separate"/>
      </w:r>
      <w:r w:rsidRPr="003E4145">
        <w:rPr>
          <w:sz w:val="20"/>
          <w:szCs w:val="20"/>
        </w:rPr>
        <w:t>Ward et al. (2020)</w:t>
      </w:r>
      <w:r w:rsidRPr="003E4145">
        <w:rPr>
          <w:color w:val="000000"/>
          <w:sz w:val="20"/>
          <w:szCs w:val="20"/>
        </w:rPr>
        <w:fldChar w:fldCharType="end"/>
      </w:r>
      <w:r w:rsidRPr="003E4145">
        <w:rPr>
          <w:color w:val="000000"/>
          <w:sz w:val="20"/>
          <w:szCs w:val="20"/>
        </w:rPr>
        <w:t xml:space="preserve"> reviewed the scientific literature on global scale risk assessments for different </w:t>
      </w:r>
      <w:r w:rsidR="00E0458D">
        <w:rPr>
          <w:color w:val="000000"/>
          <w:sz w:val="20"/>
          <w:szCs w:val="20"/>
        </w:rPr>
        <w:t>hazards</w:t>
      </w:r>
      <w:r w:rsidR="00E0458D" w:rsidRPr="003E4145">
        <w:rPr>
          <w:color w:val="000000"/>
          <w:sz w:val="20"/>
          <w:szCs w:val="20"/>
        </w:rPr>
        <w:t xml:space="preserve"> </w:t>
      </w:r>
      <w:r w:rsidRPr="003E4145">
        <w:rPr>
          <w:color w:val="000000"/>
          <w:sz w:val="20"/>
          <w:szCs w:val="20"/>
        </w:rPr>
        <w:t>(e.g. cyclones, droughts, floods, earthquakes, wildfires, tsunamis, volcanoes) focusing notably on the question in how far these studies have considered future projections of hazard, exposure and vulnerability. One key finding of their study is that studies focusing on climatological, meteorological and hydrological hazards tend to consider future projections more often as compared to studies focusing on geological hazards. </w:t>
      </w:r>
    </w:p>
    <w:p w14:paraId="78B6A943" w14:textId="77777777" w:rsidR="001C310D" w:rsidRDefault="001C310D">
      <w:pPr>
        <w:rPr>
          <w:rFonts w:ascii="Times New Roman" w:hAnsi="Times New Roman" w:cs="Times New Roman"/>
          <w:b/>
          <w:sz w:val="20"/>
          <w:szCs w:val="20"/>
        </w:rPr>
      </w:pPr>
    </w:p>
    <w:p w14:paraId="12886415" w14:textId="77777777" w:rsidR="008664A1" w:rsidRPr="00497D17" w:rsidRDefault="00275037">
      <w:pPr>
        <w:rPr>
          <w:rFonts w:ascii="Times New Roman" w:hAnsi="Times New Roman" w:cs="Times New Roman"/>
          <w:b/>
          <w:sz w:val="20"/>
          <w:szCs w:val="20"/>
        </w:rPr>
      </w:pPr>
      <w:r>
        <w:rPr>
          <w:rFonts w:ascii="Times New Roman" w:hAnsi="Times New Roman" w:cs="Times New Roman"/>
          <w:b/>
          <w:sz w:val="20"/>
          <w:szCs w:val="20"/>
        </w:rPr>
        <w:t xml:space="preserve">Section 4.1: </w:t>
      </w:r>
      <w:r w:rsidR="008664A1" w:rsidRPr="00497D17">
        <w:rPr>
          <w:rFonts w:ascii="Times New Roman" w:hAnsi="Times New Roman" w:cs="Times New Roman"/>
          <w:b/>
          <w:sz w:val="20"/>
          <w:szCs w:val="20"/>
        </w:rPr>
        <w:t xml:space="preserve">Comparison of </w:t>
      </w:r>
      <w:r w:rsidR="00497D17" w:rsidRPr="00497D17">
        <w:rPr>
          <w:rFonts w:ascii="Times New Roman" w:hAnsi="Times New Roman" w:cs="Times New Roman"/>
          <w:b/>
          <w:sz w:val="20"/>
          <w:szCs w:val="20"/>
        </w:rPr>
        <w:t>the four different global risk indices</w:t>
      </w:r>
    </w:p>
    <w:p w14:paraId="15742D1C" w14:textId="29814976" w:rsidR="008A7B1D" w:rsidRPr="003E4145" w:rsidRDefault="00497D17" w:rsidP="008A7B1D">
      <w:pPr>
        <w:pStyle w:val="NormalWeb"/>
        <w:spacing w:before="0" w:beforeAutospacing="0" w:after="0" w:afterAutospacing="0"/>
        <w:jc w:val="both"/>
        <w:rPr>
          <w:color w:val="000000"/>
          <w:sz w:val="20"/>
          <w:szCs w:val="20"/>
        </w:rPr>
      </w:pPr>
      <w:r>
        <w:rPr>
          <w:sz w:val="20"/>
          <w:szCs w:val="20"/>
        </w:rPr>
        <w:t xml:space="preserve">Expanding on </w:t>
      </w:r>
      <w:r w:rsidR="00275037">
        <w:rPr>
          <w:sz w:val="20"/>
          <w:szCs w:val="20"/>
        </w:rPr>
        <w:t>4.1</w:t>
      </w:r>
      <w:r>
        <w:rPr>
          <w:sz w:val="20"/>
          <w:szCs w:val="20"/>
        </w:rPr>
        <w:t xml:space="preserve"> of the paper, </w:t>
      </w:r>
      <w:r w:rsidR="00275037">
        <w:rPr>
          <w:sz w:val="20"/>
          <w:szCs w:val="20"/>
        </w:rPr>
        <w:t xml:space="preserve">this section and Table SM1 </w:t>
      </w:r>
      <w:r>
        <w:rPr>
          <w:sz w:val="20"/>
          <w:szCs w:val="20"/>
        </w:rPr>
        <w:t xml:space="preserve">provide a detailed overview of the four different global risk indices including their aims and sub-components. </w:t>
      </w:r>
      <w:r w:rsidR="008A7B1D" w:rsidRPr="003E4145">
        <w:rPr>
          <w:color w:val="000000"/>
          <w:sz w:val="20"/>
          <w:szCs w:val="20"/>
        </w:rPr>
        <w:t>The WRI aims to analyze the risk of 171 countries to suffer harm or damage from natural hazards. Conceptually, risk is framed as being the product of exposure and vulnerability.  The WRI defines vulnerability as the sum of susceptibility, lack of coping capacity and lack of adaptive capacity. People affected by natural hazards such as floods, cyclones, and sea level are the exposed element. Conceptually</w:t>
      </w:r>
      <w:r w:rsidR="008A7B1D">
        <w:rPr>
          <w:color w:val="000000"/>
          <w:sz w:val="20"/>
          <w:szCs w:val="20"/>
        </w:rPr>
        <w:t>,</w:t>
      </w:r>
      <w:r w:rsidR="008A7B1D" w:rsidRPr="003E4145">
        <w:rPr>
          <w:color w:val="000000"/>
          <w:sz w:val="20"/>
          <w:szCs w:val="20"/>
        </w:rPr>
        <w:t xml:space="preserve"> INFORM is closely related to the WRI, as it defines risk as the product of exposure multiplied by vulnerability and the lack of coping capacity in 191 countries. Similar to the WRI, INFORM views exposure as the amount of people exposed to natural hazards. However, it is quite different from the WRI in that it considers exposure not only to natural hazards but, in a second exposure component, also to human hazards, understood as current and projected conflicts. This difference originates in the fact that INFORM puts the focus on the risk to humanitarian crisis </w:t>
      </w:r>
      <w:r w:rsidR="008A7B1D" w:rsidRPr="003E4145">
        <w:rPr>
          <w:color w:val="000000"/>
          <w:sz w:val="20"/>
          <w:szCs w:val="20"/>
        </w:rPr>
        <w:lastRenderedPageBreak/>
        <w:t>and disaster, acknowledging the strong feedback and cascading impacts particularly between violent conflicts and disasters related to natural hazards. However, given that the focus of our paper here is on climate and disaster risk and that we want to consistently compare between indices with this focus, we use only the exposure to natural hazards when comparing the different exposure dimensions.</w:t>
      </w:r>
    </w:p>
    <w:p w14:paraId="24F3367B" w14:textId="77777777" w:rsidR="008A7B1D" w:rsidRPr="003E4145" w:rsidRDefault="008A7B1D" w:rsidP="008A7B1D">
      <w:pPr>
        <w:pStyle w:val="NormalWeb"/>
        <w:spacing w:before="0" w:beforeAutospacing="0" w:after="0" w:afterAutospacing="0"/>
        <w:jc w:val="both"/>
        <w:rPr>
          <w:sz w:val="20"/>
          <w:szCs w:val="20"/>
        </w:rPr>
      </w:pPr>
    </w:p>
    <w:p w14:paraId="217DE613" w14:textId="77777777" w:rsidR="008A7B1D" w:rsidRPr="003E4145" w:rsidRDefault="008A7B1D" w:rsidP="008A7B1D">
      <w:pPr>
        <w:pStyle w:val="NormalWeb"/>
        <w:spacing w:before="0" w:beforeAutospacing="0" w:after="0" w:afterAutospacing="0"/>
        <w:jc w:val="both"/>
        <w:rPr>
          <w:color w:val="000000"/>
          <w:sz w:val="20"/>
          <w:szCs w:val="20"/>
        </w:rPr>
      </w:pPr>
      <w:r w:rsidRPr="003E4145">
        <w:rPr>
          <w:color w:val="000000"/>
          <w:sz w:val="20"/>
          <w:szCs w:val="20"/>
        </w:rPr>
        <w:t>GAIN aims to assess how well countries (</w:t>
      </w:r>
      <w:r w:rsidRPr="003E4145">
        <w:rPr>
          <w:i/>
          <w:iCs/>
          <w:color w:val="000000"/>
          <w:sz w:val="20"/>
          <w:szCs w:val="20"/>
        </w:rPr>
        <w:t>n</w:t>
      </w:r>
      <w:r w:rsidRPr="003E4145">
        <w:rPr>
          <w:color w:val="000000"/>
          <w:sz w:val="20"/>
          <w:szCs w:val="20"/>
        </w:rPr>
        <w:t>=175) are prepared to deal with climate change. Conceptually, it considers a country’s readiness (consisting of economic, governance and social readiness) and juxtaposes it to vulnerability, considering six main sectors (food, water, health, ecosystem services, human habitat and infrastructure). In contrast to the WRI and INFORM approach, GAIN includes exposure in the vulnerability component. It calculates vulnerability as exposure multiplied by susceptibility and the lack of adaptive capacity. The focus on climate change and projected changes of global natural features (e.g. Projected change of cereal yields or warm periods) instead of probabilistic models (e.g. annual expected exposed people to floods) as exposure is an additional unique feature. </w:t>
      </w:r>
    </w:p>
    <w:p w14:paraId="75F03520" w14:textId="77777777" w:rsidR="008A7B1D" w:rsidRPr="003E4145" w:rsidRDefault="008A7B1D" w:rsidP="008A7B1D">
      <w:pPr>
        <w:pStyle w:val="NormalWeb"/>
        <w:spacing w:before="0" w:beforeAutospacing="0" w:after="0" w:afterAutospacing="0"/>
        <w:jc w:val="both"/>
        <w:rPr>
          <w:sz w:val="20"/>
          <w:szCs w:val="20"/>
        </w:rPr>
      </w:pPr>
    </w:p>
    <w:p w14:paraId="0E638B14" w14:textId="5FEC06A9" w:rsidR="00497D17" w:rsidRDefault="008A7B1D" w:rsidP="007E5766">
      <w:pPr>
        <w:pStyle w:val="NormalWeb"/>
        <w:spacing w:before="0" w:beforeAutospacing="0" w:after="0" w:afterAutospacing="0"/>
        <w:jc w:val="both"/>
        <w:rPr>
          <w:sz w:val="20"/>
          <w:szCs w:val="20"/>
        </w:rPr>
      </w:pPr>
      <w:r w:rsidRPr="003E4145">
        <w:rPr>
          <w:color w:val="000000"/>
          <w:sz w:val="20"/>
          <w:szCs w:val="20"/>
        </w:rPr>
        <w:t xml:space="preserve">The CRI does not follow the standard risk framework but incorporates the relative and absolute fatalities and economic losses of weather-related loss-events for 181 countries over the past 20 years (1999-2018). Hence, it is very different from the other three indices as it concentrates exclusively on past damages. It does not apply a forward-looking and hypothetical perspective of risk and it does not offer detailed information on the </w:t>
      </w:r>
      <w:r>
        <w:rPr>
          <w:color w:val="000000"/>
          <w:sz w:val="20"/>
          <w:szCs w:val="20"/>
        </w:rPr>
        <w:t>sub-components</w:t>
      </w:r>
      <w:r w:rsidRPr="003E4145">
        <w:rPr>
          <w:color w:val="000000"/>
          <w:sz w:val="20"/>
          <w:szCs w:val="20"/>
        </w:rPr>
        <w:t xml:space="preserve"> of risk. </w:t>
      </w:r>
    </w:p>
    <w:p w14:paraId="1BDB3FC1" w14:textId="77777777" w:rsidR="00E64BC8" w:rsidRPr="003E4145" w:rsidRDefault="00E64BC8" w:rsidP="00E64BC8">
      <w:pPr>
        <w:pStyle w:val="Heading2"/>
        <w:spacing w:before="360" w:beforeAutospacing="0" w:after="120" w:afterAutospacing="0"/>
        <w:rPr>
          <w:sz w:val="20"/>
          <w:szCs w:val="20"/>
        </w:rPr>
      </w:pPr>
      <w:r w:rsidRPr="003E4145">
        <w:rPr>
          <w:i/>
          <w:iCs/>
          <w:color w:val="000000"/>
          <w:sz w:val="20"/>
          <w:szCs w:val="20"/>
        </w:rPr>
        <w:t xml:space="preserve">Table </w:t>
      </w:r>
      <w:r w:rsidR="00275037">
        <w:rPr>
          <w:i/>
          <w:iCs/>
          <w:color w:val="000000"/>
          <w:sz w:val="20"/>
          <w:szCs w:val="20"/>
        </w:rPr>
        <w:t>SM</w:t>
      </w:r>
      <w:r w:rsidRPr="003E4145">
        <w:rPr>
          <w:i/>
          <w:iCs/>
          <w:color w:val="000000"/>
          <w:sz w:val="20"/>
          <w:szCs w:val="20"/>
        </w:rPr>
        <w:t>1</w:t>
      </w:r>
      <w:r w:rsidRPr="003E4145">
        <w:rPr>
          <w:b w:val="0"/>
          <w:bCs w:val="0"/>
          <w:i/>
          <w:iCs/>
          <w:color w:val="000000"/>
          <w:sz w:val="20"/>
          <w:szCs w:val="20"/>
        </w:rPr>
        <w:t xml:space="preserve">: Comparison of the four different global risk indices, their aims and </w:t>
      </w:r>
      <w:r>
        <w:rPr>
          <w:b w:val="0"/>
          <w:bCs w:val="0"/>
          <w:i/>
          <w:iCs/>
          <w:color w:val="000000"/>
          <w:sz w:val="20"/>
          <w:szCs w:val="20"/>
        </w:rPr>
        <w:t>sub-components</w:t>
      </w:r>
      <w:r w:rsidRPr="003E4145">
        <w:rPr>
          <w:b w:val="0"/>
          <w:bCs w:val="0"/>
          <w:i/>
          <w:iCs/>
          <w:color w:val="000000"/>
          <w:sz w:val="20"/>
          <w:szCs w:val="20"/>
        </w:rPr>
        <w:t>. </w:t>
      </w:r>
    </w:p>
    <w:tbl>
      <w:tblPr>
        <w:tblW w:w="0" w:type="auto"/>
        <w:tblCellMar>
          <w:top w:w="15" w:type="dxa"/>
          <w:left w:w="15" w:type="dxa"/>
          <w:bottom w:w="15" w:type="dxa"/>
          <w:right w:w="15" w:type="dxa"/>
        </w:tblCellMar>
        <w:tblLook w:val="04A0" w:firstRow="1" w:lastRow="0" w:firstColumn="1" w:lastColumn="0" w:noHBand="0" w:noVBand="1"/>
      </w:tblPr>
      <w:tblGrid>
        <w:gridCol w:w="1552"/>
        <w:gridCol w:w="2129"/>
        <w:gridCol w:w="1380"/>
        <w:gridCol w:w="2902"/>
        <w:gridCol w:w="1377"/>
      </w:tblGrid>
      <w:tr w:rsidR="00E64BC8" w:rsidRPr="005B3603" w14:paraId="2489606D" w14:textId="77777777" w:rsidTr="00662DA1">
        <w:trPr>
          <w:trHeight w:val="405"/>
        </w:trPr>
        <w:tc>
          <w:tcPr>
            <w:tcW w:w="0" w:type="auto"/>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hideMark/>
          </w:tcPr>
          <w:p w14:paraId="45299F83"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 </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hideMark/>
          </w:tcPr>
          <w:p w14:paraId="68D93A9B"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World Risk Index</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hideMark/>
          </w:tcPr>
          <w:p w14:paraId="70AA3A3A" w14:textId="19F3B477" w:rsidR="00E64BC8" w:rsidRPr="005B3603" w:rsidRDefault="00E64BC8" w:rsidP="005B3603">
            <w:pPr>
              <w:pStyle w:val="NormalWeb"/>
              <w:spacing w:before="0" w:beforeAutospacing="0" w:after="0" w:afterAutospacing="0"/>
              <w:jc w:val="center"/>
              <w:rPr>
                <w:sz w:val="18"/>
                <w:szCs w:val="20"/>
              </w:rPr>
            </w:pPr>
            <w:r w:rsidRPr="005B3603">
              <w:rPr>
                <w:b/>
                <w:bCs/>
                <w:color w:val="000000"/>
                <w:sz w:val="18"/>
                <w:szCs w:val="20"/>
              </w:rPr>
              <w:t xml:space="preserve">INFORM </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hideMark/>
          </w:tcPr>
          <w:p w14:paraId="4D88AED1"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ND-GAIN</w:t>
            </w:r>
          </w:p>
        </w:tc>
        <w:tc>
          <w:tcPr>
            <w:tcW w:w="0" w:type="auto"/>
            <w:tcBorders>
              <w:top w:val="single" w:sz="8" w:space="0" w:color="000000"/>
              <w:left w:val="single" w:sz="8" w:space="0" w:color="000000"/>
              <w:bottom w:val="single" w:sz="8" w:space="0" w:color="000000"/>
              <w:right w:val="single" w:sz="8" w:space="0" w:color="000000"/>
            </w:tcBorders>
            <w:shd w:val="clear" w:color="auto" w:fill="D0CECE"/>
            <w:tcMar>
              <w:top w:w="100" w:type="dxa"/>
              <w:left w:w="100" w:type="dxa"/>
              <w:bottom w:w="100" w:type="dxa"/>
              <w:right w:w="100" w:type="dxa"/>
            </w:tcMar>
            <w:hideMark/>
          </w:tcPr>
          <w:p w14:paraId="0FA76990"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Climate Risk Index</w:t>
            </w:r>
          </w:p>
        </w:tc>
      </w:tr>
      <w:tr w:rsidR="00E64BC8" w:rsidRPr="005B3603" w14:paraId="7C3ACF71" w14:textId="77777777" w:rsidTr="00662DA1">
        <w:trPr>
          <w:trHeight w:val="122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50865"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Aim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FD985"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Analyze the risk of a country to suffer harm or damage from natural hazards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87A16"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Analyze a country’s risk of humanitarian crisis and disaster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095BA"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Analyze which countries are best prepared to deal with global changes</w:t>
            </w:r>
          </w:p>
          <w:p w14:paraId="2DDCE49A"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AAE3B"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Analyze to what extent countries have been affected by weather-related loss-events</w:t>
            </w:r>
          </w:p>
        </w:tc>
      </w:tr>
      <w:tr w:rsidR="00E64BC8" w:rsidRPr="005B3603" w14:paraId="289016A5" w14:textId="77777777" w:rsidTr="00662DA1">
        <w:trPr>
          <w:trHeight w:val="9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52339"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Concept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5479A"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Risk = Exposure * Vulnerability;   with Vulnerability = Susceptibility + (1-Coping Capacity) + (1-Adaptive Capacity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E8CF9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Risk = Exposure x Vulnerability x (1-Coping Capacity)</w:t>
            </w:r>
          </w:p>
          <w:p w14:paraId="1F6FA161"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EC674"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ND-GAIN = (Readiness – Vulnerability + 1) * 50</w:t>
            </w:r>
          </w:p>
          <w:p w14:paraId="38601D2B"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Vulnerability  = Exposure * Sensitivity * (1-Adaptive Capacity)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4BC9F8"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Risk = fatalities  + economic losses</w:t>
            </w:r>
          </w:p>
        </w:tc>
      </w:tr>
      <w:tr w:rsidR="00E64BC8" w:rsidRPr="005B3603" w14:paraId="3D2673ED" w14:textId="77777777" w:rsidTr="00662DA1">
        <w:trPr>
          <w:trHeight w:val="944"/>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C192D4"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Hazards</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AB585" w14:textId="77777777" w:rsidR="00E64BC8" w:rsidRPr="005B3603" w:rsidRDefault="00E64BC8" w:rsidP="00662DA1">
            <w:pPr>
              <w:pStyle w:val="NormalWeb"/>
              <w:spacing w:before="0" w:beforeAutospacing="0" w:after="0" w:afterAutospacing="0"/>
              <w:rPr>
                <w:sz w:val="18"/>
                <w:szCs w:val="20"/>
              </w:rPr>
            </w:pPr>
            <w:r w:rsidRPr="005B3603">
              <w:rPr>
                <w:b/>
                <w:bCs/>
                <w:color w:val="000000"/>
                <w:sz w:val="18"/>
                <w:szCs w:val="20"/>
              </w:rPr>
              <w:t>Natural hazards:</w:t>
            </w:r>
          </w:p>
          <w:p w14:paraId="14827561"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floods, tropical cyclones, droughts, earthquakes</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DB758" w14:textId="77777777" w:rsidR="00E64BC8" w:rsidRPr="005B3603" w:rsidRDefault="00E64BC8" w:rsidP="00662DA1">
            <w:pPr>
              <w:pStyle w:val="NormalWeb"/>
              <w:spacing w:before="0" w:beforeAutospacing="0" w:after="0" w:afterAutospacing="0"/>
              <w:rPr>
                <w:sz w:val="18"/>
                <w:szCs w:val="20"/>
              </w:rPr>
            </w:pPr>
            <w:r w:rsidRPr="005B3603">
              <w:rPr>
                <w:b/>
                <w:bCs/>
                <w:color w:val="000000"/>
                <w:sz w:val="18"/>
                <w:szCs w:val="20"/>
              </w:rPr>
              <w:t>Climate change</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F9225"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n/a (not explicitly considered)</w:t>
            </w:r>
          </w:p>
        </w:tc>
      </w:tr>
      <w:tr w:rsidR="00E64BC8" w:rsidRPr="005B3603" w14:paraId="1135E244" w14:textId="77777777" w:rsidTr="00662DA1">
        <w:trPr>
          <w:trHeight w:val="10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3A26D0" w14:textId="77777777" w:rsidR="00E64BC8" w:rsidRPr="005B3603" w:rsidRDefault="00E64BC8" w:rsidP="00662DA1">
            <w:pPr>
              <w:rPr>
                <w:rFonts w:ascii="Times New Roman" w:hAnsi="Times New Roman" w:cs="Times New Roman"/>
                <w:sz w:val="18"/>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FB9A0" w14:textId="77777777" w:rsidR="00E64BC8" w:rsidRPr="005B3603" w:rsidRDefault="00E64BC8" w:rsidP="00662DA1">
            <w:pPr>
              <w:pStyle w:val="NormalWeb"/>
              <w:spacing w:before="0" w:beforeAutospacing="0" w:after="0" w:afterAutospacing="0"/>
              <w:rPr>
                <w:sz w:val="18"/>
                <w:szCs w:val="20"/>
              </w:rPr>
            </w:pPr>
            <w:r w:rsidRPr="005B3603">
              <w:rPr>
                <w:b/>
                <w:bCs/>
                <w:color w:val="000000"/>
                <w:sz w:val="18"/>
                <w:szCs w:val="20"/>
              </w:rPr>
              <w:t>Natural hazards:</w:t>
            </w:r>
          </w:p>
          <w:p w14:paraId="73B11493"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sea level rise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F495B" w14:textId="77777777" w:rsidR="00E64BC8" w:rsidRPr="005B3603" w:rsidRDefault="00E64BC8" w:rsidP="00662DA1">
            <w:pPr>
              <w:pStyle w:val="NormalWeb"/>
              <w:spacing w:before="0" w:beforeAutospacing="0" w:after="0" w:afterAutospacing="0"/>
              <w:rPr>
                <w:sz w:val="18"/>
                <w:szCs w:val="20"/>
              </w:rPr>
            </w:pPr>
            <w:r w:rsidRPr="005B3603">
              <w:rPr>
                <w:b/>
                <w:bCs/>
                <w:color w:val="000000"/>
                <w:sz w:val="18"/>
                <w:szCs w:val="20"/>
              </w:rPr>
              <w:t xml:space="preserve">Natural hazards: </w:t>
            </w:r>
            <w:r w:rsidRPr="005B3603">
              <w:rPr>
                <w:color w:val="000000"/>
                <w:sz w:val="18"/>
                <w:szCs w:val="20"/>
              </w:rPr>
              <w:t>tsunami</w:t>
            </w:r>
          </w:p>
          <w:p w14:paraId="275E0EF0" w14:textId="77777777" w:rsidR="00E64BC8" w:rsidRPr="005B3603" w:rsidRDefault="00E64BC8" w:rsidP="00662DA1">
            <w:pPr>
              <w:pStyle w:val="NormalWeb"/>
              <w:spacing w:before="240" w:beforeAutospacing="0" w:after="0" w:afterAutospacing="0"/>
              <w:rPr>
                <w:sz w:val="18"/>
                <w:szCs w:val="20"/>
              </w:rPr>
            </w:pPr>
            <w:r w:rsidRPr="005B3603">
              <w:rPr>
                <w:b/>
                <w:bCs/>
                <w:color w:val="000000"/>
                <w:sz w:val="18"/>
                <w:szCs w:val="20"/>
              </w:rPr>
              <w:t xml:space="preserve">Human hazards: </w:t>
            </w:r>
            <w:r w:rsidRPr="005B3603">
              <w:rPr>
                <w:color w:val="000000"/>
                <w:sz w:val="18"/>
                <w:szCs w:val="20"/>
              </w:rPr>
              <w:t>Current &amp; projected conflict intensity</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E6FCFCC" w14:textId="77777777" w:rsidR="00E64BC8" w:rsidRPr="005B3603" w:rsidRDefault="00E64BC8" w:rsidP="00662DA1">
            <w:pPr>
              <w:rPr>
                <w:rFonts w:ascii="Times New Roman" w:hAnsi="Times New Roman" w:cs="Times New Roman"/>
                <w:sz w:val="18"/>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283B14F" w14:textId="77777777" w:rsidR="00E64BC8" w:rsidRPr="005B3603" w:rsidRDefault="00E64BC8" w:rsidP="00662DA1">
            <w:pPr>
              <w:rPr>
                <w:rFonts w:ascii="Times New Roman" w:hAnsi="Times New Roman" w:cs="Times New Roman"/>
                <w:sz w:val="18"/>
                <w:szCs w:val="20"/>
              </w:rPr>
            </w:pPr>
          </w:p>
        </w:tc>
      </w:tr>
      <w:tr w:rsidR="00E64BC8" w:rsidRPr="005B3603" w14:paraId="5A2BF8C8" w14:textId="77777777" w:rsidTr="007E5766">
        <w:trPr>
          <w:trHeight w:val="2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3617E1"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lastRenderedPageBreak/>
              <w:t>Exposure</w:t>
            </w:r>
          </w:p>
        </w:tc>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F0707"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People in hazard prone areas</w:t>
            </w:r>
          </w:p>
          <w:p w14:paraId="1DFD6DCA" w14:textId="77777777" w:rsidR="00E64BC8" w:rsidRPr="005B3603" w:rsidRDefault="00E64BC8" w:rsidP="00662DA1">
            <w:pPr>
              <w:pStyle w:val="NormalWeb"/>
              <w:spacing w:before="240" w:beforeAutospacing="0" w:after="0" w:afterAutospacing="0"/>
              <w:rPr>
                <w:sz w:val="18"/>
                <w:szCs w:val="20"/>
              </w:rPr>
            </w:pPr>
            <w:r w:rsidRPr="005B3603">
              <w:rPr>
                <w:color w:val="000000"/>
                <w:sz w:val="18"/>
                <w:szCs w:val="2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9947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Projected change in: (1) yield, (2) people, (3) annual runoff, (4) groundwater recharge, (5) deaths from climate-induced diseases, (6) length of transmission season for vector-borne diseases, (7) biome distribution, (8) marine biodiversity, (9) warm periods, (10), flood hazards, (11) hydropower generation capacity, (12) sea level rise impacts, (13)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72121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n/a (not explicitly considered)</w:t>
            </w:r>
          </w:p>
        </w:tc>
      </w:tr>
      <w:tr w:rsidR="00E64BC8" w:rsidRPr="005B3603" w14:paraId="4FB08AB5" w14:textId="77777777" w:rsidTr="00662DA1">
        <w:trPr>
          <w:trHeight w:val="77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3EBFE"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Focus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15939"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Risk &amp; vulnerability (natural hazards)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8B366"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Risk &amp; vulnerability (natural hazards, conflict)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74C23"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Climate risk &amp; impacts (loss of life, economic losses)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0ACC3"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Climate risk &amp; adaptation</w:t>
            </w:r>
          </w:p>
        </w:tc>
      </w:tr>
      <w:tr w:rsidR="00E64BC8" w:rsidRPr="005B3603" w14:paraId="35188F0D"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21BD"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Countries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91D49"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171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55A40"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191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43632"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175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AFFA0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181</w:t>
            </w:r>
          </w:p>
        </w:tc>
      </w:tr>
      <w:tr w:rsidR="00E64BC8" w:rsidRPr="005B3603" w14:paraId="77182455"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4C6C2"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Indicator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9BC92"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3FA70"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B8CE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866AF"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w:t>
            </w:r>
          </w:p>
        </w:tc>
      </w:tr>
      <w:tr w:rsidR="00E64BC8" w:rsidRPr="005B3603" w14:paraId="74C34315"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6CC22"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Missing data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22CE9"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Yes (based on similar sources for a period of up to 10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1CA87"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Yes (based on similar sources for a period of up to 5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35577"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Yes (linear interpolation)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28773"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 </w:t>
            </w:r>
            <w:r w:rsidRPr="005B3603">
              <w:rPr>
                <w:bCs/>
                <w:color w:val="000000"/>
                <w:sz w:val="18"/>
                <w:szCs w:val="20"/>
              </w:rPr>
              <w:t>n/a</w:t>
            </w:r>
          </w:p>
        </w:tc>
      </w:tr>
      <w:tr w:rsidR="00E64BC8" w:rsidRPr="005B3603" w14:paraId="2E38F570"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163A9"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Outlier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8F495"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No information made available by index developers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BB5B9"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Yes, in an iterative process based on skewness and kurtosis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75087"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Cuts off 10-percentile or 90-percentile of heavily skewed indicators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9081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 </w:t>
            </w:r>
            <w:r w:rsidRPr="005B3603">
              <w:rPr>
                <w:bCs/>
                <w:color w:val="000000"/>
                <w:sz w:val="18"/>
                <w:szCs w:val="20"/>
              </w:rPr>
              <w:t>n/a</w:t>
            </w:r>
          </w:p>
        </w:tc>
      </w:tr>
      <w:tr w:rsidR="00E64BC8" w:rsidRPr="005B3603" w14:paraId="70F07F67"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C9D4E" w14:textId="77777777" w:rsidR="00E64BC8" w:rsidRPr="005B3603" w:rsidRDefault="00E64BC8" w:rsidP="00662DA1">
            <w:pPr>
              <w:pStyle w:val="NormalWeb"/>
              <w:spacing w:before="0" w:beforeAutospacing="0" w:after="0" w:afterAutospacing="0"/>
              <w:jc w:val="center"/>
              <w:rPr>
                <w:sz w:val="18"/>
                <w:szCs w:val="20"/>
              </w:rPr>
            </w:pPr>
            <w:proofErr w:type="spellStart"/>
            <w:r w:rsidRPr="005B3603">
              <w:rPr>
                <w:b/>
                <w:bCs/>
                <w:color w:val="000000"/>
                <w:sz w:val="18"/>
                <w:szCs w:val="20"/>
              </w:rPr>
              <w:t>Multicollinearity</w:t>
            </w:r>
            <w:proofErr w:type="spellEnd"/>
            <w:r w:rsidRPr="005B3603">
              <w:rPr>
                <w:b/>
                <w:bCs/>
                <w:color w:val="000000"/>
                <w:sz w:val="18"/>
                <w:szCs w:val="20"/>
              </w:rPr>
              <w:t xml:space="preserve">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BAE72"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No information made available by index developers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047F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Correlation analysis used to identify collinearities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54E490" w14:textId="77777777" w:rsidR="00E64BC8" w:rsidRPr="005B3603" w:rsidRDefault="00E64BC8" w:rsidP="00662DA1">
            <w:pPr>
              <w:pStyle w:val="NormalWeb"/>
              <w:spacing w:before="0" w:beforeAutospacing="0" w:after="0" w:afterAutospacing="0"/>
              <w:rPr>
                <w:sz w:val="18"/>
                <w:szCs w:val="20"/>
              </w:rPr>
            </w:pPr>
            <w:r w:rsidRPr="005B3603">
              <w:rPr>
                <w:b/>
                <w:bCs/>
                <w:color w:val="000000"/>
                <w:sz w:val="18"/>
                <w:szCs w:val="20"/>
              </w:rPr>
              <w:t> </w:t>
            </w:r>
            <w:r w:rsidRPr="005B3603">
              <w:rPr>
                <w:bCs/>
                <w:color w:val="000000"/>
                <w:sz w:val="18"/>
                <w:szCs w:val="20"/>
              </w:rPr>
              <w:t>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10D1A"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 </w:t>
            </w:r>
            <w:r w:rsidRPr="005B3603">
              <w:rPr>
                <w:bCs/>
                <w:color w:val="000000"/>
                <w:sz w:val="18"/>
                <w:szCs w:val="20"/>
              </w:rPr>
              <w:t>n/a</w:t>
            </w:r>
          </w:p>
        </w:tc>
      </w:tr>
      <w:tr w:rsidR="00E64BC8" w:rsidRPr="005B3603" w14:paraId="0D53BCC1"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484FB"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Normalization approach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7E870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Not applied to all indicators; if applied then linear max normalization (i.e. dividing scores by max 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FA67B"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Linear min-max [0-1] applied to all indicators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2B5B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Linear min-max [0-1] applied to all indicators (while using thresholds)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12E8E"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 </w:t>
            </w:r>
            <w:r w:rsidRPr="005B3603">
              <w:rPr>
                <w:bCs/>
                <w:color w:val="000000"/>
                <w:sz w:val="18"/>
                <w:szCs w:val="20"/>
              </w:rPr>
              <w:t>n/a</w:t>
            </w:r>
          </w:p>
        </w:tc>
      </w:tr>
      <w:tr w:rsidR="00E64BC8" w:rsidRPr="005B3603" w14:paraId="36D16AE7"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CF04F"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Weighting of indicators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BE961"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Equal weighting of indicators at the sub-component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D5108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Equal weighting of indicators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88A52"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Equal weights of indicators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F6639" w14:textId="77777777" w:rsidR="00E64BC8" w:rsidRPr="005B3603" w:rsidRDefault="00E64BC8" w:rsidP="00662DA1">
            <w:pPr>
              <w:pStyle w:val="NormalWeb"/>
              <w:spacing w:before="0" w:beforeAutospacing="0" w:after="0" w:afterAutospacing="0"/>
              <w:rPr>
                <w:sz w:val="18"/>
                <w:szCs w:val="20"/>
              </w:rPr>
            </w:pPr>
            <w:r w:rsidRPr="005B3603">
              <w:rPr>
                <w:color w:val="FF0000"/>
                <w:sz w:val="18"/>
                <w:szCs w:val="20"/>
              </w:rPr>
              <w:t> </w:t>
            </w:r>
            <w:r w:rsidRPr="005B3603">
              <w:rPr>
                <w:bCs/>
                <w:color w:val="000000"/>
                <w:sz w:val="18"/>
                <w:szCs w:val="20"/>
              </w:rPr>
              <w:t>n/a</w:t>
            </w:r>
          </w:p>
        </w:tc>
      </w:tr>
      <w:tr w:rsidR="00E64BC8" w:rsidRPr="005B3603" w14:paraId="3BD0682A"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F03BA"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Aggregation method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EA7F3"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Averaging of vulnerability indicators; multiplicative aggregation of exposure and vulnerability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DE3A7"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Mix of arithmetic and geometric average of indicator scores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3575C"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Arithmetic mean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B2827" w14:textId="77777777" w:rsidR="00E64BC8" w:rsidRPr="005B3603" w:rsidRDefault="00E64BC8" w:rsidP="00662DA1">
            <w:pPr>
              <w:pStyle w:val="NormalWeb"/>
              <w:spacing w:before="0" w:beforeAutospacing="0" w:after="0" w:afterAutospacing="0"/>
              <w:rPr>
                <w:sz w:val="18"/>
                <w:szCs w:val="20"/>
              </w:rPr>
            </w:pPr>
            <w:r w:rsidRPr="005B3603">
              <w:rPr>
                <w:color w:val="FF0000"/>
                <w:sz w:val="18"/>
                <w:szCs w:val="20"/>
              </w:rPr>
              <w:t> </w:t>
            </w:r>
            <w:r w:rsidRPr="005B3603">
              <w:rPr>
                <w:bCs/>
                <w:color w:val="000000"/>
                <w:sz w:val="18"/>
                <w:szCs w:val="20"/>
              </w:rPr>
              <w:t>n/a</w:t>
            </w:r>
          </w:p>
        </w:tc>
      </w:tr>
      <w:tr w:rsidR="00E64BC8" w:rsidRPr="005B3603" w14:paraId="5FA8F47E"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8E0CF"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53EF7" w14:textId="77777777" w:rsidR="00E64BC8" w:rsidRPr="005B3603" w:rsidRDefault="00E64BC8" w:rsidP="00662DA1">
            <w:pPr>
              <w:pStyle w:val="NormalWeb"/>
              <w:spacing w:before="0" w:beforeAutospacing="0" w:after="0" w:afterAutospacing="0"/>
              <w:rPr>
                <w:sz w:val="18"/>
                <w:szCs w:val="20"/>
              </w:rPr>
            </w:pPr>
            <w:r w:rsidRPr="005B3603">
              <w:rPr>
                <w:sz w:val="18"/>
                <w:szCs w:val="20"/>
              </w:rPr>
              <w:fldChar w:fldCharType="begin"/>
            </w:r>
            <w:r w:rsidRPr="005B3603">
              <w:rPr>
                <w:sz w:val="18"/>
                <w:szCs w:val="20"/>
              </w:rPr>
              <w:instrText xml:space="preserve"> ADDIN ZOTERO_ITEM CSL_CITATION {"citationID":"Q09Y8iTw","properties":{"formattedCitation":"(Behlert et al., 2020)","plainCitation":"(Behlert et al., 2020)","noteIndex":0},"citationItems":[{"id":2509,"uris":["http://zotero.org/groups/2597160/items/3MIII4X7"],"uri":["http://zotero.org/groups/2597160/items/3MIII4X7"],"itemData":{"id":2509,"type":"report","title":"WorldRiskReport 2020 Focus: Forced Displacement and Migration","URL":"https://weltrisikobericht.de/wp-content/uploads/2020/09/WorldRiskReport-2020.pdf","author":[{"family":"Behlert","given":"Benedikt"},{"family":"Diekjobst","given":"Rouven"},{"family":"Felgentreff","given":"Carsten"},{"family":"Manandhar","given":"Timeela"},{"family":"Mucke","given":"Peter"},{"family":"Pries","given":"Ludger"},{"family":"Radtke","given":"Katrin"},{"family":"Weller","given":"Daniel"}],"accessed":{"date-parts":[["2020",11,1]]},"issued":{"date-parts":[["2020"]]}}}],"schema":"https://github.com/citation-style-language/schema/raw/master/csl-citation.json"} </w:instrText>
            </w:r>
            <w:r w:rsidRPr="005B3603">
              <w:rPr>
                <w:sz w:val="18"/>
                <w:szCs w:val="20"/>
              </w:rPr>
              <w:fldChar w:fldCharType="separate"/>
            </w:r>
            <w:r w:rsidRPr="005B3603">
              <w:rPr>
                <w:sz w:val="18"/>
                <w:szCs w:val="20"/>
              </w:rPr>
              <w:t>(Behlert et al., 2020)</w:t>
            </w:r>
            <w:r w:rsidRPr="005B3603">
              <w:rPr>
                <w:sz w:val="18"/>
                <w:szCs w:val="20"/>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D546E" w14:textId="77777777" w:rsidR="00E64BC8" w:rsidRPr="005B3603" w:rsidRDefault="00E64BC8" w:rsidP="00662DA1">
            <w:pPr>
              <w:pStyle w:val="NormalWeb"/>
              <w:spacing w:before="0" w:beforeAutospacing="0" w:after="0" w:afterAutospacing="0"/>
              <w:rPr>
                <w:sz w:val="18"/>
                <w:szCs w:val="20"/>
              </w:rPr>
            </w:pPr>
            <w:r w:rsidRPr="005B3603">
              <w:rPr>
                <w:sz w:val="18"/>
                <w:szCs w:val="20"/>
              </w:rPr>
              <w:fldChar w:fldCharType="begin"/>
            </w:r>
            <w:r w:rsidRPr="005B3603">
              <w:rPr>
                <w:sz w:val="18"/>
                <w:szCs w:val="20"/>
              </w:rPr>
              <w:instrText xml:space="preserve"> ADDIN ZOTERO_ITEM CSL_CITATION {"citationID":"KdSBryXa","properties":{"formattedCitation":"(UN OCHA, 2020)","plainCitation":"(UN OCHA, 2020)","noteIndex":0},"citationItems":[{"id":2483,"uris":["http://zotero.org/groups/2597160/items/RYWZ5JAX"],"uri":["http://zotero.org/groups/2597160/items/RYWZ5JAX"],"itemData":{"id":2483,"type":"webpage","title":"INFORM REPORT 2020","URL":"https://drmkc.jrc.ec.europa.eu/inform-index/Portals/0/InfoRM/Publications/01%20Inform%202020%20ONLINE.pdf","author":[{"family":"UN OCHA","given":""}],"accessed":{"date-parts":[["2020",11,1]]},"issued":{"date-parts":[["2020"]]}}}],"schema":"https://github.com/citation-style-language/schema/raw/master/csl-citation.json"} </w:instrText>
            </w:r>
            <w:r w:rsidRPr="005B3603">
              <w:rPr>
                <w:sz w:val="18"/>
                <w:szCs w:val="20"/>
              </w:rPr>
              <w:fldChar w:fldCharType="separate"/>
            </w:r>
            <w:r w:rsidRPr="005B3603">
              <w:rPr>
                <w:sz w:val="18"/>
                <w:szCs w:val="20"/>
              </w:rPr>
              <w:t>(UN OCHA, 2020)</w:t>
            </w:r>
            <w:r w:rsidRPr="005B3603">
              <w:rPr>
                <w:sz w:val="18"/>
                <w:szCs w:val="20"/>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D03D6" w14:textId="77777777" w:rsidR="00E64BC8" w:rsidRPr="005B3603" w:rsidRDefault="00E64BC8" w:rsidP="00662DA1">
            <w:pPr>
              <w:pStyle w:val="NormalWeb"/>
              <w:spacing w:before="0" w:beforeAutospacing="0" w:after="0" w:afterAutospacing="0"/>
              <w:rPr>
                <w:sz w:val="18"/>
                <w:szCs w:val="20"/>
              </w:rPr>
            </w:pPr>
            <w:r w:rsidRPr="005B3603">
              <w:rPr>
                <w:sz w:val="18"/>
                <w:szCs w:val="20"/>
              </w:rPr>
              <w:fldChar w:fldCharType="begin"/>
            </w:r>
            <w:r w:rsidRPr="005B3603">
              <w:rPr>
                <w:sz w:val="18"/>
                <w:szCs w:val="20"/>
              </w:rPr>
              <w:instrText xml:space="preserve"> ADDIN ZOTERO_ITEM CSL_CITATION {"citationID":"A2J1IHIS","properties":{"formattedCitation":"(Chen et al., 2015)","plainCitation":"(Chen et al., 2015)","noteIndex":0},"citationItems":[{"id":2511,"uris":["http://zotero.org/groups/2597160/items/AXS6PHB8"],"uri":["http://zotero.org/groups/2597160/items/AXS6PHB8"],"itemData":{"id":2511,"type":"report","title":"University of Notre Dame Global Adaptation Index Country Index Technical Report","URL":"https://gain.nd.edu/assets/254377/nd_gain_technical_document_2015.pdf","author":[{"family":"Chen","given":"C"},{"family":"Noble","given":"I"},{"family":"Hellmann","given":"J"},{"family":"Coffee","given":"J."},{"family":"Murillo","given":"M."},{"family":"Chawla","given":"N."}],"accessed":{"date-parts":[["2020",11,1]]},"issued":{"date-parts":[["2015"]]}}}],"schema":"https://github.com/citation-style-language/schema/raw/master/csl-citation.json"} </w:instrText>
            </w:r>
            <w:r w:rsidRPr="005B3603">
              <w:rPr>
                <w:sz w:val="18"/>
                <w:szCs w:val="20"/>
              </w:rPr>
              <w:fldChar w:fldCharType="separate"/>
            </w:r>
            <w:r w:rsidRPr="005B3603">
              <w:rPr>
                <w:sz w:val="18"/>
                <w:szCs w:val="20"/>
              </w:rPr>
              <w:t>(Chen et al., 2015)</w:t>
            </w:r>
            <w:r w:rsidRPr="005B3603">
              <w:rPr>
                <w:sz w:val="18"/>
                <w:szCs w:val="20"/>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C8F698" w14:textId="77777777" w:rsidR="00E64BC8" w:rsidRPr="005B3603" w:rsidRDefault="00E64BC8" w:rsidP="00662DA1">
            <w:pPr>
              <w:pStyle w:val="NormalWeb"/>
              <w:spacing w:before="0" w:beforeAutospacing="0" w:after="0" w:afterAutospacing="0"/>
              <w:rPr>
                <w:sz w:val="18"/>
                <w:szCs w:val="20"/>
              </w:rPr>
            </w:pPr>
            <w:r w:rsidRPr="005B3603">
              <w:rPr>
                <w:sz w:val="18"/>
                <w:szCs w:val="20"/>
              </w:rPr>
              <w:fldChar w:fldCharType="begin"/>
            </w:r>
            <w:r w:rsidRPr="005B3603">
              <w:rPr>
                <w:sz w:val="18"/>
                <w:szCs w:val="20"/>
              </w:rPr>
              <w:instrText xml:space="preserve"> ADDIN ZOTERO_ITEM CSL_CITATION {"citationID":"FyrGbhrU","properties":{"formattedCitation":"(Eckstein et al., 2019)","plainCitation":"(Eckstein et al., 2019)","noteIndex":0},"citationItems":[{"id":2485,"uris":["http://zotero.org/groups/2597160/items/E7GV84TT"],"uri":["http://zotero.org/groups/2597160/items/E7GV84TT"],"itemData":{"id":2485,"type":"book","ISBN":"978-3-943704-77-8","language":"en","note":"OCLC: 1131937972","source":"Open WorldCat","title":"Global Climate Risk Index 2020 Who Suffers Most from Extreme Weather Events? Wether-Related Loss Events in 2018 and 1999 to 2018","title-short":"Global Climate Risk Index 2020 Who Suffers Most from Extreme Weather Events?","author":[{"family":"Eckstein","given":"David"},{"family":"Winges","given":"Maik"},{"family":"Künzel","given":"Vera"},{"family":"Schäfer","given":"Laura"},{"literal":"Germanwatch"}],"issued":{"date-parts":[["2019"]]}}}],"schema":"https://github.com/citation-style-language/schema/raw/master/csl-citation.json"} </w:instrText>
            </w:r>
            <w:r w:rsidRPr="005B3603">
              <w:rPr>
                <w:sz w:val="18"/>
                <w:szCs w:val="20"/>
              </w:rPr>
              <w:fldChar w:fldCharType="separate"/>
            </w:r>
            <w:r w:rsidRPr="005B3603">
              <w:rPr>
                <w:sz w:val="18"/>
                <w:szCs w:val="20"/>
              </w:rPr>
              <w:t>(Eckstein et al., 2019)</w:t>
            </w:r>
            <w:r w:rsidRPr="005B3603">
              <w:rPr>
                <w:sz w:val="18"/>
                <w:szCs w:val="20"/>
              </w:rPr>
              <w:fldChar w:fldCharType="end"/>
            </w:r>
          </w:p>
        </w:tc>
      </w:tr>
      <w:tr w:rsidR="00E64BC8" w:rsidRPr="005B3603" w14:paraId="7EED4AEE" w14:textId="77777777" w:rsidTr="00662DA1">
        <w:trPr>
          <w:trHeight w:val="2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8665A" w14:textId="77777777" w:rsidR="00E64BC8" w:rsidRPr="005B3603" w:rsidRDefault="00E64BC8" w:rsidP="00662DA1">
            <w:pPr>
              <w:pStyle w:val="NormalWeb"/>
              <w:spacing w:before="0" w:beforeAutospacing="0" w:after="0" w:afterAutospacing="0"/>
              <w:jc w:val="center"/>
              <w:rPr>
                <w:sz w:val="18"/>
                <w:szCs w:val="20"/>
              </w:rPr>
            </w:pPr>
            <w:r w:rsidRPr="005B3603">
              <w:rPr>
                <w:b/>
                <w:bCs/>
                <w:color w:val="000000"/>
                <w:sz w:val="18"/>
                <w:szCs w:val="20"/>
              </w:rPr>
              <w:t>Year of publication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3B9012"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2C24D"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4F3EA"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E4015" w14:textId="77777777" w:rsidR="00E64BC8" w:rsidRPr="005B3603" w:rsidRDefault="00E64BC8" w:rsidP="00662DA1">
            <w:pPr>
              <w:pStyle w:val="NormalWeb"/>
              <w:spacing w:before="0" w:beforeAutospacing="0" w:after="0" w:afterAutospacing="0"/>
              <w:rPr>
                <w:sz w:val="18"/>
                <w:szCs w:val="20"/>
              </w:rPr>
            </w:pPr>
            <w:r w:rsidRPr="005B3603">
              <w:rPr>
                <w:color w:val="000000"/>
                <w:sz w:val="18"/>
                <w:szCs w:val="20"/>
              </w:rPr>
              <w:t>2019</w:t>
            </w:r>
          </w:p>
        </w:tc>
      </w:tr>
    </w:tbl>
    <w:p w14:paraId="12EC07EA" w14:textId="77777777" w:rsidR="00497D17" w:rsidRDefault="00497D17" w:rsidP="007E5766">
      <w:pPr>
        <w:rPr>
          <w:b/>
          <w:i/>
          <w:sz w:val="20"/>
          <w:szCs w:val="20"/>
        </w:rPr>
      </w:pPr>
    </w:p>
    <w:p w14:paraId="03F868E3" w14:textId="77777777" w:rsidR="005B6FBC" w:rsidRPr="005B6FBC" w:rsidRDefault="00275037" w:rsidP="005B6FBC">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Section 4.1: </w:t>
      </w:r>
      <w:r w:rsidR="005B6FBC" w:rsidRPr="005B6FBC">
        <w:rPr>
          <w:rFonts w:ascii="Times New Roman" w:eastAsia="Times New Roman" w:hAnsi="Times New Roman" w:cs="Times New Roman"/>
          <w:b/>
          <w:bCs/>
          <w:color w:val="000000"/>
          <w:sz w:val="20"/>
          <w:szCs w:val="20"/>
        </w:rPr>
        <w:t xml:space="preserve">List of indicators used in the different indices </w:t>
      </w:r>
    </w:p>
    <w:p w14:paraId="6BDC8DE0" w14:textId="5D2DFF14" w:rsidR="002F017F" w:rsidRDefault="005B6FBC" w:rsidP="002F017F">
      <w:pPr>
        <w:pStyle w:val="NormalWeb"/>
        <w:spacing w:before="0" w:beforeAutospacing="0" w:after="0" w:afterAutospacing="0"/>
        <w:jc w:val="both"/>
        <w:rPr>
          <w:rFonts w:eastAsiaTheme="minorHAnsi"/>
          <w:b/>
          <w:i/>
          <w:sz w:val="20"/>
          <w:szCs w:val="20"/>
        </w:rPr>
      </w:pPr>
      <w:r>
        <w:rPr>
          <w:sz w:val="20"/>
          <w:szCs w:val="20"/>
        </w:rPr>
        <w:t xml:space="preserve">Expanding on section </w:t>
      </w:r>
      <w:r w:rsidR="00275037">
        <w:rPr>
          <w:sz w:val="20"/>
          <w:szCs w:val="20"/>
        </w:rPr>
        <w:t>4.1</w:t>
      </w:r>
      <w:r>
        <w:rPr>
          <w:sz w:val="20"/>
          <w:szCs w:val="20"/>
        </w:rPr>
        <w:t xml:space="preserve"> of the </w:t>
      </w:r>
      <w:r w:rsidR="005F42ED">
        <w:rPr>
          <w:sz w:val="20"/>
          <w:szCs w:val="20"/>
        </w:rPr>
        <w:t>paper</w:t>
      </w:r>
      <w:r>
        <w:rPr>
          <w:sz w:val="20"/>
          <w:szCs w:val="20"/>
        </w:rPr>
        <w:t>, T</w:t>
      </w:r>
      <w:r w:rsidR="00CA2AD9">
        <w:rPr>
          <w:sz w:val="20"/>
          <w:szCs w:val="20"/>
        </w:rPr>
        <w:t xml:space="preserve">able </w:t>
      </w:r>
      <w:r w:rsidR="00275037">
        <w:rPr>
          <w:sz w:val="20"/>
          <w:szCs w:val="20"/>
        </w:rPr>
        <w:t>SM</w:t>
      </w:r>
      <w:r w:rsidR="00CA2AD9">
        <w:rPr>
          <w:sz w:val="20"/>
          <w:szCs w:val="20"/>
        </w:rPr>
        <w:t>2</w:t>
      </w:r>
      <w:r>
        <w:rPr>
          <w:sz w:val="20"/>
          <w:szCs w:val="20"/>
        </w:rPr>
        <w:t xml:space="preserve"> provides a full list of indicators used in the different indices. </w:t>
      </w:r>
      <w:r w:rsidR="00275037">
        <w:rPr>
          <w:sz w:val="20"/>
          <w:szCs w:val="20"/>
        </w:rPr>
        <w:t xml:space="preserve">Figure SM1 then provides the Euler diagrams with the indicator overlaps. </w:t>
      </w:r>
      <w:r w:rsidR="002F017F">
        <w:rPr>
          <w:sz w:val="20"/>
          <w:szCs w:val="20"/>
        </w:rPr>
        <w:t>T</w:t>
      </w:r>
      <w:r w:rsidR="002F017F">
        <w:rPr>
          <w:color w:val="000000"/>
          <w:sz w:val="20"/>
          <w:szCs w:val="20"/>
        </w:rPr>
        <w:t xml:space="preserve">he number of individual and overlapping indicators was counted for the overall risk as well as the </w:t>
      </w:r>
      <w:r w:rsidR="00662DA1">
        <w:rPr>
          <w:color w:val="000000"/>
          <w:sz w:val="20"/>
          <w:szCs w:val="20"/>
        </w:rPr>
        <w:t>sub-components</w:t>
      </w:r>
      <w:r w:rsidR="002F017F">
        <w:rPr>
          <w:color w:val="000000"/>
          <w:sz w:val="20"/>
          <w:szCs w:val="20"/>
        </w:rPr>
        <w:t xml:space="preserve">.  Results were visualized using the </w:t>
      </w:r>
      <w:proofErr w:type="spellStart"/>
      <w:r w:rsidR="002F017F">
        <w:rPr>
          <w:color w:val="000000"/>
          <w:sz w:val="20"/>
          <w:szCs w:val="20"/>
        </w:rPr>
        <w:t>Eulerr</w:t>
      </w:r>
      <w:proofErr w:type="spellEnd"/>
      <w:r w:rsidR="002F017F">
        <w:rPr>
          <w:color w:val="000000"/>
          <w:sz w:val="20"/>
          <w:szCs w:val="20"/>
        </w:rPr>
        <w:t xml:space="preserve"> (Larson, 2020) package in R (R Core Team, 2020). We used E</w:t>
      </w:r>
      <w:r w:rsidR="002F017F" w:rsidRPr="00591DF4">
        <w:rPr>
          <w:sz w:val="20"/>
          <w:szCs w:val="20"/>
        </w:rPr>
        <w:t>uler diagrams which only show the actual overlaps between the indicators, in contrast to the Venn diagrams, which display all possible overlaps possible, even if they do not contain any objects.</w:t>
      </w:r>
    </w:p>
    <w:p w14:paraId="073BBA2C" w14:textId="77777777" w:rsidR="005B6FBC" w:rsidRDefault="005B6FBC" w:rsidP="005B6FBC">
      <w:pPr>
        <w:rPr>
          <w:rFonts w:ascii="Times New Roman" w:hAnsi="Times New Roman" w:cs="Times New Roman"/>
          <w:sz w:val="20"/>
          <w:szCs w:val="20"/>
        </w:rPr>
      </w:pPr>
    </w:p>
    <w:p w14:paraId="1961DDC3" w14:textId="77777777" w:rsidR="005B6FBC" w:rsidRPr="00E64BC8" w:rsidRDefault="005B6FBC" w:rsidP="005B6FBC">
      <w:pPr>
        <w:rPr>
          <w:rFonts w:ascii="Times New Roman" w:hAnsi="Times New Roman" w:cs="Times New Roman"/>
          <w:sz w:val="20"/>
          <w:szCs w:val="20"/>
        </w:rPr>
      </w:pPr>
      <w:r w:rsidRPr="00B74FB4">
        <w:rPr>
          <w:b/>
          <w:i/>
          <w:sz w:val="20"/>
          <w:szCs w:val="20"/>
        </w:rPr>
        <w:t xml:space="preserve">Table </w:t>
      </w:r>
      <w:r w:rsidR="00275037">
        <w:rPr>
          <w:b/>
          <w:i/>
          <w:sz w:val="20"/>
          <w:szCs w:val="20"/>
        </w:rPr>
        <w:t>SM</w:t>
      </w:r>
      <w:r w:rsidR="00CA2AD9">
        <w:rPr>
          <w:b/>
          <w:i/>
          <w:sz w:val="20"/>
          <w:szCs w:val="20"/>
        </w:rPr>
        <w:t>2</w:t>
      </w:r>
      <w:r w:rsidRPr="003E4145">
        <w:rPr>
          <w:i/>
          <w:iCs/>
          <w:color w:val="000000"/>
          <w:sz w:val="20"/>
          <w:szCs w:val="20"/>
        </w:rPr>
        <w:t xml:space="preserve">: </w:t>
      </w:r>
      <w:r>
        <w:rPr>
          <w:i/>
          <w:iCs/>
          <w:color w:val="000000"/>
          <w:sz w:val="20"/>
          <w:szCs w:val="20"/>
        </w:rPr>
        <w:t xml:space="preserve">Indicators used in the different indices </w:t>
      </w:r>
    </w:p>
    <w:p w14:paraId="5A854905" w14:textId="4807A04F" w:rsidR="005B6FBC" w:rsidRPr="00E64BC8" w:rsidRDefault="005B6FBC" w:rsidP="005B6FBC">
      <w:pPr>
        <w:rPr>
          <w:rFonts w:ascii="Times New Roman" w:hAnsi="Times New Roman" w:cs="Times New Roman"/>
          <w:sz w:val="20"/>
          <w:szCs w:val="20"/>
        </w:rPr>
      </w:pPr>
      <w:r w:rsidRPr="00E64BC8">
        <w:rPr>
          <w:rFonts w:ascii="Times New Roman" w:hAnsi="Times New Roman" w:cs="Times New Roman"/>
          <w:sz w:val="20"/>
          <w:szCs w:val="20"/>
        </w:rPr>
        <w:t xml:space="preserve"> </w:t>
      </w:r>
      <w:bookmarkStart w:id="0" w:name="_MON_1665765170"/>
      <w:bookmarkEnd w:id="0"/>
      <w:r w:rsidR="0063614D">
        <w:object w:dxaOrig="9115" w:dyaOrig="17063" w14:anchorId="17DF58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pt;height:408.9pt" o:ole="">
            <v:imagedata r:id="rId4" o:title="" cropbottom="33715f"/>
          </v:shape>
          <o:OLEObject Type="Embed" ProgID="Excel.Sheet.12" ShapeID="_x0000_i1025" DrawAspect="Content" ObjectID="_1696842281" r:id="rId5"/>
        </w:object>
      </w:r>
    </w:p>
    <w:p w14:paraId="464F3416" w14:textId="77777777" w:rsidR="00497D17" w:rsidRDefault="00497D17" w:rsidP="00E64BC8">
      <w:pPr>
        <w:pStyle w:val="NormalWeb"/>
        <w:spacing w:before="0" w:beforeAutospacing="0" w:after="0" w:afterAutospacing="0"/>
        <w:jc w:val="both"/>
        <w:rPr>
          <w:rFonts w:eastAsiaTheme="minorHAnsi"/>
          <w:b/>
          <w:i/>
          <w:sz w:val="20"/>
          <w:szCs w:val="20"/>
        </w:rPr>
      </w:pPr>
    </w:p>
    <w:p w14:paraId="678DFFB7" w14:textId="361B3F3C" w:rsidR="005B6FBC" w:rsidRDefault="0063614D" w:rsidP="00E64BC8">
      <w:pPr>
        <w:pStyle w:val="NormalWeb"/>
        <w:spacing w:before="0" w:beforeAutospacing="0" w:after="0" w:afterAutospacing="0"/>
        <w:jc w:val="both"/>
        <w:rPr>
          <w:rFonts w:eastAsiaTheme="minorHAnsi"/>
          <w:b/>
          <w:i/>
          <w:sz w:val="20"/>
          <w:szCs w:val="20"/>
        </w:rPr>
      </w:pPr>
      <w:r>
        <w:object w:dxaOrig="9115" w:dyaOrig="17063" w14:anchorId="2E175FEF">
          <v:shape id="_x0000_i1026" type="#_x0000_t75" style="width:452.95pt;height:437.9pt" o:ole="">
            <v:imagedata r:id="rId4" o:title="" croptop="31769f"/>
          </v:shape>
          <o:OLEObject Type="Embed" ProgID="Excel.Sheet.12" ShapeID="_x0000_i1026" DrawAspect="Content" ObjectID="_1696842282" r:id="rId6"/>
        </w:object>
      </w:r>
    </w:p>
    <w:p w14:paraId="4D97F382" w14:textId="14B92862" w:rsidR="005B6C89" w:rsidRDefault="005B6C89" w:rsidP="005B6C8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6E446D5C" wp14:editId="522442EE">
            <wp:extent cx="5837555" cy="5625465"/>
            <wp:effectExtent l="0" t="0" r="0" b="0"/>
            <wp:docPr id="1" name="Picture 1" descr="https://lh6.googleusercontent.com/d4AICymTJE2tDZ4r-wOx1xkK618MLEJEUzTF2Q8RSLw9lk6ZMCIw_rUSpI1_Nz2CXX7Bv2vIf1mfpPWuncBvfdeI_Sqwv2LrnsQKULz-4pyraJScNOev0hJ45NxI45dtewXs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d4AICymTJE2tDZ4r-wOx1xkK618MLEJEUzTF2Q8RSLw9lk6ZMCIw_rUSpI1_Nz2CXX7Bv2vIf1mfpPWuncBvfdeI_Sqwv2LrnsQKULz-4pyraJScNOev0hJ45NxI45dtewXsL-I"/>
                    <pic:cNvPicPr>
                      <a:picLocks noChangeAspect="1" noChangeArrowheads="1"/>
                    </pic:cNvPicPr>
                  </pic:nvPicPr>
                  <pic:blipFill>
                    <a:blip r:embed="rId7">
                      <a:extLst>
                        <a:ext uri="{28A0092B-C50C-407E-A947-70E740481C1C}">
                          <a14:useLocalDpi xmlns:a14="http://schemas.microsoft.com/office/drawing/2010/main" val="0"/>
                        </a:ext>
                      </a:extLst>
                    </a:blip>
                    <a:srcRect l="19792" r="21825"/>
                    <a:stretch>
                      <a:fillRect/>
                    </a:stretch>
                  </pic:blipFill>
                  <pic:spPr bwMode="auto">
                    <a:xfrm>
                      <a:off x="0" y="0"/>
                      <a:ext cx="5837555" cy="5625465"/>
                    </a:xfrm>
                    <a:prstGeom prst="rect">
                      <a:avLst/>
                    </a:prstGeom>
                    <a:noFill/>
                    <a:ln>
                      <a:noFill/>
                    </a:ln>
                  </pic:spPr>
                </pic:pic>
              </a:graphicData>
            </a:graphic>
          </wp:inline>
        </w:drawing>
      </w:r>
    </w:p>
    <w:p w14:paraId="1E4F06E1" w14:textId="77777777" w:rsidR="00E0458D" w:rsidRDefault="00E0458D" w:rsidP="005B6C8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965AEDF" w14:textId="4D5E678C" w:rsidR="005B6C89" w:rsidRDefault="005B6C89" w:rsidP="007E576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 xml:space="preserve">Figure </w:t>
      </w:r>
      <w:r w:rsidR="00275037">
        <w:rPr>
          <w:rFonts w:ascii="Times New Roman" w:eastAsia="Times New Roman" w:hAnsi="Times New Roman" w:cs="Times New Roman"/>
          <w:b/>
          <w:i/>
          <w:color w:val="000000"/>
          <w:sz w:val="20"/>
          <w:szCs w:val="20"/>
        </w:rPr>
        <w:t>SM</w:t>
      </w:r>
      <w:r>
        <w:rPr>
          <w:rFonts w:ascii="Times New Roman" w:eastAsia="Times New Roman" w:hAnsi="Times New Roman" w:cs="Times New Roman"/>
          <w:b/>
          <w:i/>
          <w:color w:val="000000"/>
          <w:sz w:val="20"/>
          <w:szCs w:val="20"/>
        </w:rPr>
        <w:t>2:</w:t>
      </w:r>
      <w:r>
        <w:rPr>
          <w:rFonts w:ascii="Times New Roman" w:eastAsia="Times New Roman" w:hAnsi="Times New Roman" w:cs="Times New Roman"/>
          <w:i/>
          <w:color w:val="000000"/>
          <w:sz w:val="20"/>
          <w:szCs w:val="20"/>
        </w:rPr>
        <w:t xml:space="preserve"> Eule</w:t>
      </w:r>
      <w:r w:rsidR="00275037">
        <w:rPr>
          <w:rFonts w:ascii="Times New Roman" w:eastAsia="Times New Roman" w:hAnsi="Times New Roman" w:cs="Times New Roman"/>
          <w:i/>
          <w:color w:val="000000"/>
          <w:sz w:val="20"/>
          <w:szCs w:val="20"/>
        </w:rPr>
        <w:t>r</w:t>
      </w:r>
      <w:r>
        <w:rPr>
          <w:rFonts w:ascii="Times New Roman" w:eastAsia="Times New Roman" w:hAnsi="Times New Roman" w:cs="Times New Roman"/>
          <w:i/>
          <w:color w:val="000000"/>
          <w:sz w:val="20"/>
          <w:szCs w:val="20"/>
        </w:rPr>
        <w:t xml:space="preserve"> diagram on the similarities of the risk indices and their </w:t>
      </w:r>
      <w:r w:rsidR="005F42ED">
        <w:rPr>
          <w:rFonts w:ascii="Times New Roman" w:eastAsia="Times New Roman" w:hAnsi="Times New Roman" w:cs="Times New Roman"/>
          <w:i/>
          <w:color w:val="000000"/>
          <w:sz w:val="20"/>
          <w:szCs w:val="20"/>
        </w:rPr>
        <w:t>sub-components in regards to underlying indicators</w:t>
      </w:r>
      <w:r>
        <w:rPr>
          <w:rFonts w:ascii="Times New Roman" w:eastAsia="Times New Roman" w:hAnsi="Times New Roman" w:cs="Times New Roman"/>
          <w:i/>
          <w:color w:val="000000"/>
          <w:sz w:val="20"/>
          <w:szCs w:val="20"/>
        </w:rPr>
        <w:t>. Overall risk (a), exposure (b), vulnerability (c), susceptibility (d), lack of coping capacity (e) and lack of adaptive capacity (f).</w:t>
      </w:r>
    </w:p>
    <w:p w14:paraId="2CF28963" w14:textId="77777777" w:rsidR="005B6FBC" w:rsidRDefault="005B6FBC" w:rsidP="00E64BC8">
      <w:pPr>
        <w:pStyle w:val="NormalWeb"/>
        <w:spacing w:before="0" w:beforeAutospacing="0" w:after="0" w:afterAutospacing="0"/>
        <w:jc w:val="both"/>
        <w:rPr>
          <w:rFonts w:eastAsiaTheme="minorHAnsi"/>
          <w:b/>
          <w:i/>
          <w:sz w:val="20"/>
          <w:szCs w:val="20"/>
        </w:rPr>
      </w:pPr>
    </w:p>
    <w:p w14:paraId="6F8D75C6" w14:textId="77777777" w:rsidR="005B6C89" w:rsidRDefault="005B6C89" w:rsidP="00E64BC8">
      <w:pPr>
        <w:pStyle w:val="NormalWeb"/>
        <w:spacing w:before="0" w:beforeAutospacing="0" w:after="0" w:afterAutospacing="0"/>
        <w:jc w:val="both"/>
        <w:rPr>
          <w:rFonts w:eastAsiaTheme="minorHAnsi"/>
          <w:b/>
          <w:i/>
          <w:sz w:val="20"/>
          <w:szCs w:val="20"/>
        </w:rPr>
      </w:pPr>
    </w:p>
    <w:p w14:paraId="20EC32D4" w14:textId="3816A3CD" w:rsidR="00E0458D" w:rsidRDefault="00E0458D">
      <w:pPr>
        <w:rPr>
          <w:rFonts w:ascii="Times New Roman" w:hAnsi="Times New Roman" w:cs="Times New Roman"/>
          <w:b/>
          <w:i/>
          <w:sz w:val="20"/>
          <w:szCs w:val="20"/>
        </w:rPr>
      </w:pPr>
      <w:r>
        <w:rPr>
          <w:b/>
          <w:i/>
          <w:sz w:val="20"/>
          <w:szCs w:val="20"/>
        </w:rPr>
        <w:br w:type="page"/>
      </w:r>
    </w:p>
    <w:p w14:paraId="5796B874" w14:textId="77777777" w:rsidR="005B6C89" w:rsidRDefault="005B6C89" w:rsidP="00E64BC8">
      <w:pPr>
        <w:pStyle w:val="NormalWeb"/>
        <w:spacing w:before="0" w:beforeAutospacing="0" w:after="0" w:afterAutospacing="0"/>
        <w:jc w:val="both"/>
        <w:rPr>
          <w:rFonts w:eastAsiaTheme="minorHAnsi"/>
          <w:b/>
          <w:i/>
          <w:sz w:val="20"/>
          <w:szCs w:val="20"/>
        </w:rPr>
      </w:pPr>
    </w:p>
    <w:p w14:paraId="2066B946" w14:textId="77777777" w:rsidR="00497D17" w:rsidRDefault="00497D17" w:rsidP="00E64BC8">
      <w:pPr>
        <w:pStyle w:val="NormalWeb"/>
        <w:spacing w:before="0" w:beforeAutospacing="0" w:after="0" w:afterAutospacing="0"/>
        <w:jc w:val="both"/>
        <w:rPr>
          <w:rFonts w:eastAsiaTheme="minorHAnsi"/>
          <w:b/>
          <w:i/>
          <w:sz w:val="20"/>
          <w:szCs w:val="20"/>
        </w:rPr>
      </w:pPr>
    </w:p>
    <w:p w14:paraId="1FDE6622" w14:textId="77777777" w:rsidR="00497D17" w:rsidRPr="00497D17" w:rsidRDefault="002F017F" w:rsidP="00497D17">
      <w:pPr>
        <w:rPr>
          <w:rFonts w:ascii="Times New Roman" w:hAnsi="Times New Roman" w:cs="Times New Roman"/>
          <w:b/>
          <w:sz w:val="20"/>
          <w:szCs w:val="20"/>
        </w:rPr>
      </w:pPr>
      <w:r>
        <w:rPr>
          <w:rFonts w:ascii="Times New Roman" w:hAnsi="Times New Roman" w:cs="Times New Roman"/>
          <w:b/>
          <w:sz w:val="20"/>
          <w:szCs w:val="20"/>
        </w:rPr>
        <w:t xml:space="preserve">Section 4.2: </w:t>
      </w:r>
      <w:r w:rsidR="00497D17" w:rsidRPr="00497D17">
        <w:rPr>
          <w:rFonts w:ascii="Times New Roman" w:hAnsi="Times New Roman" w:cs="Times New Roman"/>
          <w:b/>
          <w:sz w:val="20"/>
          <w:szCs w:val="20"/>
        </w:rPr>
        <w:t>Correlations between WRI, INFORM, GAIN and CRI by index and sub-index</w:t>
      </w:r>
    </w:p>
    <w:p w14:paraId="3200E691" w14:textId="39B74997" w:rsidR="00497D17" w:rsidRPr="00497D17" w:rsidRDefault="00497D17" w:rsidP="00E64BC8">
      <w:pPr>
        <w:pStyle w:val="NormalWeb"/>
        <w:spacing w:before="0" w:beforeAutospacing="0" w:after="0" w:afterAutospacing="0"/>
        <w:jc w:val="both"/>
        <w:rPr>
          <w:rFonts w:eastAsiaTheme="minorHAnsi"/>
          <w:sz w:val="20"/>
          <w:szCs w:val="20"/>
        </w:rPr>
      </w:pPr>
      <w:r w:rsidRPr="00497D17">
        <w:rPr>
          <w:rFonts w:eastAsiaTheme="minorHAnsi"/>
          <w:sz w:val="20"/>
          <w:szCs w:val="20"/>
        </w:rPr>
        <w:t>Expanding on section 4.2 of the paper, T</w:t>
      </w:r>
      <w:r w:rsidR="00CA2AD9">
        <w:rPr>
          <w:rFonts w:eastAsiaTheme="minorHAnsi"/>
          <w:sz w:val="20"/>
          <w:szCs w:val="20"/>
        </w:rPr>
        <w:t xml:space="preserve">able </w:t>
      </w:r>
      <w:r w:rsidR="002F017F">
        <w:rPr>
          <w:rFonts w:eastAsiaTheme="minorHAnsi"/>
          <w:sz w:val="20"/>
          <w:szCs w:val="20"/>
        </w:rPr>
        <w:t>SM2</w:t>
      </w:r>
      <w:r w:rsidRPr="00497D17">
        <w:rPr>
          <w:rFonts w:eastAsiaTheme="minorHAnsi"/>
          <w:sz w:val="20"/>
          <w:szCs w:val="20"/>
        </w:rPr>
        <w:t xml:space="preserve"> provides an overview over the correlations between the different indices and their sub-components, organized by the respective index. </w:t>
      </w:r>
    </w:p>
    <w:p w14:paraId="679A15B3" w14:textId="77777777" w:rsidR="00497D17" w:rsidRDefault="00497D17" w:rsidP="00E64BC8">
      <w:pPr>
        <w:pStyle w:val="NormalWeb"/>
        <w:spacing w:before="0" w:beforeAutospacing="0" w:after="0" w:afterAutospacing="0"/>
        <w:jc w:val="both"/>
        <w:rPr>
          <w:rFonts w:eastAsiaTheme="minorHAnsi"/>
          <w:b/>
          <w:i/>
          <w:sz w:val="20"/>
          <w:szCs w:val="20"/>
        </w:rPr>
      </w:pPr>
    </w:p>
    <w:p w14:paraId="1D3F69BE" w14:textId="77777777" w:rsidR="00497D17" w:rsidRDefault="00497D17" w:rsidP="00E64BC8">
      <w:pPr>
        <w:pStyle w:val="NormalWeb"/>
        <w:spacing w:before="0" w:beforeAutospacing="0" w:after="0" w:afterAutospacing="0"/>
        <w:jc w:val="both"/>
        <w:rPr>
          <w:rFonts w:eastAsiaTheme="minorHAnsi"/>
          <w:b/>
          <w:i/>
          <w:sz w:val="20"/>
          <w:szCs w:val="20"/>
        </w:rPr>
      </w:pPr>
    </w:p>
    <w:p w14:paraId="24C85F37" w14:textId="77777777" w:rsidR="00E64BC8" w:rsidRPr="003E4145" w:rsidRDefault="00E64BC8" w:rsidP="00E64BC8">
      <w:pPr>
        <w:pStyle w:val="NormalWeb"/>
        <w:spacing w:before="0" w:beforeAutospacing="0" w:after="0" w:afterAutospacing="0"/>
        <w:jc w:val="both"/>
        <w:rPr>
          <w:sz w:val="20"/>
          <w:szCs w:val="20"/>
        </w:rPr>
      </w:pPr>
      <w:r w:rsidRPr="00B74FB4">
        <w:rPr>
          <w:rFonts w:eastAsiaTheme="minorHAnsi"/>
          <w:b/>
          <w:i/>
          <w:sz w:val="20"/>
          <w:szCs w:val="20"/>
        </w:rPr>
        <w:t xml:space="preserve">Table </w:t>
      </w:r>
      <w:r w:rsidR="002F017F">
        <w:rPr>
          <w:rFonts w:eastAsiaTheme="minorHAnsi"/>
          <w:b/>
          <w:i/>
          <w:sz w:val="20"/>
          <w:szCs w:val="20"/>
        </w:rPr>
        <w:t>SM</w:t>
      </w:r>
      <w:r w:rsidR="00CA2AD9">
        <w:rPr>
          <w:rFonts w:eastAsiaTheme="minorHAnsi"/>
          <w:b/>
          <w:i/>
          <w:sz w:val="20"/>
          <w:szCs w:val="20"/>
        </w:rPr>
        <w:t>3</w:t>
      </w:r>
      <w:r w:rsidRPr="003E4145">
        <w:rPr>
          <w:i/>
          <w:iCs/>
          <w:color w:val="000000"/>
          <w:sz w:val="20"/>
          <w:szCs w:val="20"/>
        </w:rPr>
        <w:t>: Correlation coefficients between the different risk indices and their different components on exposure (</w:t>
      </w:r>
      <w:proofErr w:type="spellStart"/>
      <w:r w:rsidRPr="003E4145">
        <w:rPr>
          <w:i/>
          <w:iCs/>
          <w:color w:val="000000"/>
          <w:sz w:val="20"/>
          <w:szCs w:val="20"/>
        </w:rPr>
        <w:t>Exp</w:t>
      </w:r>
      <w:proofErr w:type="spellEnd"/>
      <w:r w:rsidRPr="003E4145">
        <w:rPr>
          <w:i/>
          <w:iCs/>
          <w:color w:val="000000"/>
          <w:sz w:val="20"/>
          <w:szCs w:val="20"/>
        </w:rPr>
        <w:t>), vulnerability (</w:t>
      </w:r>
      <w:proofErr w:type="spellStart"/>
      <w:r w:rsidRPr="003E4145">
        <w:rPr>
          <w:i/>
          <w:iCs/>
          <w:color w:val="000000"/>
          <w:sz w:val="20"/>
          <w:szCs w:val="20"/>
        </w:rPr>
        <w:t>Vul</w:t>
      </w:r>
      <w:proofErr w:type="spellEnd"/>
      <w:r w:rsidRPr="003E4145">
        <w:rPr>
          <w:i/>
          <w:iCs/>
          <w:color w:val="000000"/>
          <w:sz w:val="20"/>
          <w:szCs w:val="20"/>
        </w:rPr>
        <w:t>), susceptibility (</w:t>
      </w:r>
      <w:proofErr w:type="spellStart"/>
      <w:r w:rsidRPr="003E4145">
        <w:rPr>
          <w:i/>
          <w:iCs/>
          <w:color w:val="000000"/>
          <w:sz w:val="20"/>
          <w:szCs w:val="20"/>
        </w:rPr>
        <w:t>Susc</w:t>
      </w:r>
      <w:proofErr w:type="spellEnd"/>
      <w:r w:rsidRPr="003E4145">
        <w:rPr>
          <w:i/>
          <w:iCs/>
          <w:color w:val="000000"/>
          <w:sz w:val="20"/>
          <w:szCs w:val="20"/>
        </w:rPr>
        <w:t xml:space="preserve">), lack of coping capacity (LCC) or readiness and lack of adaptive capacity (LAC), grouped by indices. The significance levels are indicated by the asterisks:  ** correlation is significant at the 0.01 level (2-tailed) and * correlation is significant at the 0.05 level (2-tailed). The green color shading indicates </w:t>
      </w:r>
      <w:r w:rsidRPr="003E4145">
        <w:rPr>
          <w:i/>
          <w:iCs/>
          <w:color w:val="000000"/>
          <w:sz w:val="20"/>
          <w:szCs w:val="20"/>
        </w:rPr>
        <w:lastRenderedPageBreak/>
        <w:t>the strength of correlation with a grouping into moderate (&gt; 0.5), medium-strong (&gt;0.7), strong (&gt;0.8) and very strong (&gt;0.9) correlations. </w:t>
      </w:r>
    </w:p>
    <w:p w14:paraId="35F97582" w14:textId="478EF6A1" w:rsidR="00E64BC8" w:rsidRPr="003E4145" w:rsidRDefault="00E64BC8" w:rsidP="00E64BC8">
      <w:pPr>
        <w:pStyle w:val="NormalWeb"/>
        <w:spacing w:before="0" w:beforeAutospacing="0" w:after="0" w:afterAutospacing="0"/>
        <w:rPr>
          <w:sz w:val="20"/>
          <w:szCs w:val="20"/>
        </w:rPr>
      </w:pPr>
    </w:p>
    <w:p w14:paraId="3E1DBC5E" w14:textId="4EA29876" w:rsidR="00E64BC8" w:rsidRPr="003E4145" w:rsidRDefault="0057737D" w:rsidP="00E64BC8">
      <w:pPr>
        <w:spacing w:after="240"/>
        <w:rPr>
          <w:rFonts w:ascii="Times New Roman" w:hAnsi="Times New Roman" w:cs="Times New Roman"/>
          <w:sz w:val="20"/>
          <w:szCs w:val="20"/>
        </w:rPr>
      </w:pPr>
      <w:r w:rsidRPr="0057737D">
        <w:rPr>
          <w:noProof/>
        </w:rPr>
        <w:drawing>
          <wp:inline distT="0" distB="0" distL="0" distR="0" wp14:anchorId="706F8D8B" wp14:editId="10C6300F">
            <wp:extent cx="5943600" cy="359701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97015"/>
                    </a:xfrm>
                    <a:prstGeom prst="rect">
                      <a:avLst/>
                    </a:prstGeom>
                    <a:noFill/>
                    <a:ln>
                      <a:noFill/>
                    </a:ln>
                  </pic:spPr>
                </pic:pic>
              </a:graphicData>
            </a:graphic>
          </wp:inline>
        </w:drawing>
      </w:r>
    </w:p>
    <w:p w14:paraId="15D02836" w14:textId="77777777" w:rsidR="00C74B40" w:rsidRDefault="00C74B40" w:rsidP="00497D17">
      <w:pPr>
        <w:rPr>
          <w:rFonts w:ascii="Times New Roman" w:hAnsi="Times New Roman" w:cs="Times New Roman"/>
          <w:b/>
          <w:sz w:val="20"/>
          <w:szCs w:val="20"/>
        </w:rPr>
      </w:pPr>
    </w:p>
    <w:p w14:paraId="58F05A16" w14:textId="77777777" w:rsidR="00626561" w:rsidRDefault="00626561" w:rsidP="008664A1">
      <w:pPr>
        <w:spacing w:after="0" w:line="240" w:lineRule="auto"/>
        <w:rPr>
          <w:rFonts w:ascii="Times New Roman" w:eastAsia="Times New Roman" w:hAnsi="Times New Roman" w:cs="Times New Roman"/>
          <w:color w:val="000000"/>
          <w:sz w:val="20"/>
          <w:szCs w:val="20"/>
        </w:rPr>
      </w:pPr>
    </w:p>
    <w:p w14:paraId="17BCD9B5" w14:textId="77777777" w:rsidR="00626561" w:rsidRDefault="00626561" w:rsidP="008664A1">
      <w:pPr>
        <w:spacing w:after="0" w:line="240" w:lineRule="auto"/>
        <w:rPr>
          <w:rFonts w:ascii="Times New Roman" w:eastAsia="Times New Roman" w:hAnsi="Times New Roman" w:cs="Times New Roman"/>
          <w:color w:val="000000"/>
          <w:sz w:val="20"/>
          <w:szCs w:val="20"/>
        </w:rPr>
      </w:pPr>
    </w:p>
    <w:p w14:paraId="42F8B4D1" w14:textId="77777777" w:rsidR="00626561" w:rsidRPr="005B3603" w:rsidRDefault="002F017F" w:rsidP="005B3603">
      <w:pPr>
        <w:rPr>
          <w:rFonts w:ascii="Times New Roman" w:hAnsi="Times New Roman" w:cs="Times New Roman"/>
          <w:b/>
          <w:sz w:val="20"/>
          <w:szCs w:val="20"/>
        </w:rPr>
      </w:pPr>
      <w:r>
        <w:rPr>
          <w:rFonts w:ascii="Times New Roman" w:hAnsi="Times New Roman" w:cs="Times New Roman"/>
          <w:b/>
          <w:sz w:val="20"/>
          <w:szCs w:val="20"/>
        </w:rPr>
        <w:t xml:space="preserve">Section 4.3: </w:t>
      </w:r>
      <w:r w:rsidR="00626561" w:rsidRPr="005B3603">
        <w:rPr>
          <w:rFonts w:ascii="Times New Roman" w:hAnsi="Times New Roman" w:cs="Times New Roman"/>
          <w:b/>
          <w:sz w:val="20"/>
          <w:szCs w:val="20"/>
        </w:rPr>
        <w:t>Ranges and means of country scores across different indices</w:t>
      </w:r>
    </w:p>
    <w:p w14:paraId="5A3D9B61" w14:textId="77777777" w:rsidR="00626561" w:rsidRPr="003E4145" w:rsidRDefault="002F017F" w:rsidP="00626561">
      <w:pPr>
        <w:pStyle w:val="NormalWeb"/>
        <w:spacing w:before="0" w:beforeAutospacing="0" w:after="120" w:afterAutospacing="0"/>
        <w:jc w:val="both"/>
        <w:rPr>
          <w:sz w:val="20"/>
          <w:szCs w:val="20"/>
        </w:rPr>
      </w:pPr>
      <w:r>
        <w:rPr>
          <w:color w:val="000000"/>
          <w:sz w:val="20"/>
          <w:szCs w:val="20"/>
        </w:rPr>
        <w:t>Expanding on section 4.3</w:t>
      </w:r>
      <w:r w:rsidR="005F42ED">
        <w:rPr>
          <w:color w:val="000000"/>
          <w:sz w:val="20"/>
          <w:szCs w:val="20"/>
        </w:rPr>
        <w:t xml:space="preserve"> of the paper</w:t>
      </w:r>
      <w:r>
        <w:rPr>
          <w:color w:val="000000"/>
          <w:sz w:val="20"/>
          <w:szCs w:val="20"/>
        </w:rPr>
        <w:t xml:space="preserve">, </w:t>
      </w:r>
      <w:r w:rsidR="00626561">
        <w:rPr>
          <w:color w:val="000000"/>
          <w:sz w:val="20"/>
          <w:szCs w:val="20"/>
        </w:rPr>
        <w:t xml:space="preserve">Figure </w:t>
      </w:r>
      <w:r>
        <w:rPr>
          <w:color w:val="000000"/>
          <w:sz w:val="20"/>
          <w:szCs w:val="20"/>
        </w:rPr>
        <w:t>SM</w:t>
      </w:r>
      <w:r w:rsidR="00626561">
        <w:rPr>
          <w:color w:val="000000"/>
          <w:sz w:val="20"/>
          <w:szCs w:val="20"/>
        </w:rPr>
        <w:t xml:space="preserve">3 </w:t>
      </w:r>
      <w:r w:rsidR="00626561" w:rsidRPr="003E4145">
        <w:rPr>
          <w:color w:val="000000"/>
          <w:sz w:val="20"/>
          <w:szCs w:val="20"/>
        </w:rPr>
        <w:t xml:space="preserve">plots the </w:t>
      </w:r>
      <w:r w:rsidR="00626561">
        <w:rPr>
          <w:color w:val="000000"/>
          <w:sz w:val="20"/>
          <w:szCs w:val="20"/>
        </w:rPr>
        <w:t xml:space="preserve">inter-index </w:t>
      </w:r>
      <w:r w:rsidR="00626561" w:rsidRPr="003E4145">
        <w:rPr>
          <w:color w:val="000000"/>
          <w:sz w:val="20"/>
          <w:szCs w:val="20"/>
        </w:rPr>
        <w:t>means against the ranges of all countries considered</w:t>
      </w:r>
      <w:r w:rsidR="00626561">
        <w:rPr>
          <w:color w:val="000000"/>
          <w:sz w:val="20"/>
          <w:szCs w:val="20"/>
        </w:rPr>
        <w:t>,</w:t>
      </w:r>
      <w:r w:rsidR="00626561" w:rsidRPr="003E4145">
        <w:rPr>
          <w:color w:val="000000"/>
          <w:sz w:val="20"/>
          <w:szCs w:val="20"/>
        </w:rPr>
        <w:t xml:space="preserve"> in overall risk as well as different risk components. </w:t>
      </w:r>
      <w:r w:rsidR="00626561">
        <w:rPr>
          <w:color w:val="000000"/>
          <w:sz w:val="20"/>
          <w:szCs w:val="20"/>
        </w:rPr>
        <w:t xml:space="preserve"> </w:t>
      </w:r>
      <w:r w:rsidR="00626561" w:rsidRPr="003E4145">
        <w:rPr>
          <w:color w:val="000000"/>
          <w:sz w:val="20"/>
          <w:szCs w:val="20"/>
        </w:rPr>
        <w:t xml:space="preserve">Panel </w:t>
      </w:r>
      <w:r w:rsidR="00626561">
        <w:rPr>
          <w:color w:val="000000"/>
          <w:sz w:val="20"/>
          <w:szCs w:val="20"/>
        </w:rPr>
        <w:t>3</w:t>
      </w:r>
      <w:r w:rsidR="00626561" w:rsidRPr="003E4145">
        <w:rPr>
          <w:color w:val="000000"/>
          <w:sz w:val="20"/>
          <w:szCs w:val="20"/>
        </w:rPr>
        <w:t xml:space="preserve">a) shows that for countries’ overall risk scores no significant difference in the inter-index range of results can be observed across the spectrum of high-to-low risk countries. Ranges in countries’ risk normalized risk scores between the four indices considered span from zero to almost one. Countries with the highest risk mean (0.8 to 1.0 in a scale from zero to one) show amongst the lowest ranges (&lt; 0.6 in a scale from zero to one). Panel b shows that a similar pattern can be observed when considering only the exposure </w:t>
      </w:r>
      <w:r w:rsidR="00626561">
        <w:rPr>
          <w:color w:val="000000"/>
          <w:sz w:val="20"/>
          <w:szCs w:val="20"/>
        </w:rPr>
        <w:t>sub-components</w:t>
      </w:r>
      <w:r w:rsidR="00626561" w:rsidRPr="003E4145">
        <w:rPr>
          <w:color w:val="000000"/>
          <w:sz w:val="20"/>
          <w:szCs w:val="20"/>
        </w:rPr>
        <w:t xml:space="preserve"> of the three indices considered (the CRI is only included into the overall risk analysis). </w:t>
      </w:r>
    </w:p>
    <w:p w14:paraId="087EAFD5" w14:textId="7246FD2B" w:rsidR="00626561" w:rsidRPr="003E4145" w:rsidRDefault="00626561" w:rsidP="00626561">
      <w:pPr>
        <w:pStyle w:val="NormalWeb"/>
        <w:spacing w:before="0" w:beforeAutospacing="0" w:after="120" w:afterAutospacing="0"/>
        <w:jc w:val="both"/>
        <w:rPr>
          <w:sz w:val="20"/>
          <w:szCs w:val="20"/>
        </w:rPr>
      </w:pPr>
      <w:r w:rsidRPr="003E4145">
        <w:rPr>
          <w:color w:val="000000"/>
          <w:sz w:val="20"/>
          <w:szCs w:val="20"/>
        </w:rPr>
        <w:t>For vulnerability and susceptibility (panels c and d), the picture looks different</w:t>
      </w:r>
      <w:r w:rsidR="00E0458D">
        <w:rPr>
          <w:color w:val="000000"/>
          <w:sz w:val="20"/>
          <w:szCs w:val="20"/>
        </w:rPr>
        <w:t xml:space="preserve"> with,</w:t>
      </w:r>
      <w:r w:rsidRPr="003E4145">
        <w:rPr>
          <w:color w:val="000000"/>
          <w:sz w:val="20"/>
          <w:szCs w:val="20"/>
        </w:rPr>
        <w:t xml:space="preserve"> </w:t>
      </w:r>
      <w:r w:rsidR="00E0458D">
        <w:rPr>
          <w:color w:val="000000"/>
          <w:sz w:val="20"/>
          <w:szCs w:val="20"/>
        </w:rPr>
        <w:t>f</w:t>
      </w:r>
      <w:r w:rsidRPr="003E4145">
        <w:rPr>
          <w:color w:val="000000"/>
          <w:sz w:val="20"/>
          <w:szCs w:val="20"/>
        </w:rPr>
        <w:t>irst, a lower overall range and, second, a mild negative correlation in that countries with higher vulnerability or susceptibility tend to have a slightly lower range in their inter-index scores. Countries with the highest vulnerability and susceptibility scores (0.8 to 1.0 in a scale from zero to one) all have ranges &lt; 0.4 (in a scale from zero to one). </w:t>
      </w:r>
    </w:p>
    <w:p w14:paraId="7F2C3ED0" w14:textId="286B4086" w:rsidR="00626561" w:rsidRDefault="00626561" w:rsidP="00626561">
      <w:pPr>
        <w:spacing w:after="240"/>
        <w:jc w:val="both"/>
        <w:rPr>
          <w:rFonts w:ascii="Times New Roman" w:hAnsi="Times New Roman" w:cs="Times New Roman"/>
          <w:color w:val="000000"/>
          <w:sz w:val="20"/>
          <w:szCs w:val="20"/>
        </w:rPr>
      </w:pPr>
      <w:r w:rsidRPr="003E4145">
        <w:rPr>
          <w:rFonts w:ascii="Times New Roman" w:hAnsi="Times New Roman" w:cs="Times New Roman"/>
          <w:color w:val="000000"/>
          <w:sz w:val="20"/>
          <w:szCs w:val="20"/>
        </w:rPr>
        <w:t xml:space="preserve">The smallest inter-index ranges can be observed in the capacity related </w:t>
      </w:r>
      <w:r>
        <w:rPr>
          <w:rFonts w:ascii="Times New Roman" w:hAnsi="Times New Roman" w:cs="Times New Roman"/>
          <w:color w:val="000000"/>
          <w:sz w:val="20"/>
          <w:szCs w:val="20"/>
        </w:rPr>
        <w:t>sub-components</w:t>
      </w:r>
      <w:r w:rsidRPr="003E4145">
        <w:rPr>
          <w:rFonts w:ascii="Times New Roman" w:hAnsi="Times New Roman" w:cs="Times New Roman"/>
          <w:color w:val="000000"/>
          <w:sz w:val="20"/>
          <w:szCs w:val="20"/>
        </w:rPr>
        <w:t>, i.e. lack of coping capacity (LCC) and lack of adaptive capacity (LAC). Almost all countries stay within a range bandwidth of between 0 and 0.4. The mean range is only 0.1 for LCC and even below 0.09 for LAC</w:t>
      </w:r>
      <w:r w:rsidR="00E0458D">
        <w:rPr>
          <w:rFonts w:ascii="Times New Roman" w:hAnsi="Times New Roman" w:cs="Times New Roman"/>
          <w:color w:val="000000"/>
          <w:sz w:val="20"/>
          <w:szCs w:val="20"/>
        </w:rPr>
        <w:t>,</w:t>
      </w:r>
      <w:r w:rsidRPr="003E4145">
        <w:rPr>
          <w:rFonts w:ascii="Times New Roman" w:hAnsi="Times New Roman" w:cs="Times New Roman"/>
          <w:color w:val="000000"/>
          <w:sz w:val="20"/>
          <w:szCs w:val="20"/>
        </w:rPr>
        <w:t xml:space="preserve"> even though one has to consider that in the latter case only two indices provide information (WRI and GAIN), instead of three in the case of LCC. In other words, there is much higher inter-index agreement (i.e. less of a range) between the capacity-related </w:t>
      </w:r>
      <w:r>
        <w:rPr>
          <w:rFonts w:ascii="Times New Roman" w:hAnsi="Times New Roman" w:cs="Times New Roman"/>
          <w:color w:val="000000"/>
          <w:sz w:val="20"/>
          <w:szCs w:val="20"/>
        </w:rPr>
        <w:t>sub-components</w:t>
      </w:r>
      <w:r w:rsidRPr="003E4145">
        <w:rPr>
          <w:rFonts w:ascii="Times New Roman" w:hAnsi="Times New Roman" w:cs="Times New Roman"/>
          <w:color w:val="000000"/>
          <w:sz w:val="20"/>
          <w:szCs w:val="20"/>
        </w:rPr>
        <w:t xml:space="preserve">, when compared to the vulnerability/susceptibility and particularly the exposure and risk information. These findings are in line with the higher correlations observed in the two capacity </w:t>
      </w:r>
      <w:r>
        <w:rPr>
          <w:rFonts w:ascii="Times New Roman" w:hAnsi="Times New Roman" w:cs="Times New Roman"/>
          <w:color w:val="000000"/>
          <w:sz w:val="20"/>
          <w:szCs w:val="20"/>
        </w:rPr>
        <w:t xml:space="preserve">sub-components (Table </w:t>
      </w:r>
      <w:r w:rsidR="002F017F">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3E4145">
        <w:rPr>
          <w:rFonts w:ascii="Times New Roman" w:hAnsi="Times New Roman" w:cs="Times New Roman"/>
          <w:color w:val="000000"/>
          <w:sz w:val="20"/>
          <w:szCs w:val="20"/>
        </w:rPr>
        <w:t>. In both LCC and LAC, the low range persists across the entire spectrum of mean capacity. A potential explanation is the comparatively strong overlap in terms of the underlying indicators (</w:t>
      </w:r>
      <w:r>
        <w:rPr>
          <w:rFonts w:ascii="Times New Roman" w:hAnsi="Times New Roman" w:cs="Times New Roman"/>
          <w:color w:val="000000"/>
          <w:sz w:val="20"/>
          <w:szCs w:val="20"/>
        </w:rPr>
        <w:t>section 4.1).</w:t>
      </w:r>
    </w:p>
    <w:p w14:paraId="5F72B9DB" w14:textId="21998F8F" w:rsidR="008664A1" w:rsidRPr="003E4145" w:rsidRDefault="008664A1" w:rsidP="008664A1">
      <w:pPr>
        <w:spacing w:after="0" w:line="240" w:lineRule="auto"/>
        <w:rPr>
          <w:rFonts w:ascii="Times New Roman" w:eastAsia="Times New Roman" w:hAnsi="Times New Roman" w:cs="Times New Roman"/>
          <w:b/>
          <w:bCs/>
          <w:i/>
          <w:iCs/>
          <w:color w:val="000000"/>
          <w:sz w:val="20"/>
          <w:szCs w:val="20"/>
        </w:rPr>
      </w:pPr>
    </w:p>
    <w:p w14:paraId="0CCA9CDD" w14:textId="35972FB8" w:rsidR="00E0458D" w:rsidRDefault="005B6C89" w:rsidP="007E5766">
      <w:pPr>
        <w:jc w:val="both"/>
        <w:rPr>
          <w:rFonts w:ascii="Times New Roman" w:eastAsia="Times New Roman" w:hAnsi="Times New Roman" w:cs="Times New Roman"/>
          <w:i/>
          <w:color w:val="000000"/>
          <w:sz w:val="20"/>
          <w:szCs w:val="20"/>
        </w:rPr>
      </w:pPr>
      <w:r w:rsidRPr="00FB1E47">
        <w:rPr>
          <w:noProof/>
        </w:rPr>
        <w:drawing>
          <wp:inline distT="0" distB="0" distL="0" distR="0" wp14:anchorId="03F3563E" wp14:editId="16CEAEC2">
            <wp:extent cx="5759395" cy="7281081"/>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3705" cy="7286530"/>
                    </a:xfrm>
                    <a:prstGeom prst="rect">
                      <a:avLst/>
                    </a:prstGeom>
                    <a:noFill/>
                    <a:ln>
                      <a:noFill/>
                    </a:ln>
                  </pic:spPr>
                </pic:pic>
              </a:graphicData>
            </a:graphic>
          </wp:inline>
        </w:drawing>
      </w:r>
      <w:r>
        <w:rPr>
          <w:rFonts w:ascii="Times New Roman" w:eastAsia="Times New Roman" w:hAnsi="Times New Roman" w:cs="Times New Roman"/>
          <w:b/>
          <w:i/>
          <w:color w:val="000000"/>
          <w:sz w:val="20"/>
          <w:szCs w:val="20"/>
        </w:rPr>
        <w:t xml:space="preserve">Figure </w:t>
      </w:r>
      <w:r w:rsidR="002F017F">
        <w:rPr>
          <w:rFonts w:ascii="Times New Roman" w:eastAsia="Times New Roman" w:hAnsi="Times New Roman" w:cs="Times New Roman"/>
          <w:b/>
          <w:i/>
          <w:color w:val="000000"/>
          <w:sz w:val="20"/>
          <w:szCs w:val="20"/>
        </w:rPr>
        <w:t>SM</w:t>
      </w:r>
      <w:r>
        <w:rPr>
          <w:rFonts w:ascii="Times New Roman" w:eastAsia="Times New Roman" w:hAnsi="Times New Roman" w:cs="Times New Roman"/>
          <w:b/>
          <w:i/>
          <w:color w:val="000000"/>
          <w:sz w:val="20"/>
          <w:szCs w:val="20"/>
        </w:rPr>
        <w:t>3</w:t>
      </w:r>
      <w:r>
        <w:rPr>
          <w:rFonts w:ascii="Times New Roman" w:eastAsia="Times New Roman" w:hAnsi="Times New Roman" w:cs="Times New Roman"/>
          <w:i/>
          <w:color w:val="000000"/>
          <w:sz w:val="20"/>
          <w:szCs w:val="20"/>
        </w:rPr>
        <w:t xml:space="preserve">: Relationships between the mean scores and ranges between normalized scores of countries in different indices for overall risk (A), exposure (B), vulnerability (c), susceptibility (D), lack of coping capacity (E) and lack of adaptive capacity (F). The number of data points refers to the availability of index information for the respective </w:t>
      </w:r>
      <w:r>
        <w:rPr>
          <w:rFonts w:ascii="Times New Roman" w:eastAsia="Times New Roman" w:hAnsi="Times New Roman" w:cs="Times New Roman"/>
          <w:i/>
          <w:color w:val="000000"/>
          <w:sz w:val="20"/>
          <w:szCs w:val="20"/>
        </w:rPr>
        <w:lastRenderedPageBreak/>
        <w:t>country from either two, three or four indices. Cases with just one available data point were excluded from the analysis.</w:t>
      </w:r>
      <w:r w:rsidR="00E0458D">
        <w:rPr>
          <w:rFonts w:ascii="Times New Roman" w:eastAsia="Times New Roman" w:hAnsi="Times New Roman" w:cs="Times New Roman"/>
          <w:i/>
          <w:color w:val="000000"/>
          <w:sz w:val="20"/>
          <w:szCs w:val="20"/>
        </w:rPr>
        <w:br w:type="page"/>
      </w:r>
    </w:p>
    <w:p w14:paraId="5CB761DD" w14:textId="77777777" w:rsidR="005F5895" w:rsidRPr="003E4145" w:rsidRDefault="002F017F" w:rsidP="005F5895">
      <w:pPr>
        <w:pStyle w:val="Heading2"/>
        <w:spacing w:before="360" w:beforeAutospacing="0" w:after="120" w:afterAutospacing="0"/>
        <w:rPr>
          <w:sz w:val="20"/>
          <w:szCs w:val="20"/>
        </w:rPr>
      </w:pPr>
      <w:r>
        <w:rPr>
          <w:color w:val="000000"/>
          <w:sz w:val="20"/>
          <w:szCs w:val="20"/>
        </w:rPr>
        <w:t xml:space="preserve">Section 4.3: </w:t>
      </w:r>
      <w:r w:rsidR="00FA164A">
        <w:rPr>
          <w:color w:val="000000"/>
          <w:sz w:val="20"/>
          <w:szCs w:val="20"/>
        </w:rPr>
        <w:t xml:space="preserve">Ranks of countries across different indices </w:t>
      </w:r>
    </w:p>
    <w:p w14:paraId="0232428A" w14:textId="77777777" w:rsidR="005F5895" w:rsidRDefault="007A1CF7">
      <w:pPr>
        <w:rPr>
          <w:rFonts w:ascii="Times New Roman" w:hAnsi="Times New Roman" w:cs="Times New Roman"/>
          <w:sz w:val="20"/>
          <w:szCs w:val="20"/>
        </w:rPr>
      </w:pPr>
      <w:r>
        <w:rPr>
          <w:rFonts w:ascii="Times New Roman" w:hAnsi="Times New Roman" w:cs="Times New Roman"/>
          <w:sz w:val="20"/>
          <w:szCs w:val="20"/>
        </w:rPr>
        <w:t>Expanding on section 4.3</w:t>
      </w:r>
      <w:r w:rsidR="005F42ED">
        <w:rPr>
          <w:rFonts w:ascii="Times New Roman" w:hAnsi="Times New Roman" w:cs="Times New Roman"/>
          <w:sz w:val="20"/>
          <w:szCs w:val="20"/>
        </w:rPr>
        <w:t xml:space="preserve"> of the paper</w:t>
      </w:r>
      <w:r>
        <w:rPr>
          <w:rFonts w:ascii="Times New Roman" w:hAnsi="Times New Roman" w:cs="Times New Roman"/>
          <w:sz w:val="20"/>
          <w:szCs w:val="20"/>
        </w:rPr>
        <w:t xml:space="preserve">, Figure SM4 presents an analysis on how country-level ranks differ when moving from one index to the next. A number of patterns can be observed. Illustrative cases of these patterns are highlighted through coloring. </w:t>
      </w:r>
    </w:p>
    <w:p w14:paraId="5D2F6725" w14:textId="77777777" w:rsidR="007A1CF7" w:rsidRDefault="007A1CF7">
      <w:pPr>
        <w:rPr>
          <w:rFonts w:ascii="Times New Roman" w:hAnsi="Times New Roman" w:cs="Times New Roman"/>
          <w:sz w:val="20"/>
          <w:szCs w:val="20"/>
        </w:rPr>
      </w:pPr>
    </w:p>
    <w:p w14:paraId="7E94ED6D" w14:textId="77777777" w:rsidR="005F5895" w:rsidRDefault="005F5895">
      <w:pPr>
        <w:rPr>
          <w:rFonts w:ascii="Times New Roman" w:hAnsi="Times New Roman" w:cs="Times New Roman"/>
          <w:sz w:val="20"/>
          <w:szCs w:val="20"/>
        </w:rPr>
      </w:pPr>
      <w:r>
        <w:rPr>
          <w:noProof/>
        </w:rPr>
        <w:drawing>
          <wp:inline distT="0" distB="0" distL="0" distR="0" wp14:anchorId="1F59288A" wp14:editId="3A74EA0F">
            <wp:extent cx="5632450" cy="5962015"/>
            <wp:effectExtent l="0" t="0" r="6350" b="635"/>
            <wp:docPr id="3" name="Picture 3" descr="Final lay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inal layou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32450" cy="5962015"/>
                    </a:xfrm>
                    <a:prstGeom prst="rect">
                      <a:avLst/>
                    </a:prstGeom>
                    <a:noFill/>
                    <a:ln>
                      <a:noFill/>
                    </a:ln>
                  </pic:spPr>
                </pic:pic>
              </a:graphicData>
            </a:graphic>
          </wp:inline>
        </w:drawing>
      </w:r>
    </w:p>
    <w:p w14:paraId="32657086" w14:textId="77777777" w:rsidR="005F5895" w:rsidRDefault="005F5895" w:rsidP="005B3603">
      <w:pPr>
        <w:jc w:val="right"/>
        <w:rPr>
          <w:rFonts w:ascii="Times New Roman" w:hAnsi="Times New Roman" w:cs="Times New Roman"/>
          <w:sz w:val="20"/>
          <w:szCs w:val="20"/>
        </w:rPr>
      </w:pPr>
      <w:r>
        <w:rPr>
          <w:noProof/>
        </w:rPr>
        <w:lastRenderedPageBreak/>
        <w:drawing>
          <wp:inline distT="0" distB="0" distL="0" distR="0" wp14:anchorId="32441692" wp14:editId="79229FB3">
            <wp:extent cx="4052570" cy="1038860"/>
            <wp:effectExtent l="0" t="0" r="508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2570" cy="1038860"/>
                    </a:xfrm>
                    <a:prstGeom prst="rect">
                      <a:avLst/>
                    </a:prstGeom>
                    <a:noFill/>
                    <a:ln>
                      <a:noFill/>
                    </a:ln>
                  </pic:spPr>
                </pic:pic>
              </a:graphicData>
            </a:graphic>
          </wp:inline>
        </w:drawing>
      </w:r>
    </w:p>
    <w:p w14:paraId="789A9D51" w14:textId="77777777" w:rsidR="005F5895" w:rsidRPr="005B3603" w:rsidRDefault="005F5895" w:rsidP="007E5766">
      <w:pPr>
        <w:spacing w:before="240" w:after="0" w:line="240" w:lineRule="auto"/>
        <w:jc w:val="both"/>
        <w:rPr>
          <w:rFonts w:ascii="Times New Roman" w:eastAsia="Times New Roman" w:hAnsi="Times New Roman" w:cs="Times New Roman"/>
          <w:bCs/>
          <w:i/>
          <w:iCs/>
          <w:color w:val="000000"/>
          <w:sz w:val="20"/>
          <w:szCs w:val="20"/>
        </w:rPr>
      </w:pPr>
      <w:r w:rsidRPr="005B3603">
        <w:rPr>
          <w:rFonts w:ascii="Times New Roman" w:eastAsia="Times New Roman" w:hAnsi="Times New Roman" w:cs="Times New Roman"/>
          <w:b/>
          <w:bCs/>
          <w:i/>
          <w:iCs/>
          <w:color w:val="000000"/>
          <w:sz w:val="20"/>
          <w:szCs w:val="20"/>
        </w:rPr>
        <w:t xml:space="preserve">Figure </w:t>
      </w:r>
      <w:r w:rsidR="002F017F">
        <w:rPr>
          <w:rFonts w:ascii="Times New Roman" w:eastAsia="Times New Roman" w:hAnsi="Times New Roman" w:cs="Times New Roman"/>
          <w:b/>
          <w:bCs/>
          <w:i/>
          <w:iCs/>
          <w:color w:val="000000"/>
          <w:sz w:val="20"/>
          <w:szCs w:val="20"/>
        </w:rPr>
        <w:t>SM4</w:t>
      </w:r>
      <w:r w:rsidRPr="005B3603">
        <w:rPr>
          <w:rFonts w:ascii="Times New Roman" w:eastAsia="Times New Roman" w:hAnsi="Times New Roman" w:cs="Times New Roman"/>
          <w:b/>
          <w:bCs/>
          <w:i/>
          <w:iCs/>
          <w:color w:val="000000"/>
          <w:sz w:val="20"/>
          <w:szCs w:val="20"/>
        </w:rPr>
        <w:t xml:space="preserve">. </w:t>
      </w:r>
      <w:r w:rsidRPr="005B3603">
        <w:rPr>
          <w:rFonts w:ascii="Times New Roman" w:eastAsia="Times New Roman" w:hAnsi="Times New Roman" w:cs="Times New Roman"/>
          <w:bCs/>
          <w:i/>
          <w:iCs/>
          <w:color w:val="000000"/>
          <w:sz w:val="20"/>
          <w:szCs w:val="20"/>
        </w:rPr>
        <w:t xml:space="preserve">Comparison of country rankings across global risk indices for the overall risk score (a), and the individual sub-components (b-f) of selected countries. The </w:t>
      </w:r>
      <w:proofErr w:type="spellStart"/>
      <w:r w:rsidRPr="005B3603">
        <w:rPr>
          <w:rFonts w:ascii="Times New Roman" w:eastAsia="Times New Roman" w:hAnsi="Times New Roman" w:cs="Times New Roman"/>
          <w:bCs/>
          <w:i/>
          <w:iCs/>
          <w:color w:val="000000"/>
          <w:sz w:val="20"/>
          <w:szCs w:val="20"/>
        </w:rPr>
        <w:t>coloured</w:t>
      </w:r>
      <w:proofErr w:type="spellEnd"/>
      <w:r w:rsidRPr="005B3603">
        <w:rPr>
          <w:rFonts w:ascii="Times New Roman" w:eastAsia="Times New Roman" w:hAnsi="Times New Roman" w:cs="Times New Roman"/>
          <w:bCs/>
          <w:i/>
          <w:iCs/>
          <w:color w:val="000000"/>
          <w:sz w:val="20"/>
          <w:szCs w:val="20"/>
        </w:rPr>
        <w:t xml:space="preserve"> lines highlight typical countries of the different patterns that can be observed in the grey lines, i.e. amongst the countries overall. </w:t>
      </w:r>
      <w:r w:rsidR="007A1CF7" w:rsidRPr="005B3603">
        <w:rPr>
          <w:rFonts w:ascii="Times New Roman" w:eastAsia="Times New Roman" w:hAnsi="Times New Roman" w:cs="Times New Roman"/>
          <w:bCs/>
          <w:i/>
          <w:iCs/>
          <w:color w:val="000000"/>
          <w:sz w:val="20"/>
          <w:szCs w:val="20"/>
        </w:rPr>
        <w:t xml:space="preserve">Low numbers on the Y-Axis indicate high ranks, meaning high risk, exposure etc. </w:t>
      </w:r>
    </w:p>
    <w:p w14:paraId="5E92280E" w14:textId="77777777" w:rsidR="005F5895" w:rsidRDefault="005F5895" w:rsidP="005F5895">
      <w:pPr>
        <w:spacing w:after="0" w:line="240" w:lineRule="auto"/>
        <w:jc w:val="both"/>
        <w:rPr>
          <w:rFonts w:ascii="Times New Roman" w:eastAsia="Times New Roman" w:hAnsi="Times New Roman" w:cs="Times New Roman"/>
          <w:sz w:val="20"/>
          <w:szCs w:val="20"/>
        </w:rPr>
      </w:pPr>
    </w:p>
    <w:p w14:paraId="28179633" w14:textId="77777777" w:rsidR="005F5895" w:rsidRDefault="005F5895">
      <w:pPr>
        <w:rPr>
          <w:rFonts w:ascii="Times New Roman" w:hAnsi="Times New Roman" w:cs="Times New Roman"/>
          <w:sz w:val="20"/>
          <w:szCs w:val="20"/>
        </w:rPr>
      </w:pPr>
    </w:p>
    <w:p w14:paraId="2BE9F8B2" w14:textId="77777777" w:rsidR="00B821CC" w:rsidRPr="003E4145" w:rsidRDefault="007A1CF7" w:rsidP="00B821CC">
      <w:pPr>
        <w:pStyle w:val="Heading2"/>
        <w:spacing w:before="360" w:beforeAutospacing="0" w:after="120" w:afterAutospacing="0"/>
        <w:rPr>
          <w:sz w:val="20"/>
          <w:szCs w:val="20"/>
        </w:rPr>
      </w:pPr>
      <w:r>
        <w:rPr>
          <w:color w:val="000000"/>
          <w:sz w:val="20"/>
          <w:szCs w:val="20"/>
        </w:rPr>
        <w:t xml:space="preserve">Section 4.3: </w:t>
      </w:r>
      <w:r w:rsidR="00B821CC">
        <w:rPr>
          <w:color w:val="000000"/>
          <w:sz w:val="20"/>
          <w:szCs w:val="20"/>
        </w:rPr>
        <w:t>Inter-index r</w:t>
      </w:r>
      <w:r w:rsidR="00B821CC" w:rsidRPr="003E4145">
        <w:rPr>
          <w:color w:val="000000"/>
          <w:sz w:val="20"/>
          <w:szCs w:val="20"/>
        </w:rPr>
        <w:t xml:space="preserve">anges </w:t>
      </w:r>
      <w:r w:rsidR="00B821CC">
        <w:rPr>
          <w:color w:val="000000"/>
          <w:sz w:val="20"/>
          <w:szCs w:val="20"/>
        </w:rPr>
        <w:t>across</w:t>
      </w:r>
      <w:r w:rsidR="00B821CC" w:rsidRPr="003E4145">
        <w:rPr>
          <w:color w:val="000000"/>
          <w:sz w:val="20"/>
          <w:szCs w:val="20"/>
        </w:rPr>
        <w:t xml:space="preserve"> different </w:t>
      </w:r>
      <w:r w:rsidR="00B821CC">
        <w:rPr>
          <w:color w:val="000000"/>
          <w:sz w:val="20"/>
          <w:szCs w:val="20"/>
        </w:rPr>
        <w:t xml:space="preserve">country </w:t>
      </w:r>
      <w:r w:rsidR="00B821CC" w:rsidRPr="003E4145">
        <w:rPr>
          <w:color w:val="000000"/>
          <w:sz w:val="20"/>
          <w:szCs w:val="20"/>
        </w:rPr>
        <w:t>groups </w:t>
      </w:r>
    </w:p>
    <w:p w14:paraId="49F69A28" w14:textId="65B55C1E" w:rsidR="00B821CC" w:rsidRPr="003E4145" w:rsidRDefault="007A1CF7" w:rsidP="00B821CC">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Expanding on the analysis provided in section 4.3</w:t>
      </w:r>
      <w:r w:rsidR="005F42ED">
        <w:rPr>
          <w:rFonts w:ascii="Times New Roman" w:hAnsi="Times New Roman" w:cs="Times New Roman"/>
          <w:color w:val="000000"/>
          <w:sz w:val="20"/>
          <w:szCs w:val="20"/>
        </w:rPr>
        <w:t xml:space="preserve"> of the paper</w:t>
      </w:r>
      <w:r>
        <w:rPr>
          <w:rFonts w:ascii="Times New Roman" w:hAnsi="Times New Roman" w:cs="Times New Roman"/>
          <w:color w:val="000000"/>
          <w:sz w:val="20"/>
          <w:szCs w:val="20"/>
        </w:rPr>
        <w:t xml:space="preserve">, </w:t>
      </w:r>
      <w:r w:rsidR="00B821CC">
        <w:rPr>
          <w:rFonts w:ascii="Times New Roman" w:hAnsi="Times New Roman" w:cs="Times New Roman"/>
          <w:color w:val="000000"/>
          <w:sz w:val="20"/>
          <w:szCs w:val="20"/>
        </w:rPr>
        <w:t xml:space="preserve">Figure </w:t>
      </w:r>
      <w:r>
        <w:rPr>
          <w:rFonts w:ascii="Times New Roman" w:hAnsi="Times New Roman" w:cs="Times New Roman"/>
          <w:color w:val="000000"/>
          <w:sz w:val="20"/>
          <w:szCs w:val="20"/>
        </w:rPr>
        <w:t>SM5</w:t>
      </w:r>
      <w:r w:rsidR="00B821CC">
        <w:rPr>
          <w:rFonts w:ascii="Times New Roman" w:hAnsi="Times New Roman" w:cs="Times New Roman"/>
          <w:color w:val="000000"/>
          <w:sz w:val="20"/>
          <w:szCs w:val="20"/>
        </w:rPr>
        <w:t xml:space="preserve"> pl</w:t>
      </w:r>
      <w:r w:rsidR="00B821CC" w:rsidRPr="003E4145">
        <w:rPr>
          <w:rFonts w:ascii="Times New Roman" w:hAnsi="Times New Roman" w:cs="Times New Roman"/>
          <w:color w:val="000000"/>
          <w:sz w:val="20"/>
          <w:szCs w:val="20"/>
        </w:rPr>
        <w:t xml:space="preserve">ots the range of normalized scores for overall risk and its components for the global as well as filtered for different country groups relevant for climate and disaster risk policy debates. The Y-axis shows the different country groups considered: Global, Continent (Africa, Asia, America, Europe, Oceania), UN DESA’s Development Status groups (More developed regions, Less Developed Regions, LDCs, Landlocked Developing Countries) and finally policy-relevant groups such as Small Island Developing States (SIDS) and the Vulnerable 20 group (V20). The X-Axis shows the normalized range scores from 0 to 1. Each boxplot represents the range of scores for risk or one of its </w:t>
      </w:r>
      <w:r w:rsidR="00B821CC">
        <w:rPr>
          <w:rFonts w:ascii="Times New Roman" w:hAnsi="Times New Roman" w:cs="Times New Roman"/>
          <w:color w:val="000000"/>
          <w:sz w:val="20"/>
          <w:szCs w:val="20"/>
        </w:rPr>
        <w:t>sub-components</w:t>
      </w:r>
      <w:r w:rsidR="00B821CC" w:rsidRPr="003E4145">
        <w:rPr>
          <w:rFonts w:ascii="Times New Roman" w:hAnsi="Times New Roman" w:cs="Times New Roman"/>
          <w:color w:val="000000"/>
          <w:sz w:val="20"/>
          <w:szCs w:val="20"/>
        </w:rPr>
        <w:t xml:space="preserve"> for that particular country group. Furthermore, the plots also reveal the median value of each country group for risk and its </w:t>
      </w:r>
      <w:r w:rsidR="00B821CC">
        <w:rPr>
          <w:rFonts w:ascii="Times New Roman" w:hAnsi="Times New Roman" w:cs="Times New Roman"/>
          <w:color w:val="000000"/>
          <w:sz w:val="20"/>
          <w:szCs w:val="20"/>
        </w:rPr>
        <w:t>sub-components</w:t>
      </w:r>
      <w:r w:rsidR="00B821CC" w:rsidRPr="003E4145">
        <w:rPr>
          <w:rFonts w:ascii="Times New Roman" w:hAnsi="Times New Roman" w:cs="Times New Roman"/>
          <w:color w:val="000000"/>
          <w:sz w:val="20"/>
          <w:szCs w:val="20"/>
        </w:rPr>
        <w:t xml:space="preserve"> across the different indices.</w:t>
      </w:r>
    </w:p>
    <w:p w14:paraId="1484D40A" w14:textId="77777777" w:rsidR="00B821CC" w:rsidRPr="003E4145" w:rsidRDefault="00B821CC" w:rsidP="00B821CC">
      <w:pPr>
        <w:spacing w:after="0" w:line="240" w:lineRule="auto"/>
        <w:jc w:val="both"/>
        <w:rPr>
          <w:rFonts w:ascii="Times New Roman" w:hAnsi="Times New Roman" w:cs="Times New Roman"/>
          <w:color w:val="000000"/>
          <w:sz w:val="20"/>
          <w:szCs w:val="20"/>
        </w:rPr>
      </w:pPr>
    </w:p>
    <w:p w14:paraId="46C73F80" w14:textId="77777777" w:rsidR="00B821CC" w:rsidRPr="003E4145" w:rsidRDefault="00B821CC" w:rsidP="00B821CC">
      <w:pPr>
        <w:spacing w:after="0" w:line="240" w:lineRule="auto"/>
        <w:jc w:val="both"/>
        <w:rPr>
          <w:rFonts w:ascii="Times New Roman" w:hAnsi="Times New Roman" w:cs="Times New Roman"/>
          <w:color w:val="000000"/>
          <w:sz w:val="20"/>
          <w:szCs w:val="20"/>
        </w:rPr>
      </w:pPr>
    </w:p>
    <w:p w14:paraId="64DBF05B" w14:textId="77777777" w:rsidR="00B821CC" w:rsidRDefault="00B821CC" w:rsidP="00B821CC">
      <w:pPr>
        <w:spacing w:after="0" w:line="240" w:lineRule="auto"/>
        <w:rPr>
          <w:rFonts w:ascii="Times New Roman" w:eastAsia="Times New Roman" w:hAnsi="Times New Roman" w:cs="Times New Roman"/>
          <w:sz w:val="20"/>
          <w:szCs w:val="20"/>
        </w:rPr>
      </w:pPr>
      <w:r w:rsidRPr="003E4145">
        <w:rPr>
          <w:rFonts w:ascii="Times New Roman" w:eastAsia="Times New Roman" w:hAnsi="Times New Roman" w:cs="Times New Roman"/>
          <w:noProof/>
          <w:sz w:val="20"/>
          <w:szCs w:val="20"/>
        </w:rPr>
        <w:lastRenderedPageBreak/>
        <w:drawing>
          <wp:inline distT="0" distB="0" distL="0" distR="0" wp14:anchorId="40558CDD" wp14:editId="2D09D76C">
            <wp:extent cx="6492109" cy="7068766"/>
            <wp:effectExtent l="0" t="0" r="4445" b="0"/>
            <wp:docPr id="20" name="Grafik 20" descr="C:\Users\di39cit\Pictures\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i39cit\Pictures\Fig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7601" cy="7096522"/>
                    </a:xfrm>
                    <a:prstGeom prst="rect">
                      <a:avLst/>
                    </a:prstGeom>
                    <a:noFill/>
                    <a:ln>
                      <a:noFill/>
                    </a:ln>
                  </pic:spPr>
                </pic:pic>
              </a:graphicData>
            </a:graphic>
          </wp:inline>
        </w:drawing>
      </w:r>
    </w:p>
    <w:p w14:paraId="64A0D19C" w14:textId="799BE687" w:rsidR="00B821CC" w:rsidRPr="00B74FB4" w:rsidRDefault="00B821CC" w:rsidP="00B821CC">
      <w:pPr>
        <w:spacing w:before="240" w:after="0" w:line="240" w:lineRule="auto"/>
        <w:rPr>
          <w:rFonts w:ascii="Times New Roman" w:eastAsia="Times New Roman" w:hAnsi="Times New Roman" w:cs="Times New Roman"/>
          <w:sz w:val="20"/>
          <w:szCs w:val="20"/>
        </w:rPr>
      </w:pPr>
      <w:r w:rsidRPr="00B74FB4">
        <w:rPr>
          <w:rFonts w:ascii="Times New Roman" w:eastAsia="Times New Roman" w:hAnsi="Times New Roman" w:cs="Times New Roman"/>
          <w:b/>
          <w:bCs/>
          <w:i/>
          <w:iCs/>
          <w:color w:val="000000"/>
          <w:sz w:val="20"/>
          <w:szCs w:val="20"/>
        </w:rPr>
        <w:t xml:space="preserve">Figure </w:t>
      </w:r>
      <w:r w:rsidR="007A1CF7">
        <w:rPr>
          <w:rFonts w:ascii="Times New Roman" w:eastAsia="Times New Roman" w:hAnsi="Times New Roman" w:cs="Times New Roman"/>
          <w:b/>
          <w:bCs/>
          <w:i/>
          <w:iCs/>
          <w:color w:val="000000"/>
          <w:sz w:val="20"/>
          <w:szCs w:val="20"/>
        </w:rPr>
        <w:t>SM5</w:t>
      </w:r>
      <w:r w:rsidRPr="00B74FB4">
        <w:rPr>
          <w:rFonts w:ascii="Times New Roman" w:eastAsia="Times New Roman" w:hAnsi="Times New Roman" w:cs="Times New Roman"/>
          <w:i/>
          <w:iCs/>
          <w:color w:val="000000"/>
          <w:sz w:val="20"/>
          <w:szCs w:val="20"/>
        </w:rPr>
        <w:t xml:space="preserve">: Box plots showing the distribution of ranges of normalized scores of countries across indices for different country groups for overall risk (a) and each of its </w:t>
      </w:r>
      <w:r>
        <w:rPr>
          <w:rFonts w:ascii="Times New Roman" w:eastAsia="Times New Roman" w:hAnsi="Times New Roman" w:cs="Times New Roman"/>
          <w:i/>
          <w:iCs/>
          <w:color w:val="000000"/>
          <w:sz w:val="20"/>
          <w:szCs w:val="20"/>
        </w:rPr>
        <w:t>sub-components</w:t>
      </w:r>
      <w:r w:rsidRPr="00B74FB4">
        <w:rPr>
          <w:rFonts w:ascii="Times New Roman" w:eastAsia="Times New Roman" w:hAnsi="Times New Roman" w:cs="Times New Roman"/>
          <w:i/>
          <w:iCs/>
          <w:color w:val="000000"/>
          <w:sz w:val="20"/>
          <w:szCs w:val="20"/>
        </w:rPr>
        <w:t xml:space="preserve"> (b) exposure, (c) vulnerability, (d) susceptibility, (e) lack of coping capacity and (f) lack of adaptive capacity.</w:t>
      </w:r>
    </w:p>
    <w:p w14:paraId="089645DC" w14:textId="77777777" w:rsidR="00B821CC" w:rsidRPr="003E4145" w:rsidRDefault="00B821CC" w:rsidP="00B821CC">
      <w:pPr>
        <w:spacing w:after="0" w:line="240" w:lineRule="auto"/>
        <w:rPr>
          <w:rFonts w:ascii="Times New Roman" w:eastAsia="Times New Roman" w:hAnsi="Times New Roman" w:cs="Times New Roman"/>
          <w:sz w:val="20"/>
          <w:szCs w:val="20"/>
        </w:rPr>
      </w:pPr>
    </w:p>
    <w:p w14:paraId="0802C9E3" w14:textId="77777777" w:rsidR="00B821CC" w:rsidRPr="003E4145" w:rsidRDefault="00B821CC" w:rsidP="00B821CC">
      <w:pPr>
        <w:spacing w:after="0" w:line="240" w:lineRule="auto"/>
        <w:jc w:val="center"/>
        <w:rPr>
          <w:rFonts w:ascii="Times New Roman" w:eastAsia="Times New Roman" w:hAnsi="Times New Roman" w:cs="Times New Roman"/>
          <w:sz w:val="20"/>
          <w:szCs w:val="20"/>
        </w:rPr>
      </w:pPr>
    </w:p>
    <w:p w14:paraId="6E07CF72" w14:textId="77777777" w:rsidR="00B821CC" w:rsidRPr="004D2D04" w:rsidRDefault="00B821CC" w:rsidP="00B821CC">
      <w:pPr>
        <w:spacing w:after="0" w:line="240" w:lineRule="auto"/>
        <w:rPr>
          <w:rFonts w:ascii="Times New Roman" w:eastAsia="Times New Roman" w:hAnsi="Times New Roman" w:cs="Times New Roman"/>
          <w:sz w:val="20"/>
          <w:szCs w:val="20"/>
        </w:rPr>
      </w:pPr>
    </w:p>
    <w:p w14:paraId="3CAE3B48" w14:textId="2B6B09C4" w:rsidR="00B821CC" w:rsidRPr="004D2D04" w:rsidRDefault="00E0458D" w:rsidP="00B821CC">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Panel A</w:t>
      </w:r>
      <w:r w:rsidR="00B821CC">
        <w:rPr>
          <w:rFonts w:ascii="Times New Roman" w:eastAsia="Times New Roman" w:hAnsi="Times New Roman" w:cs="Times New Roman"/>
          <w:color w:val="000000"/>
          <w:sz w:val="20"/>
          <w:szCs w:val="20"/>
        </w:rPr>
        <w:t xml:space="preserve"> sh</w:t>
      </w:r>
      <w:r w:rsidR="00B821CC" w:rsidRPr="004D2D04">
        <w:rPr>
          <w:rFonts w:ascii="Times New Roman" w:eastAsia="Times New Roman" w:hAnsi="Times New Roman" w:cs="Times New Roman"/>
          <w:color w:val="000000"/>
          <w:sz w:val="20"/>
          <w:szCs w:val="20"/>
        </w:rPr>
        <w:t>ows the range of normalized overall risk scores across all four indices (WRI, GAIN, INFORM and CRI). The figure shows no clear trend i.e. all country groups indicate a similar range of scores between 0 to 1. T</w:t>
      </w:r>
      <w:r w:rsidR="00B821CC">
        <w:rPr>
          <w:rFonts w:ascii="Times New Roman" w:eastAsia="Times New Roman" w:hAnsi="Times New Roman" w:cs="Times New Roman"/>
          <w:color w:val="000000"/>
          <w:sz w:val="20"/>
          <w:szCs w:val="20"/>
        </w:rPr>
        <w:t xml:space="preserve">he pattern changes slightly for </w:t>
      </w:r>
      <w:r>
        <w:rPr>
          <w:rFonts w:ascii="Times New Roman" w:eastAsia="Times New Roman" w:hAnsi="Times New Roman" w:cs="Times New Roman"/>
          <w:color w:val="000000"/>
          <w:sz w:val="20"/>
          <w:szCs w:val="20"/>
        </w:rPr>
        <w:t>panel B</w:t>
      </w:r>
      <w:r w:rsidR="00B821CC">
        <w:rPr>
          <w:rFonts w:ascii="Times New Roman" w:eastAsia="Times New Roman" w:hAnsi="Times New Roman" w:cs="Times New Roman"/>
          <w:color w:val="000000"/>
          <w:sz w:val="20"/>
          <w:szCs w:val="20"/>
        </w:rPr>
        <w:t xml:space="preserve"> </w:t>
      </w:r>
      <w:r w:rsidR="00B821CC" w:rsidRPr="004D2D04">
        <w:rPr>
          <w:rFonts w:ascii="Times New Roman" w:eastAsia="Times New Roman" w:hAnsi="Times New Roman" w:cs="Times New Roman"/>
          <w:color w:val="000000"/>
          <w:sz w:val="20"/>
          <w:szCs w:val="20"/>
        </w:rPr>
        <w:t>showing the range of exposure scores (using INFORM’s natural exposure). The smallest ranges or in other words, highest agreement in exposure scores among the different indices can be observed for the country groups America and Landlocked Developing Countries. For vulne</w:t>
      </w:r>
      <w:r w:rsidR="00B821CC">
        <w:rPr>
          <w:rFonts w:ascii="Times New Roman" w:eastAsia="Times New Roman" w:hAnsi="Times New Roman" w:cs="Times New Roman"/>
          <w:color w:val="000000"/>
          <w:sz w:val="20"/>
          <w:szCs w:val="20"/>
        </w:rPr>
        <w:t xml:space="preserve">rability and susceptibility, in </w:t>
      </w:r>
      <w:r>
        <w:rPr>
          <w:rFonts w:ascii="Times New Roman" w:eastAsia="Times New Roman" w:hAnsi="Times New Roman" w:cs="Times New Roman"/>
          <w:color w:val="000000"/>
          <w:sz w:val="20"/>
          <w:szCs w:val="20"/>
        </w:rPr>
        <w:t>panels C</w:t>
      </w:r>
      <w:r w:rsidR="00B821CC">
        <w:rPr>
          <w:rFonts w:ascii="Times New Roman" w:eastAsia="Times New Roman" w:hAnsi="Times New Roman" w:cs="Times New Roman"/>
          <w:color w:val="000000"/>
          <w:sz w:val="20"/>
          <w:szCs w:val="20"/>
        </w:rPr>
        <w:t xml:space="preserve"> and </w:t>
      </w:r>
      <w:r>
        <w:rPr>
          <w:rFonts w:ascii="Times New Roman" w:eastAsia="Times New Roman" w:hAnsi="Times New Roman" w:cs="Times New Roman"/>
          <w:color w:val="000000"/>
          <w:sz w:val="20"/>
          <w:szCs w:val="20"/>
        </w:rPr>
        <w:t>D</w:t>
      </w:r>
      <w:r w:rsidR="00B821CC">
        <w:rPr>
          <w:rFonts w:ascii="Times New Roman" w:eastAsia="Times New Roman" w:hAnsi="Times New Roman" w:cs="Times New Roman"/>
          <w:color w:val="000000"/>
          <w:sz w:val="20"/>
          <w:szCs w:val="20"/>
        </w:rPr>
        <w:t xml:space="preserve">, </w:t>
      </w:r>
      <w:r w:rsidR="00B821CC" w:rsidRPr="004D2D04">
        <w:rPr>
          <w:rFonts w:ascii="Times New Roman" w:eastAsia="Times New Roman" w:hAnsi="Times New Roman" w:cs="Times New Roman"/>
          <w:color w:val="000000"/>
          <w:sz w:val="20"/>
          <w:szCs w:val="20"/>
        </w:rPr>
        <w:t xml:space="preserve">the picture changes significantly. The overall extent of the range in vulnerability and susceptibility scores is almost entirely less than 0.4 and 0.6 respectively (on a scale from 0 to 1), for all country groups. The LDCs group shows the highest agreement in these two panels with a small range less than 0.4, </w:t>
      </w:r>
      <w:r w:rsidR="00B821CC" w:rsidRPr="003E4145">
        <w:rPr>
          <w:rFonts w:ascii="Times New Roman" w:eastAsia="Times New Roman" w:hAnsi="Times New Roman" w:cs="Times New Roman"/>
          <w:color w:val="000000"/>
          <w:sz w:val="20"/>
          <w:szCs w:val="20"/>
        </w:rPr>
        <w:t>on a scale from 0 to 1.</w:t>
      </w:r>
      <w:r w:rsidR="00B821CC">
        <w:rPr>
          <w:rFonts w:ascii="Times New Roman" w:eastAsia="Times New Roman" w:hAnsi="Times New Roman" w:cs="Times New Roman"/>
          <w:color w:val="000000"/>
          <w:sz w:val="20"/>
          <w:szCs w:val="20"/>
        </w:rPr>
        <w:t xml:space="preserve"> Similarly, </w:t>
      </w:r>
      <w:r>
        <w:rPr>
          <w:rFonts w:ascii="Times New Roman" w:eastAsia="Times New Roman" w:hAnsi="Times New Roman" w:cs="Times New Roman"/>
          <w:color w:val="000000"/>
          <w:sz w:val="20"/>
          <w:szCs w:val="20"/>
        </w:rPr>
        <w:t>panels E</w:t>
      </w:r>
      <w:r w:rsidR="00B821CC">
        <w:rPr>
          <w:rFonts w:ascii="Times New Roman" w:eastAsia="Times New Roman" w:hAnsi="Times New Roman" w:cs="Times New Roman"/>
          <w:color w:val="000000"/>
          <w:sz w:val="20"/>
          <w:szCs w:val="20"/>
        </w:rPr>
        <w:t xml:space="preserve"> and </w:t>
      </w:r>
      <w:r>
        <w:rPr>
          <w:rFonts w:ascii="Times New Roman" w:eastAsia="Times New Roman" w:hAnsi="Times New Roman" w:cs="Times New Roman"/>
          <w:color w:val="000000"/>
          <w:sz w:val="20"/>
          <w:szCs w:val="20"/>
        </w:rPr>
        <w:t>F</w:t>
      </w:r>
      <w:r w:rsidR="00B821CC">
        <w:rPr>
          <w:rFonts w:ascii="Times New Roman" w:eastAsia="Times New Roman" w:hAnsi="Times New Roman" w:cs="Times New Roman"/>
          <w:color w:val="000000"/>
          <w:sz w:val="20"/>
          <w:szCs w:val="20"/>
        </w:rPr>
        <w:t xml:space="preserve"> </w:t>
      </w:r>
      <w:r w:rsidR="00B821CC" w:rsidRPr="004D2D04">
        <w:rPr>
          <w:rFonts w:ascii="Times New Roman" w:eastAsia="Times New Roman" w:hAnsi="Times New Roman" w:cs="Times New Roman"/>
          <w:color w:val="000000"/>
          <w:sz w:val="20"/>
          <w:szCs w:val="20"/>
        </w:rPr>
        <w:t>on lack of coping capacity and lack of adaptive capacity, show a small range less than 0.4, on a scale from 0 to 1. This small range in both capacity dimensions are in line with the findings in Section 4.</w:t>
      </w:r>
      <w:r>
        <w:rPr>
          <w:rFonts w:ascii="Times New Roman" w:eastAsia="Times New Roman" w:hAnsi="Times New Roman" w:cs="Times New Roman"/>
          <w:color w:val="000000"/>
          <w:sz w:val="20"/>
          <w:szCs w:val="20"/>
        </w:rPr>
        <w:t>3</w:t>
      </w:r>
      <w:r w:rsidR="00B821CC" w:rsidRPr="004D2D04">
        <w:rPr>
          <w:rFonts w:ascii="Times New Roman" w:eastAsia="Times New Roman" w:hAnsi="Times New Roman" w:cs="Times New Roman"/>
          <w:color w:val="000000"/>
          <w:sz w:val="20"/>
          <w:szCs w:val="20"/>
        </w:rPr>
        <w:t xml:space="preserve">. This observation of a higher agreement could be potentially explained by the stronger overlap of indicators and weighting methodologies used across the indices for LCC and LAC. Another observation for box plots on LAC and LCC is the increase in the number of outliers in comparison to the rest of the panels. This can be potentially attributed to more missing data in these two </w:t>
      </w:r>
      <w:r w:rsidR="00B821CC">
        <w:rPr>
          <w:rFonts w:ascii="Times New Roman" w:eastAsia="Times New Roman" w:hAnsi="Times New Roman" w:cs="Times New Roman"/>
          <w:color w:val="000000"/>
          <w:sz w:val="20"/>
          <w:szCs w:val="20"/>
        </w:rPr>
        <w:t>sub-components</w:t>
      </w:r>
      <w:r w:rsidR="00B821CC" w:rsidRPr="004D2D04">
        <w:rPr>
          <w:rFonts w:ascii="Times New Roman" w:eastAsia="Times New Roman" w:hAnsi="Times New Roman" w:cs="Times New Roman"/>
          <w:color w:val="000000"/>
          <w:sz w:val="20"/>
          <w:szCs w:val="20"/>
        </w:rPr>
        <w:t xml:space="preserve"> in comparison to the other </w:t>
      </w:r>
      <w:r w:rsidR="00B821CC">
        <w:rPr>
          <w:rFonts w:ascii="Times New Roman" w:eastAsia="Times New Roman" w:hAnsi="Times New Roman" w:cs="Times New Roman"/>
          <w:color w:val="000000"/>
          <w:sz w:val="20"/>
          <w:szCs w:val="20"/>
        </w:rPr>
        <w:t>sub-components</w:t>
      </w:r>
      <w:r w:rsidR="00B821CC" w:rsidRPr="004D2D04">
        <w:rPr>
          <w:rFonts w:ascii="Times New Roman" w:eastAsia="Times New Roman" w:hAnsi="Times New Roman" w:cs="Times New Roman"/>
          <w:color w:val="000000"/>
          <w:sz w:val="20"/>
          <w:szCs w:val="20"/>
        </w:rPr>
        <w:t>. </w:t>
      </w:r>
    </w:p>
    <w:p w14:paraId="0324FE2B" w14:textId="77777777" w:rsidR="00B821CC" w:rsidRPr="004D2D04" w:rsidRDefault="00B821CC" w:rsidP="00B821CC">
      <w:pPr>
        <w:spacing w:after="120" w:line="240" w:lineRule="auto"/>
        <w:jc w:val="both"/>
        <w:rPr>
          <w:rFonts w:ascii="Times New Roman" w:eastAsia="Times New Roman" w:hAnsi="Times New Roman" w:cs="Times New Roman"/>
          <w:sz w:val="20"/>
          <w:szCs w:val="20"/>
        </w:rPr>
      </w:pPr>
      <w:r w:rsidRPr="004D2D04">
        <w:rPr>
          <w:rFonts w:ascii="Times New Roman" w:eastAsia="Times New Roman" w:hAnsi="Times New Roman" w:cs="Times New Roman"/>
          <w:color w:val="000000"/>
          <w:sz w:val="20"/>
          <w:szCs w:val="20"/>
        </w:rPr>
        <w:t>Some interesting patterns can be observed in particular country groups. For example, in climate policy negotiations and for questions of climate funding, LDCs, SIDS, African and V20 countries are often highlighted as the priority countries. Their distributions show a high median, particularly for overall risk and exposure. Potential implications include a high disagreement on their scores among t</w:t>
      </w:r>
      <w:r w:rsidRPr="003E4145">
        <w:rPr>
          <w:rFonts w:ascii="Times New Roman" w:eastAsia="Times New Roman" w:hAnsi="Times New Roman" w:cs="Times New Roman"/>
          <w:color w:val="000000"/>
          <w:sz w:val="20"/>
          <w:szCs w:val="20"/>
        </w:rPr>
        <w:t>he indices, which in turn question</w:t>
      </w:r>
      <w:r w:rsidRPr="004D2D04">
        <w:rPr>
          <w:rFonts w:ascii="Times New Roman" w:eastAsia="Times New Roman" w:hAnsi="Times New Roman" w:cs="Times New Roman"/>
          <w:color w:val="000000"/>
          <w:sz w:val="20"/>
          <w:szCs w:val="20"/>
        </w:rPr>
        <w:t xml:space="preserve"> the robustness of the use of one or the other index over another in guidin</w:t>
      </w:r>
      <w:r w:rsidRPr="003E4145">
        <w:rPr>
          <w:rFonts w:ascii="Times New Roman" w:eastAsia="Times New Roman" w:hAnsi="Times New Roman" w:cs="Times New Roman"/>
          <w:color w:val="000000"/>
          <w:sz w:val="20"/>
          <w:szCs w:val="20"/>
        </w:rPr>
        <w:t>g decisions and negotiations.</w:t>
      </w:r>
      <w:r w:rsidRPr="004D2D04">
        <w:rPr>
          <w:rFonts w:ascii="Times New Roman" w:eastAsia="Times New Roman" w:hAnsi="Times New Roman" w:cs="Times New Roman"/>
          <w:color w:val="000000"/>
          <w:sz w:val="20"/>
          <w:szCs w:val="20"/>
        </w:rPr>
        <w:t xml:space="preserve"> On the other hand, lower medians and smaller ranges in the other components indicate a higher agreement among their scores. However, this must be interpreted with caution due to the possibility of the influence of missing data on this observed distribution. In general, a slightly higher agreement can be seen in the more developed regions in comparison to the less developed regions.         </w:t>
      </w:r>
    </w:p>
    <w:p w14:paraId="3D377643" w14:textId="77777777" w:rsidR="00E64BC8" w:rsidRDefault="00E64BC8">
      <w:pPr>
        <w:rPr>
          <w:rFonts w:ascii="Times New Roman" w:hAnsi="Times New Roman" w:cs="Times New Roman"/>
          <w:sz w:val="20"/>
          <w:szCs w:val="20"/>
        </w:rPr>
      </w:pPr>
    </w:p>
    <w:p w14:paraId="13C0BC7D" w14:textId="77777777" w:rsidR="00626561" w:rsidRDefault="00626561">
      <w:pPr>
        <w:rPr>
          <w:rFonts w:ascii="Times New Roman" w:hAnsi="Times New Roman" w:cs="Times New Roman"/>
          <w:sz w:val="20"/>
          <w:szCs w:val="20"/>
        </w:rPr>
      </w:pPr>
    </w:p>
    <w:p w14:paraId="640BD136" w14:textId="77777777" w:rsidR="00626561" w:rsidRDefault="00626561">
      <w:pPr>
        <w:rPr>
          <w:rFonts w:ascii="Times New Roman" w:hAnsi="Times New Roman" w:cs="Times New Roman"/>
          <w:sz w:val="20"/>
          <w:szCs w:val="20"/>
        </w:rPr>
      </w:pPr>
    </w:p>
    <w:p w14:paraId="34660199" w14:textId="77777777" w:rsidR="00626561" w:rsidRPr="005B3603" w:rsidRDefault="007A1CF7">
      <w:pPr>
        <w:rPr>
          <w:rFonts w:ascii="Times New Roman" w:hAnsi="Times New Roman" w:cs="Times New Roman"/>
          <w:b/>
          <w:sz w:val="20"/>
          <w:szCs w:val="20"/>
        </w:rPr>
      </w:pPr>
      <w:r>
        <w:rPr>
          <w:rFonts w:ascii="Times New Roman" w:hAnsi="Times New Roman" w:cs="Times New Roman"/>
          <w:b/>
          <w:sz w:val="20"/>
          <w:szCs w:val="20"/>
        </w:rPr>
        <w:t xml:space="preserve">Section 4.3: </w:t>
      </w:r>
      <w:r w:rsidR="00626561" w:rsidRPr="005B3603">
        <w:rPr>
          <w:rFonts w:ascii="Times New Roman" w:hAnsi="Times New Roman" w:cs="Times New Roman"/>
          <w:b/>
          <w:sz w:val="20"/>
          <w:szCs w:val="20"/>
        </w:rPr>
        <w:t xml:space="preserve">Agreement on hotspot countries </w:t>
      </w:r>
    </w:p>
    <w:p w14:paraId="48582386" w14:textId="6CE7BE01" w:rsidR="00275037" w:rsidRDefault="00275037" w:rsidP="002750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a final step of the analysis, we evaluate the level of agreement or disagreement across the four global risk indices for those countries with the highest risk, exposure, vulnerability, susceptibility, lack of coping capacity (LCC) and lack of adaptive capacity (LAC). </w:t>
      </w:r>
      <w:r w:rsidR="005F42ED">
        <w:rPr>
          <w:rFonts w:ascii="Times New Roman" w:eastAsia="Times New Roman" w:hAnsi="Times New Roman" w:cs="Times New Roman"/>
          <w:color w:val="000000"/>
          <w:sz w:val="20"/>
          <w:szCs w:val="20"/>
        </w:rPr>
        <w:t>Expanding on section 4.3 in the paper, w</w:t>
      </w:r>
      <w:r>
        <w:rPr>
          <w:rFonts w:ascii="Times New Roman" w:eastAsia="Times New Roman" w:hAnsi="Times New Roman" w:cs="Times New Roman"/>
          <w:color w:val="000000"/>
          <w:sz w:val="20"/>
          <w:szCs w:val="20"/>
        </w:rPr>
        <w:t xml:space="preserve">e also selected the top 25 countries in risk and each sub-component and for each index in order to then count whether and to which degree countries are ranked in the top 25 consistently across the different indices. </w:t>
      </w:r>
    </w:p>
    <w:p w14:paraId="78579674" w14:textId="77777777" w:rsidR="00275037" w:rsidRDefault="00275037" w:rsidP="00275037">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5333EAFB" w14:textId="44626B16" w:rsidR="00626561" w:rsidRDefault="00626561" w:rsidP="00626561">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Figure </w:t>
      </w:r>
      <w:r w:rsidR="007A1CF7">
        <w:rPr>
          <w:rFonts w:ascii="Times New Roman" w:eastAsia="Times New Roman" w:hAnsi="Times New Roman" w:cs="Times New Roman"/>
          <w:color w:val="000000"/>
          <w:sz w:val="20"/>
          <w:szCs w:val="20"/>
        </w:rPr>
        <w:t>SM</w:t>
      </w:r>
      <w:r w:rsidR="00E0458D">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 shows the outcomes of the hotspot analysis that was conducted by comparing the top 25 countries with the highest risk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a), exposure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b), vulnerability (c), susceptibility (d), lack of coping capacity (e) and lack of adaptive capacity (f) in the four global risk indices considered here.  </w:t>
      </w:r>
    </w:p>
    <w:p w14:paraId="09CA8F5B" w14:textId="0EB2FE64" w:rsidR="00626561" w:rsidRDefault="00626561" w:rsidP="00626561">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For risk, in total 66 countries are listed in the top 25 of one of the four indices.  20 countries are ranked in the top 25 countries in two of the four indices. Four countries (i.e. Afghanistan, Myanmar, Mozambique, and Niger) are listed in three of the four indices.  Two countries (i.e. Bangladesh and Haiti) are listed amongst the top 25 countries in all four risk indices. While there are strong overlaps in sub-Saharan Africa and parts of Asia, </w:t>
      </w:r>
      <w:r w:rsidR="00E0458D">
        <w:rPr>
          <w:rFonts w:ascii="Times New Roman" w:eastAsia="Times New Roman" w:hAnsi="Times New Roman" w:cs="Times New Roman"/>
          <w:color w:val="000000"/>
          <w:sz w:val="20"/>
          <w:szCs w:val="20"/>
        </w:rPr>
        <w:t xml:space="preserve">panel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also reveals clearly that there are significant differences in regards to risk hotspots.  Only six countries in the Americas are listed in the top 25 of either of the indices, including two in the Caribbean (i.e. Bahamas, Haiti), four in Central America (i.e. Costa Rica, Guatemala, El Salvador, and Nicaragua), and none in South America. </w:t>
      </w:r>
    </w:p>
    <w:p w14:paraId="3AEA4650" w14:textId="77777777" w:rsidR="00626561" w:rsidRDefault="00626561" w:rsidP="00626561">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For the exposure sub-components of WRI, INFORM and GAIN, a different pattern emerges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 xml:space="preserve">b). While 43 countries appear in the list of top 25 in at least one of the three indices, and 16 countries in two of the three indices, there is no country that is mentioned in all three indices as a top 25 country. There is a comparatively high cross-index agreement on exposure for countries with large low-elevation coastal zones (LECZ), such as Bangladesh, Dominican Republic, India, Japan, Kiribati, Papua New Guinea, the Philippines, or small islands (e.g., Kiribati, Solomon Islands, Timor </w:t>
      </w:r>
      <w:proofErr w:type="spellStart"/>
      <w:r>
        <w:rPr>
          <w:rFonts w:ascii="Times New Roman" w:eastAsia="Times New Roman" w:hAnsi="Times New Roman" w:cs="Times New Roman"/>
          <w:color w:val="000000"/>
          <w:sz w:val="20"/>
          <w:szCs w:val="20"/>
        </w:rPr>
        <w:t>Leste</w:t>
      </w:r>
      <w:proofErr w:type="spellEnd"/>
      <w:r>
        <w:rPr>
          <w:rFonts w:ascii="Times New Roman" w:eastAsia="Times New Roman" w:hAnsi="Times New Roman" w:cs="Times New Roman"/>
          <w:color w:val="000000"/>
          <w:sz w:val="20"/>
          <w:szCs w:val="20"/>
        </w:rPr>
        <w:t>, Tonga), featuring exposure to multiple hazards.   </w:t>
      </w:r>
    </w:p>
    <w:p w14:paraId="48984401" w14:textId="03D5FC2D" w:rsidR="00626561" w:rsidRDefault="00626561" w:rsidP="00626561">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For vulnerability (WRI, INFORM, GAIN), the analysis reveals a much stronger consistency across indices as compared to the risk and exposure components. While 18 countries appear in the list of top 25 in at least one of the </w:t>
      </w:r>
      <w:r>
        <w:rPr>
          <w:rFonts w:ascii="Times New Roman" w:eastAsia="Times New Roman" w:hAnsi="Times New Roman" w:cs="Times New Roman"/>
          <w:color w:val="000000"/>
          <w:sz w:val="20"/>
          <w:szCs w:val="20"/>
        </w:rPr>
        <w:lastRenderedPageBreak/>
        <w:t xml:space="preserve">indices, 12 countries are mentioned in two, and 11 countries in all three global risk indices with a vulnerability sub-component. With this robustness in mind, a strong hotspot emerges in </w:t>
      </w:r>
      <w:proofErr w:type="spellStart"/>
      <w:r>
        <w:rPr>
          <w:rFonts w:ascii="Times New Roman" w:eastAsia="Times New Roman" w:hAnsi="Times New Roman" w:cs="Times New Roman"/>
          <w:color w:val="000000"/>
          <w:sz w:val="20"/>
          <w:szCs w:val="20"/>
        </w:rPr>
        <w:t>sub-saharan</w:t>
      </w:r>
      <w:proofErr w:type="spellEnd"/>
      <w:r>
        <w:rPr>
          <w:rFonts w:ascii="Times New Roman" w:eastAsia="Times New Roman" w:hAnsi="Times New Roman" w:cs="Times New Roman"/>
          <w:color w:val="000000"/>
          <w:sz w:val="20"/>
          <w:szCs w:val="20"/>
        </w:rPr>
        <w:t xml:space="preserve"> Africa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c). Out of the 11, ten are located in sub-Saharan Africa (i.e. Burundi, Chad, the Central African Republic, DRC, Ethiopia, Liberia, Mali, Niger, Sudan and Uganda), with Afghanistan being the only exception. For susceptibility (</w:t>
      </w:r>
      <w:r w:rsidR="00E0458D">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d) a quite similar picture emerges with eight countries being on the list of top 25 countries in all four indices, all of which also being located in sub-Saharan Africa.  </w:t>
      </w:r>
    </w:p>
    <w:p w14:paraId="1475A525" w14:textId="77777777" w:rsidR="00626561" w:rsidRDefault="00626561" w:rsidP="00626561">
      <w:pPr>
        <w:spacing w:after="12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highest agreement across indices can be observed in the capacity-related sub-components, i.e. lack of coping capacity (LCC)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e) and lack of adaptive capacity (LAC) (</w:t>
      </w:r>
      <w:r w:rsidR="007A1CF7">
        <w:rPr>
          <w:rFonts w:ascii="Times New Roman" w:eastAsia="Times New Roman" w:hAnsi="Times New Roman" w:cs="Times New Roman"/>
          <w:color w:val="000000"/>
          <w:sz w:val="20"/>
          <w:szCs w:val="20"/>
        </w:rPr>
        <w:t xml:space="preserve">panel </w:t>
      </w:r>
      <w:r>
        <w:rPr>
          <w:rFonts w:ascii="Times New Roman" w:eastAsia="Times New Roman" w:hAnsi="Times New Roman" w:cs="Times New Roman"/>
          <w:color w:val="000000"/>
          <w:sz w:val="20"/>
          <w:szCs w:val="20"/>
        </w:rPr>
        <w:t>f): (i) for LCC 11 countries appear in the top 25 of the three indices that have a LCC sub-component (i.e. WRI, INFORM, GAIN), and (ii) for LAC 18 countries appear amongst the top 25 countries in the WRI and GAIN (as the two indices who have such a component. Similar to vulnerability and susceptibility a strong cluster of consistent index scores emerges in sub-Saharan Africa, again with the exception of Afghanistan, Papua New Guinea (only in the LAC component), Iraq and Yemen (both only in the LCC component).      </w:t>
      </w:r>
    </w:p>
    <w:p w14:paraId="004D3A90" w14:textId="77777777" w:rsidR="00626561" w:rsidRDefault="00626561">
      <w:pPr>
        <w:rPr>
          <w:rFonts w:ascii="Times New Roman" w:hAnsi="Times New Roman" w:cs="Times New Roman"/>
          <w:sz w:val="20"/>
          <w:szCs w:val="20"/>
        </w:rPr>
      </w:pPr>
    </w:p>
    <w:p w14:paraId="2DCC49AE" w14:textId="43380684" w:rsidR="005F5895" w:rsidRPr="004D2D04" w:rsidRDefault="005F5895" w:rsidP="005F5895">
      <w:pPr>
        <w:spacing w:after="120" w:line="240" w:lineRule="auto"/>
        <w:jc w:val="both"/>
        <w:rPr>
          <w:rFonts w:ascii="Times New Roman" w:eastAsia="Times New Roman" w:hAnsi="Times New Roman" w:cs="Times New Roman"/>
          <w:sz w:val="20"/>
          <w:szCs w:val="20"/>
        </w:rPr>
      </w:pPr>
      <w:r w:rsidRPr="003E4145">
        <w:rPr>
          <w:rFonts w:ascii="Times New Roman" w:hAnsi="Times New Roman" w:cs="Times New Roman"/>
          <w:noProof/>
          <w:sz w:val="20"/>
          <w:szCs w:val="20"/>
        </w:rPr>
        <w:drawing>
          <wp:inline distT="0" distB="0" distL="0" distR="0" wp14:anchorId="6D9A1B9B" wp14:editId="4C21ED30">
            <wp:extent cx="5972810" cy="4226560"/>
            <wp:effectExtent l="0" t="0" r="8890" b="254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810" cy="4226560"/>
                    </a:xfrm>
                    <a:prstGeom prst="rect">
                      <a:avLst/>
                    </a:prstGeom>
                  </pic:spPr>
                </pic:pic>
              </a:graphicData>
            </a:graphic>
          </wp:inline>
        </w:drawing>
      </w:r>
      <w:r w:rsidRPr="004D2D04">
        <w:rPr>
          <w:rFonts w:ascii="Times New Roman" w:eastAsia="Times New Roman" w:hAnsi="Times New Roman" w:cs="Times New Roman"/>
          <w:color w:val="000000"/>
          <w:sz w:val="20"/>
          <w:szCs w:val="20"/>
        </w:rPr>
        <w:t> </w:t>
      </w:r>
      <w:r w:rsidRPr="003E4145">
        <w:rPr>
          <w:rFonts w:ascii="Times New Roman" w:hAnsi="Times New Roman" w:cs="Times New Roman"/>
          <w:b/>
          <w:bCs/>
          <w:i/>
          <w:iCs/>
          <w:color w:val="000000"/>
          <w:sz w:val="20"/>
          <w:szCs w:val="20"/>
        </w:rPr>
        <w:t>Fi</w:t>
      </w:r>
      <w:r>
        <w:rPr>
          <w:rFonts w:ascii="Times New Roman" w:hAnsi="Times New Roman" w:cs="Times New Roman"/>
          <w:b/>
          <w:bCs/>
          <w:i/>
          <w:iCs/>
          <w:color w:val="000000"/>
          <w:sz w:val="20"/>
          <w:szCs w:val="20"/>
        </w:rPr>
        <w:t xml:space="preserve">gure </w:t>
      </w:r>
      <w:r w:rsidR="007A1CF7">
        <w:rPr>
          <w:rFonts w:ascii="Times New Roman" w:hAnsi="Times New Roman" w:cs="Times New Roman"/>
          <w:b/>
          <w:bCs/>
          <w:i/>
          <w:iCs/>
          <w:color w:val="000000"/>
          <w:sz w:val="20"/>
          <w:szCs w:val="20"/>
        </w:rPr>
        <w:t>SM</w:t>
      </w:r>
      <w:r w:rsidR="00E0458D">
        <w:rPr>
          <w:rFonts w:ascii="Times New Roman" w:hAnsi="Times New Roman" w:cs="Times New Roman"/>
          <w:b/>
          <w:bCs/>
          <w:i/>
          <w:iCs/>
          <w:color w:val="000000"/>
          <w:sz w:val="20"/>
          <w:szCs w:val="20"/>
        </w:rPr>
        <w:t>6</w:t>
      </w:r>
      <w:bookmarkStart w:id="1" w:name="_GoBack"/>
      <w:bookmarkEnd w:id="1"/>
      <w:r w:rsidRPr="003E4145">
        <w:rPr>
          <w:rFonts w:ascii="Times New Roman" w:hAnsi="Times New Roman" w:cs="Times New Roman"/>
          <w:i/>
          <w:iCs/>
          <w:color w:val="000000"/>
          <w:sz w:val="20"/>
          <w:szCs w:val="20"/>
        </w:rPr>
        <w:t xml:space="preserve">: Consistency across global risk indices for the overall risk score, (a) and the individual </w:t>
      </w:r>
      <w:r>
        <w:rPr>
          <w:rFonts w:ascii="Times New Roman" w:hAnsi="Times New Roman" w:cs="Times New Roman"/>
          <w:i/>
          <w:iCs/>
          <w:color w:val="000000"/>
          <w:sz w:val="20"/>
          <w:szCs w:val="20"/>
        </w:rPr>
        <w:t>sub-components</w:t>
      </w:r>
      <w:r w:rsidRPr="003E4145">
        <w:rPr>
          <w:rFonts w:ascii="Times New Roman" w:hAnsi="Times New Roman" w:cs="Times New Roman"/>
          <w:i/>
          <w:iCs/>
          <w:color w:val="000000"/>
          <w:sz w:val="20"/>
          <w:szCs w:val="20"/>
        </w:rPr>
        <w:t xml:space="preserve"> of risk (b-f) when focusing on the top 25 countries with the highest score in risk and its </w:t>
      </w:r>
      <w:r>
        <w:rPr>
          <w:rFonts w:ascii="Times New Roman" w:hAnsi="Times New Roman" w:cs="Times New Roman"/>
          <w:i/>
          <w:iCs/>
          <w:color w:val="000000"/>
          <w:sz w:val="20"/>
          <w:szCs w:val="20"/>
        </w:rPr>
        <w:t>sub-components</w:t>
      </w:r>
      <w:r w:rsidRPr="003E4145">
        <w:rPr>
          <w:rFonts w:ascii="Times New Roman" w:hAnsi="Times New Roman" w:cs="Times New Roman"/>
          <w:i/>
          <w:iCs/>
          <w:color w:val="000000"/>
          <w:sz w:val="20"/>
          <w:szCs w:val="20"/>
        </w:rPr>
        <w:t>. Dark red indicates a higher number of mentions in the top 25 of each of the four risk indices considered here. </w:t>
      </w:r>
    </w:p>
    <w:p w14:paraId="113367DD" w14:textId="77777777" w:rsidR="00626561" w:rsidRDefault="00626561">
      <w:pPr>
        <w:rPr>
          <w:rFonts w:ascii="Times New Roman" w:hAnsi="Times New Roman" w:cs="Times New Roman"/>
          <w:sz w:val="20"/>
          <w:szCs w:val="20"/>
        </w:rPr>
      </w:pPr>
    </w:p>
    <w:p w14:paraId="7C244E5E" w14:textId="77777777" w:rsidR="00626561" w:rsidRDefault="00626561">
      <w:pPr>
        <w:rPr>
          <w:rFonts w:ascii="Times New Roman" w:hAnsi="Times New Roman" w:cs="Times New Roman"/>
          <w:sz w:val="20"/>
          <w:szCs w:val="20"/>
        </w:rPr>
      </w:pPr>
    </w:p>
    <w:sectPr w:rsidR="00626561" w:rsidSect="00E64BC8">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BC8"/>
    <w:rsid w:val="00134C39"/>
    <w:rsid w:val="001B2E61"/>
    <w:rsid w:val="001C310D"/>
    <w:rsid w:val="00275037"/>
    <w:rsid w:val="002809D7"/>
    <w:rsid w:val="00290349"/>
    <w:rsid w:val="002F017F"/>
    <w:rsid w:val="003228A9"/>
    <w:rsid w:val="00375346"/>
    <w:rsid w:val="004172EC"/>
    <w:rsid w:val="00497D17"/>
    <w:rsid w:val="00516D9A"/>
    <w:rsid w:val="00552E41"/>
    <w:rsid w:val="0057737D"/>
    <w:rsid w:val="005B3603"/>
    <w:rsid w:val="005B6C89"/>
    <w:rsid w:val="005B6FBC"/>
    <w:rsid w:val="005F42ED"/>
    <w:rsid w:val="005F5895"/>
    <w:rsid w:val="00626561"/>
    <w:rsid w:val="0063614D"/>
    <w:rsid w:val="00662DA1"/>
    <w:rsid w:val="00737E8C"/>
    <w:rsid w:val="00752C6B"/>
    <w:rsid w:val="007A1CF7"/>
    <w:rsid w:val="007E5766"/>
    <w:rsid w:val="00806264"/>
    <w:rsid w:val="008664A1"/>
    <w:rsid w:val="008A7B1D"/>
    <w:rsid w:val="008C2129"/>
    <w:rsid w:val="008C6561"/>
    <w:rsid w:val="00935A9F"/>
    <w:rsid w:val="00A339BD"/>
    <w:rsid w:val="00AB3DC6"/>
    <w:rsid w:val="00B05611"/>
    <w:rsid w:val="00B821CC"/>
    <w:rsid w:val="00C34B47"/>
    <w:rsid w:val="00C63A10"/>
    <w:rsid w:val="00C74B40"/>
    <w:rsid w:val="00CA2AD9"/>
    <w:rsid w:val="00DC5FAD"/>
    <w:rsid w:val="00E0458D"/>
    <w:rsid w:val="00E257D8"/>
    <w:rsid w:val="00E64BC8"/>
    <w:rsid w:val="00FA1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3346A6"/>
  <w15:chartTrackingRefBased/>
  <w15:docId w15:val="{AD160A62-1A73-453D-8637-53592CA8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64B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64BC8"/>
  </w:style>
  <w:style w:type="character" w:customStyle="1" w:styleId="Heading2Char">
    <w:name w:val="Heading 2 Char"/>
    <w:basedOn w:val="DefaultParagraphFont"/>
    <w:link w:val="Heading2"/>
    <w:uiPriority w:val="9"/>
    <w:rsid w:val="00E64BC8"/>
    <w:rPr>
      <w:rFonts w:ascii="Times New Roman" w:eastAsia="Times New Roman" w:hAnsi="Times New Roman" w:cs="Times New Roman"/>
      <w:b/>
      <w:bCs/>
      <w:sz w:val="36"/>
      <w:szCs w:val="36"/>
    </w:rPr>
  </w:style>
  <w:style w:type="paragraph" w:styleId="NormalWeb">
    <w:name w:val="Normal (Web)"/>
    <w:basedOn w:val="Normal"/>
    <w:uiPriority w:val="99"/>
    <w:unhideWhenUsed/>
    <w:rsid w:val="00E64B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F4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2ED"/>
    <w:rPr>
      <w:rFonts w:ascii="Segoe UI" w:hAnsi="Segoe UI" w:cs="Segoe UI"/>
      <w:sz w:val="18"/>
      <w:szCs w:val="18"/>
    </w:rPr>
  </w:style>
  <w:style w:type="character" w:styleId="CommentReference">
    <w:name w:val="annotation reference"/>
    <w:basedOn w:val="DefaultParagraphFont"/>
    <w:uiPriority w:val="99"/>
    <w:semiHidden/>
    <w:unhideWhenUsed/>
    <w:rsid w:val="005F42ED"/>
    <w:rPr>
      <w:sz w:val="16"/>
      <w:szCs w:val="16"/>
    </w:rPr>
  </w:style>
  <w:style w:type="paragraph" w:styleId="CommentText">
    <w:name w:val="annotation text"/>
    <w:basedOn w:val="Normal"/>
    <w:link w:val="CommentTextChar"/>
    <w:uiPriority w:val="99"/>
    <w:semiHidden/>
    <w:unhideWhenUsed/>
    <w:rsid w:val="005F42ED"/>
    <w:pPr>
      <w:spacing w:line="240" w:lineRule="auto"/>
    </w:pPr>
    <w:rPr>
      <w:sz w:val="20"/>
      <w:szCs w:val="20"/>
    </w:rPr>
  </w:style>
  <w:style w:type="character" w:customStyle="1" w:styleId="CommentTextChar">
    <w:name w:val="Comment Text Char"/>
    <w:basedOn w:val="DefaultParagraphFont"/>
    <w:link w:val="CommentText"/>
    <w:uiPriority w:val="99"/>
    <w:semiHidden/>
    <w:rsid w:val="005F42ED"/>
    <w:rPr>
      <w:sz w:val="20"/>
      <w:szCs w:val="20"/>
    </w:rPr>
  </w:style>
  <w:style w:type="paragraph" w:styleId="CommentSubject">
    <w:name w:val="annotation subject"/>
    <w:basedOn w:val="CommentText"/>
    <w:next w:val="CommentText"/>
    <w:link w:val="CommentSubjectChar"/>
    <w:uiPriority w:val="99"/>
    <w:semiHidden/>
    <w:unhideWhenUsed/>
    <w:rsid w:val="005F42ED"/>
    <w:rPr>
      <w:b/>
      <w:bCs/>
    </w:rPr>
  </w:style>
  <w:style w:type="character" w:customStyle="1" w:styleId="CommentSubjectChar">
    <w:name w:val="Comment Subject Char"/>
    <w:basedOn w:val="CommentTextChar"/>
    <w:link w:val="CommentSubject"/>
    <w:uiPriority w:val="99"/>
    <w:semiHidden/>
    <w:rsid w:val="005F42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package" Target="embeddings/Microsoft_Excel-Arbeitsblatt1.xlsx"/><Relationship Id="rId11" Type="http://schemas.openxmlformats.org/officeDocument/2006/relationships/image" Target="media/image6.png"/><Relationship Id="rId5" Type="http://schemas.openxmlformats.org/officeDocument/2006/relationships/package" Target="embeddings/Microsoft_Excel-Arbeitsblatt.xlsx"/><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image" Target="media/image1.emf"/><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6040</Words>
  <Characters>39505</Characters>
  <Application>Microsoft Office Word</Application>
  <DocSecurity>0</DocSecurity>
  <Lines>572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Garschagen, Matthias</dc:creator>
  <cp:keywords/>
  <dc:description/>
  <cp:lastModifiedBy>Garschagen, Matthias</cp:lastModifiedBy>
  <cp:revision>3</cp:revision>
  <dcterms:created xsi:type="dcterms:W3CDTF">2021-10-27T10:17:00Z</dcterms:created>
  <dcterms:modified xsi:type="dcterms:W3CDTF">2021-10-27T10:18:00Z</dcterms:modified>
</cp:coreProperties>
</file>